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12A66" w14:textId="77777777" w:rsidR="003379F4" w:rsidRDefault="003379F4" w:rsidP="00B81D54">
      <w:pPr>
        <w:rPr>
          <w:rFonts w:ascii="Verdana" w:hAnsi="Verdana"/>
          <w:sz w:val="24"/>
          <w:szCs w:val="24"/>
        </w:rPr>
      </w:pPr>
    </w:p>
    <w:p w14:paraId="1E128B31" w14:textId="77777777" w:rsidR="00D373B3" w:rsidRDefault="00D373B3" w:rsidP="00B81D54">
      <w:pPr>
        <w:rPr>
          <w:rFonts w:ascii="Verdana" w:hAnsi="Verdana"/>
          <w:sz w:val="24"/>
          <w:szCs w:val="24"/>
        </w:rPr>
      </w:pPr>
    </w:p>
    <w:p w14:paraId="5330F6EA" w14:textId="77777777" w:rsidR="00D373B3" w:rsidRPr="00D373B3" w:rsidRDefault="00D373B3" w:rsidP="00D373B3">
      <w:pPr>
        <w:pStyle w:val="Header"/>
        <w:jc w:val="center"/>
        <w:rPr>
          <w:rFonts w:ascii="Verdana" w:hAnsi="Verdana"/>
          <w:b/>
          <w:bCs/>
          <w:sz w:val="28"/>
          <w:szCs w:val="28"/>
        </w:rPr>
      </w:pPr>
      <w:r w:rsidRPr="00D373B3">
        <w:rPr>
          <w:rFonts w:ascii="Verdana" w:hAnsi="Verdana"/>
          <w:b/>
          <w:bCs/>
          <w:sz w:val="28"/>
          <w:szCs w:val="28"/>
        </w:rPr>
        <w:t>Compliance Liaison Requirements</w:t>
      </w:r>
    </w:p>
    <w:p w14:paraId="712929AE" w14:textId="77777777" w:rsidR="00D373B3" w:rsidRPr="003379F4" w:rsidRDefault="00D373B3" w:rsidP="00D373B3">
      <w:pPr>
        <w:jc w:val="center"/>
        <w:rPr>
          <w:rFonts w:ascii="Verdana" w:hAnsi="Verdana"/>
          <w:sz w:val="24"/>
          <w:szCs w:val="24"/>
        </w:rPr>
      </w:pPr>
    </w:p>
    <w:p w14:paraId="48E854CE" w14:textId="26EB9D36" w:rsidR="00B81D54" w:rsidRPr="003379F4" w:rsidRDefault="00A233AC" w:rsidP="00B81D54">
      <w:pPr>
        <w:rPr>
          <w:rFonts w:ascii="Verdana" w:hAnsi="Verdana"/>
          <w:sz w:val="24"/>
          <w:szCs w:val="24"/>
        </w:rPr>
      </w:pPr>
      <w:r w:rsidRPr="00A233AC">
        <w:rPr>
          <w:rFonts w:ascii="Verdana" w:hAnsi="Verdana"/>
          <w:sz w:val="24"/>
          <w:szCs w:val="24"/>
        </w:rPr>
        <w:t>There are key differences between the Point of Contact (POC) and the Compliance Liaison (CL). The POC manages routine administrative issues, while the CL addresses more serious matters that require escalation to higher authorities for policy-level decisions. The CL ensures the agency remains in compliance with TWC standards or takes corrective action when needed. This position must be approved by TWC.</w:t>
      </w:r>
      <w:r>
        <w:rPr>
          <w:rFonts w:ascii="Verdana" w:hAnsi="Verdana"/>
          <w:sz w:val="24"/>
          <w:szCs w:val="24"/>
        </w:rPr>
        <w:t xml:space="preserve"> </w:t>
      </w:r>
      <w:r w:rsidR="00B81D54" w:rsidRPr="003379F4">
        <w:rPr>
          <w:rFonts w:ascii="Verdana" w:hAnsi="Verdana"/>
          <w:sz w:val="24"/>
          <w:szCs w:val="24"/>
        </w:rPr>
        <w:t>These are some of the questions that your agency should ask to determine who should be in the CL position:</w:t>
      </w:r>
    </w:p>
    <w:p w14:paraId="140A3F9A" w14:textId="77777777" w:rsidR="00B81D54" w:rsidRPr="003379F4" w:rsidRDefault="00B81D54" w:rsidP="00B81D54">
      <w:pPr>
        <w:rPr>
          <w:rFonts w:ascii="Verdana" w:hAnsi="Verdana"/>
          <w:sz w:val="24"/>
          <w:szCs w:val="24"/>
        </w:rPr>
      </w:pPr>
    </w:p>
    <w:p w14:paraId="7FEB77C1" w14:textId="77777777" w:rsidR="00390F99" w:rsidRDefault="00390F99" w:rsidP="003A2AD8">
      <w:pPr>
        <w:pStyle w:val="ListParagraph"/>
        <w:numPr>
          <w:ilvl w:val="0"/>
          <w:numId w:val="1"/>
        </w:numPr>
        <w:tabs>
          <w:tab w:val="left" w:pos="810"/>
        </w:tabs>
        <w:rPr>
          <w:rFonts w:ascii="Verdana" w:eastAsia="Times New Roman" w:hAnsi="Verdana"/>
          <w:sz w:val="24"/>
          <w:szCs w:val="24"/>
          <w14:ligatures w14:val="none"/>
        </w:rPr>
      </w:pPr>
      <w:r w:rsidRPr="00390F99">
        <w:rPr>
          <w:rFonts w:ascii="Verdana" w:eastAsia="Times New Roman" w:hAnsi="Verdana"/>
          <w:sz w:val="24"/>
          <w:szCs w:val="24"/>
          <w14:ligatures w14:val="none"/>
        </w:rPr>
        <w:t>Is the individual serving in this role considered an upper-level manager or executive within the organization?</w:t>
      </w:r>
    </w:p>
    <w:p w14:paraId="4014973F" w14:textId="77777777" w:rsidR="00390F99" w:rsidRDefault="00390F99" w:rsidP="00390F99">
      <w:pPr>
        <w:pStyle w:val="ListParagraph"/>
        <w:tabs>
          <w:tab w:val="left" w:pos="810"/>
        </w:tabs>
        <w:ind w:left="690"/>
        <w:rPr>
          <w:rFonts w:ascii="Verdana" w:eastAsia="Times New Roman" w:hAnsi="Verdana"/>
          <w:sz w:val="24"/>
          <w:szCs w:val="24"/>
          <w14:ligatures w14:val="none"/>
        </w:rPr>
      </w:pPr>
    </w:p>
    <w:p w14:paraId="28F760C5" w14:textId="77777777" w:rsidR="00627E27" w:rsidRDefault="00627E27" w:rsidP="003A2AD8">
      <w:pPr>
        <w:pStyle w:val="ListParagraph"/>
        <w:numPr>
          <w:ilvl w:val="0"/>
          <w:numId w:val="1"/>
        </w:numPr>
        <w:tabs>
          <w:tab w:val="left" w:pos="810"/>
        </w:tabs>
        <w:rPr>
          <w:rFonts w:ascii="Verdana" w:eastAsia="Times New Roman" w:hAnsi="Verdana"/>
          <w:sz w:val="24"/>
          <w:szCs w:val="24"/>
          <w14:ligatures w14:val="none"/>
        </w:rPr>
      </w:pPr>
      <w:r w:rsidRPr="00627E27">
        <w:rPr>
          <w:rFonts w:ascii="Verdana" w:eastAsia="Times New Roman" w:hAnsi="Verdana"/>
          <w:sz w:val="24"/>
          <w:szCs w:val="24"/>
          <w14:ligatures w14:val="none"/>
        </w:rPr>
        <w:t>Does this individual possess the authority to implement operational changes and enforce compliance among staff?</w:t>
      </w:r>
    </w:p>
    <w:p w14:paraId="2A7F8676" w14:textId="77777777" w:rsidR="00627E27" w:rsidRDefault="00627E27" w:rsidP="00627E27">
      <w:pPr>
        <w:pStyle w:val="ListParagraph"/>
        <w:tabs>
          <w:tab w:val="left" w:pos="810"/>
        </w:tabs>
        <w:ind w:left="690"/>
        <w:rPr>
          <w:rFonts w:ascii="Verdana" w:eastAsia="Times New Roman" w:hAnsi="Verdana"/>
          <w:sz w:val="24"/>
          <w:szCs w:val="24"/>
          <w14:ligatures w14:val="none"/>
        </w:rPr>
      </w:pPr>
    </w:p>
    <w:p w14:paraId="6572AFA3" w14:textId="77777777" w:rsidR="00C01AC7" w:rsidRDefault="00C01AC7" w:rsidP="003A2AD8">
      <w:pPr>
        <w:pStyle w:val="ListParagraph"/>
        <w:numPr>
          <w:ilvl w:val="0"/>
          <w:numId w:val="1"/>
        </w:numPr>
        <w:tabs>
          <w:tab w:val="left" w:pos="810"/>
        </w:tabs>
        <w:rPr>
          <w:rFonts w:ascii="Verdana" w:eastAsia="Times New Roman" w:hAnsi="Verdana"/>
          <w:sz w:val="24"/>
          <w:szCs w:val="24"/>
          <w14:ligatures w14:val="none"/>
        </w:rPr>
      </w:pPr>
      <w:r w:rsidRPr="00C01AC7">
        <w:rPr>
          <w:rFonts w:ascii="Verdana" w:eastAsia="Times New Roman" w:hAnsi="Verdana"/>
          <w:sz w:val="24"/>
          <w:szCs w:val="24"/>
          <w14:ligatures w14:val="none"/>
        </w:rPr>
        <w:t>Does the individual’s official role or title reflect the responsibilities described above?</w:t>
      </w:r>
    </w:p>
    <w:p w14:paraId="680B0716" w14:textId="77777777" w:rsidR="00C01AC7" w:rsidRDefault="00C01AC7" w:rsidP="00C01AC7">
      <w:pPr>
        <w:pStyle w:val="ListParagraph"/>
        <w:tabs>
          <w:tab w:val="left" w:pos="810"/>
        </w:tabs>
        <w:ind w:left="690"/>
        <w:rPr>
          <w:rFonts w:ascii="Verdana" w:eastAsia="Times New Roman" w:hAnsi="Verdana"/>
          <w:sz w:val="24"/>
          <w:szCs w:val="24"/>
          <w14:ligatures w14:val="none"/>
        </w:rPr>
      </w:pPr>
    </w:p>
    <w:p w14:paraId="5E190098" w14:textId="77777777" w:rsidR="00D20026" w:rsidRDefault="00D20026" w:rsidP="00986FD2">
      <w:pPr>
        <w:pStyle w:val="ListParagraph"/>
        <w:numPr>
          <w:ilvl w:val="0"/>
          <w:numId w:val="1"/>
        </w:numPr>
        <w:tabs>
          <w:tab w:val="left" w:pos="810"/>
        </w:tabs>
        <w:rPr>
          <w:rFonts w:ascii="Verdana" w:eastAsia="Times New Roman" w:hAnsi="Verdana"/>
          <w:sz w:val="24"/>
          <w:szCs w:val="24"/>
          <w14:ligatures w14:val="none"/>
        </w:rPr>
      </w:pPr>
      <w:r w:rsidRPr="00D20026">
        <w:rPr>
          <w:rFonts w:ascii="Verdana" w:eastAsia="Times New Roman" w:hAnsi="Verdana"/>
          <w:sz w:val="24"/>
          <w:szCs w:val="24"/>
          <w14:ligatures w14:val="none"/>
        </w:rPr>
        <w:t>In the event of a serious violation of CFR 20 Part 603, the federal guidance concerning the confidentiality of TWC data, does this individual have the authority to initiate immediate corrective action?</w:t>
      </w:r>
    </w:p>
    <w:p w14:paraId="1B16C521" w14:textId="77777777" w:rsidR="00D20026" w:rsidRDefault="00D20026" w:rsidP="00D20026">
      <w:pPr>
        <w:pStyle w:val="ListParagraph"/>
        <w:tabs>
          <w:tab w:val="left" w:pos="810"/>
        </w:tabs>
        <w:ind w:left="690"/>
        <w:rPr>
          <w:rFonts w:ascii="Verdana" w:eastAsia="Times New Roman" w:hAnsi="Verdana"/>
          <w:sz w:val="24"/>
          <w:szCs w:val="24"/>
          <w14:ligatures w14:val="none"/>
        </w:rPr>
      </w:pPr>
    </w:p>
    <w:p w14:paraId="74C57584" w14:textId="0E689068" w:rsidR="00986FD2" w:rsidRDefault="003E612A" w:rsidP="00986FD2">
      <w:pPr>
        <w:pStyle w:val="ListParagraph"/>
        <w:numPr>
          <w:ilvl w:val="0"/>
          <w:numId w:val="1"/>
        </w:numPr>
        <w:tabs>
          <w:tab w:val="left" w:pos="810"/>
        </w:tabs>
        <w:rPr>
          <w:rFonts w:ascii="Verdana" w:eastAsia="Times New Roman" w:hAnsi="Verdana"/>
          <w:sz w:val="24"/>
          <w:szCs w:val="24"/>
          <w14:ligatures w14:val="none"/>
        </w:rPr>
      </w:pPr>
      <w:r w:rsidRPr="003E612A">
        <w:rPr>
          <w:rFonts w:ascii="Verdana" w:eastAsia="Times New Roman" w:hAnsi="Verdana"/>
          <w:sz w:val="24"/>
          <w:szCs w:val="24"/>
          <w14:ligatures w14:val="none"/>
        </w:rPr>
        <w:t>Are there additional circumstances or qualifications that demonstrate this individual’s appropriateness for the Compliance Liaison role, as recognized by TWC?</w:t>
      </w:r>
      <w:r w:rsidR="00B81D54" w:rsidRPr="003379F4">
        <w:rPr>
          <w:rFonts w:ascii="Verdana" w:eastAsia="Times New Roman" w:hAnsi="Verdana"/>
          <w:sz w:val="24"/>
          <w:szCs w:val="24"/>
          <w14:ligatures w14:val="none"/>
        </w:rPr>
        <w:t xml:space="preserve"> </w:t>
      </w:r>
    </w:p>
    <w:p w14:paraId="1DF8778F" w14:textId="77777777" w:rsidR="00D20026" w:rsidRPr="003379F4" w:rsidRDefault="00D20026" w:rsidP="00D20026">
      <w:pPr>
        <w:pStyle w:val="ListParagraph"/>
        <w:tabs>
          <w:tab w:val="left" w:pos="810"/>
        </w:tabs>
        <w:ind w:left="690"/>
        <w:rPr>
          <w:rFonts w:ascii="Verdana" w:eastAsia="Times New Roman" w:hAnsi="Verdana"/>
          <w:sz w:val="24"/>
          <w:szCs w:val="24"/>
          <w14:ligatures w14:val="none"/>
        </w:rPr>
      </w:pPr>
    </w:p>
    <w:p w14:paraId="0B4D6792" w14:textId="77777777" w:rsidR="005760DE" w:rsidRDefault="005760DE" w:rsidP="00986FD2">
      <w:pPr>
        <w:pStyle w:val="ListParagraph"/>
        <w:numPr>
          <w:ilvl w:val="0"/>
          <w:numId w:val="1"/>
        </w:numPr>
        <w:tabs>
          <w:tab w:val="left" w:pos="810"/>
        </w:tabs>
        <w:rPr>
          <w:rFonts w:ascii="Verdana" w:eastAsia="Times New Roman" w:hAnsi="Verdana"/>
          <w:sz w:val="24"/>
          <w:szCs w:val="24"/>
          <w14:ligatures w14:val="none"/>
        </w:rPr>
      </w:pPr>
      <w:r w:rsidRPr="005760DE">
        <w:rPr>
          <w:rFonts w:ascii="Verdana" w:eastAsia="Times New Roman" w:hAnsi="Verdana"/>
          <w:sz w:val="24"/>
          <w:szCs w:val="24"/>
          <w14:ligatures w14:val="none"/>
        </w:rPr>
        <w:t xml:space="preserve">In the event of a breach of contract terms that could result in termination, does this individual have the authority to implement policy changes necessary to prevent termination? </w:t>
      </w:r>
    </w:p>
    <w:p w14:paraId="4DC857A3" w14:textId="77777777" w:rsidR="005760DE" w:rsidRDefault="005760DE" w:rsidP="005760DE">
      <w:pPr>
        <w:pStyle w:val="ListParagraph"/>
        <w:tabs>
          <w:tab w:val="left" w:pos="810"/>
        </w:tabs>
        <w:ind w:left="690"/>
        <w:rPr>
          <w:rFonts w:ascii="Verdana" w:eastAsia="Times New Roman" w:hAnsi="Verdana"/>
          <w:sz w:val="24"/>
          <w:szCs w:val="24"/>
          <w14:ligatures w14:val="none"/>
        </w:rPr>
      </w:pPr>
    </w:p>
    <w:p w14:paraId="6CF8E757" w14:textId="4215AC29" w:rsidR="00B81D54" w:rsidRPr="003379F4" w:rsidRDefault="005760DE" w:rsidP="002D23FE">
      <w:pPr>
        <w:pStyle w:val="ListParagraph"/>
        <w:tabs>
          <w:tab w:val="left" w:pos="810"/>
        </w:tabs>
        <w:ind w:left="690"/>
        <w:rPr>
          <w:rFonts w:ascii="Verdana" w:hAnsi="Verdana"/>
          <w:sz w:val="24"/>
          <w:szCs w:val="24"/>
          <w14:ligatures w14:val="none"/>
        </w:rPr>
      </w:pPr>
      <w:r w:rsidRPr="005760DE">
        <w:rPr>
          <w:rFonts w:ascii="Verdana" w:eastAsia="Times New Roman" w:hAnsi="Verdana"/>
          <w:b/>
          <w:bCs/>
          <w:sz w:val="24"/>
          <w:szCs w:val="24"/>
          <w14:ligatures w14:val="none"/>
        </w:rPr>
        <w:t>Exampl</w:t>
      </w:r>
      <w:r w:rsidR="006408A0">
        <w:rPr>
          <w:rFonts w:ascii="Verdana" w:eastAsia="Times New Roman" w:hAnsi="Verdana"/>
          <w:b/>
          <w:bCs/>
          <w:sz w:val="24"/>
          <w:szCs w:val="24"/>
          <w14:ligatures w14:val="none"/>
        </w:rPr>
        <w:t xml:space="preserve">e: </w:t>
      </w:r>
      <w:r w:rsidR="006408A0">
        <w:rPr>
          <w:rFonts w:ascii="Verdana" w:eastAsia="Times New Roman" w:hAnsi="Verdana"/>
          <w:sz w:val="24"/>
          <w:szCs w:val="24"/>
          <w14:ligatures w14:val="none"/>
        </w:rPr>
        <w:t>I</w:t>
      </w:r>
      <w:r w:rsidRPr="005760DE">
        <w:rPr>
          <w:rFonts w:ascii="Verdana" w:eastAsia="Times New Roman" w:hAnsi="Verdana"/>
          <w:sz w:val="24"/>
          <w:szCs w:val="24"/>
          <w14:ligatures w14:val="none"/>
        </w:rPr>
        <w:t>f the Point of Contact fails to submit the required quarterly QSARs under the contract.</w:t>
      </w:r>
    </w:p>
    <w:p w14:paraId="498DE8EF" w14:textId="77777777" w:rsidR="00265279" w:rsidRDefault="00265279" w:rsidP="003A2AD8">
      <w:pPr>
        <w:tabs>
          <w:tab w:val="left" w:pos="810"/>
        </w:tabs>
      </w:pPr>
    </w:p>
    <w:sectPr w:rsidR="0026527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7D79E" w14:textId="77777777" w:rsidR="00BA794B" w:rsidRDefault="00BA794B" w:rsidP="00EB4F10">
      <w:r>
        <w:separator/>
      </w:r>
    </w:p>
  </w:endnote>
  <w:endnote w:type="continuationSeparator" w:id="0">
    <w:p w14:paraId="38868A75" w14:textId="77777777" w:rsidR="00BA794B" w:rsidRDefault="00BA794B" w:rsidP="00EB4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28144" w14:textId="77777777" w:rsidR="00BA794B" w:rsidRDefault="00BA794B" w:rsidP="00EB4F10">
      <w:r>
        <w:separator/>
      </w:r>
    </w:p>
  </w:footnote>
  <w:footnote w:type="continuationSeparator" w:id="0">
    <w:p w14:paraId="76F0E3EF" w14:textId="77777777" w:rsidR="00BA794B" w:rsidRDefault="00BA794B" w:rsidP="00EB4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72912" w14:textId="4DCF37E6" w:rsidR="00EB4F10" w:rsidRPr="00EB4F10" w:rsidRDefault="003379F4" w:rsidP="00D373B3">
    <w:pPr>
      <w:pStyle w:val="Header"/>
      <w:jc w:val="center"/>
      <w:rPr>
        <w:rFonts w:ascii="Verdana" w:hAnsi="Verdana"/>
        <w:sz w:val="28"/>
        <w:szCs w:val="28"/>
      </w:rPr>
    </w:pPr>
    <w:r w:rsidRPr="00CD0431">
      <w:rPr>
        <w:rFonts w:ascii="Verdana" w:hAnsi="Verdana"/>
        <w:noProof/>
      </w:rPr>
      <w:drawing>
        <wp:inline distT="0" distB="0" distL="0" distR="0" wp14:anchorId="668451C0" wp14:editId="39E9DF1B">
          <wp:extent cx="943610" cy="906780"/>
          <wp:effectExtent l="0" t="0" r="8890" b="7620"/>
          <wp:docPr id="1815775837" name="Picture 1" descr="Texas Workforce Commisis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775837" name="Picture 1" descr="Texas Workforce Commisis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3610" cy="9067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DA7438"/>
    <w:multiLevelType w:val="hybridMultilevel"/>
    <w:tmpl w:val="2592A3DE"/>
    <w:lvl w:ilvl="0" w:tplc="C6066BE8">
      <w:start w:val="1"/>
      <w:numFmt w:val="decimal"/>
      <w:lvlText w:val="%1."/>
      <w:lvlJc w:val="left"/>
      <w:pPr>
        <w:ind w:left="690" w:hanging="360"/>
      </w:pPr>
    </w:lvl>
    <w:lvl w:ilvl="1" w:tplc="04090019">
      <w:start w:val="1"/>
      <w:numFmt w:val="lowerLetter"/>
      <w:lvlText w:val="%2."/>
      <w:lvlJc w:val="left"/>
      <w:pPr>
        <w:ind w:left="1410" w:hanging="360"/>
      </w:pPr>
    </w:lvl>
    <w:lvl w:ilvl="2" w:tplc="0409001B">
      <w:start w:val="1"/>
      <w:numFmt w:val="lowerRoman"/>
      <w:lvlText w:val="%3."/>
      <w:lvlJc w:val="right"/>
      <w:pPr>
        <w:ind w:left="2130" w:hanging="180"/>
      </w:pPr>
    </w:lvl>
    <w:lvl w:ilvl="3" w:tplc="0409000F">
      <w:start w:val="1"/>
      <w:numFmt w:val="decimal"/>
      <w:lvlText w:val="%4."/>
      <w:lvlJc w:val="left"/>
      <w:pPr>
        <w:ind w:left="2850" w:hanging="360"/>
      </w:pPr>
    </w:lvl>
    <w:lvl w:ilvl="4" w:tplc="04090019">
      <w:start w:val="1"/>
      <w:numFmt w:val="lowerLetter"/>
      <w:lvlText w:val="%5."/>
      <w:lvlJc w:val="left"/>
      <w:pPr>
        <w:ind w:left="3570" w:hanging="360"/>
      </w:pPr>
    </w:lvl>
    <w:lvl w:ilvl="5" w:tplc="0409001B">
      <w:start w:val="1"/>
      <w:numFmt w:val="lowerRoman"/>
      <w:lvlText w:val="%6."/>
      <w:lvlJc w:val="right"/>
      <w:pPr>
        <w:ind w:left="4290" w:hanging="180"/>
      </w:pPr>
    </w:lvl>
    <w:lvl w:ilvl="6" w:tplc="0409000F">
      <w:start w:val="1"/>
      <w:numFmt w:val="decimal"/>
      <w:lvlText w:val="%7."/>
      <w:lvlJc w:val="left"/>
      <w:pPr>
        <w:ind w:left="5010" w:hanging="360"/>
      </w:pPr>
    </w:lvl>
    <w:lvl w:ilvl="7" w:tplc="04090019">
      <w:start w:val="1"/>
      <w:numFmt w:val="lowerLetter"/>
      <w:lvlText w:val="%8."/>
      <w:lvlJc w:val="left"/>
      <w:pPr>
        <w:ind w:left="5730" w:hanging="360"/>
      </w:pPr>
    </w:lvl>
    <w:lvl w:ilvl="8" w:tplc="0409001B">
      <w:start w:val="1"/>
      <w:numFmt w:val="lowerRoman"/>
      <w:lvlText w:val="%9."/>
      <w:lvlJc w:val="right"/>
      <w:pPr>
        <w:ind w:left="6450" w:hanging="180"/>
      </w:pPr>
    </w:lvl>
  </w:abstractNum>
  <w:num w:numId="1" w16cid:durableId="180470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D54"/>
    <w:rsid w:val="00265279"/>
    <w:rsid w:val="002D23FE"/>
    <w:rsid w:val="003379F4"/>
    <w:rsid w:val="00390F99"/>
    <w:rsid w:val="003A2AD8"/>
    <w:rsid w:val="003E612A"/>
    <w:rsid w:val="00503E79"/>
    <w:rsid w:val="00513225"/>
    <w:rsid w:val="005760DE"/>
    <w:rsid w:val="00627E27"/>
    <w:rsid w:val="006408A0"/>
    <w:rsid w:val="007D1499"/>
    <w:rsid w:val="008709FA"/>
    <w:rsid w:val="00890C62"/>
    <w:rsid w:val="008B2B91"/>
    <w:rsid w:val="008B55B5"/>
    <w:rsid w:val="009461B6"/>
    <w:rsid w:val="00986FD2"/>
    <w:rsid w:val="00A147E2"/>
    <w:rsid w:val="00A233AC"/>
    <w:rsid w:val="00B81D54"/>
    <w:rsid w:val="00BA794B"/>
    <w:rsid w:val="00C01AC7"/>
    <w:rsid w:val="00C703A4"/>
    <w:rsid w:val="00D20026"/>
    <w:rsid w:val="00D373B3"/>
    <w:rsid w:val="00EB4F10"/>
    <w:rsid w:val="00FF7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D1EAB"/>
  <w15:chartTrackingRefBased/>
  <w15:docId w15:val="{7CDA2003-CBF5-425E-A305-E17726477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D54"/>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1D54"/>
    <w:pPr>
      <w:ind w:left="720"/>
    </w:pPr>
  </w:style>
  <w:style w:type="paragraph" w:styleId="Header">
    <w:name w:val="header"/>
    <w:basedOn w:val="Normal"/>
    <w:link w:val="HeaderChar"/>
    <w:uiPriority w:val="99"/>
    <w:unhideWhenUsed/>
    <w:rsid w:val="00EB4F10"/>
    <w:pPr>
      <w:tabs>
        <w:tab w:val="center" w:pos="4680"/>
        <w:tab w:val="right" w:pos="9360"/>
      </w:tabs>
    </w:pPr>
  </w:style>
  <w:style w:type="character" w:customStyle="1" w:styleId="HeaderChar">
    <w:name w:val="Header Char"/>
    <w:basedOn w:val="DefaultParagraphFont"/>
    <w:link w:val="Header"/>
    <w:uiPriority w:val="99"/>
    <w:rsid w:val="00EB4F10"/>
    <w:rPr>
      <w:rFonts w:ascii="Calibri" w:hAnsi="Calibri" w:cs="Calibri"/>
      <w:kern w:val="0"/>
    </w:rPr>
  </w:style>
  <w:style w:type="paragraph" w:styleId="Footer">
    <w:name w:val="footer"/>
    <w:basedOn w:val="Normal"/>
    <w:link w:val="FooterChar"/>
    <w:uiPriority w:val="99"/>
    <w:unhideWhenUsed/>
    <w:rsid w:val="00EB4F10"/>
    <w:pPr>
      <w:tabs>
        <w:tab w:val="center" w:pos="4680"/>
        <w:tab w:val="right" w:pos="9360"/>
      </w:tabs>
    </w:pPr>
  </w:style>
  <w:style w:type="character" w:customStyle="1" w:styleId="FooterChar">
    <w:name w:val="Footer Char"/>
    <w:basedOn w:val="DefaultParagraphFont"/>
    <w:link w:val="Footer"/>
    <w:uiPriority w:val="99"/>
    <w:rsid w:val="00EB4F10"/>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35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56359dd-d64a-40cd-aa43-cacabfcb1be4" xsi:nil="true"/>
    <lcf76f155ced4ddcb4097134ff3c332f xmlns="5782d138-0b5f-4b5b-b6b4-2742923e986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B60EACB036D443A3B795FA2E7761AC" ma:contentTypeVersion="18" ma:contentTypeDescription="Create a new document." ma:contentTypeScope="" ma:versionID="15c8e976ed1acd7231a0bdbaab235810">
  <xsd:schema xmlns:xsd="http://www.w3.org/2001/XMLSchema" xmlns:xs="http://www.w3.org/2001/XMLSchema" xmlns:p="http://schemas.microsoft.com/office/2006/metadata/properties" xmlns:ns1="http://schemas.microsoft.com/sharepoint/v3" xmlns:ns2="5782d138-0b5f-4b5b-b6b4-2742923e986e" xmlns:ns3="656359dd-d64a-40cd-aa43-cacabfcb1be4" targetNamespace="http://schemas.microsoft.com/office/2006/metadata/properties" ma:root="true" ma:fieldsID="7f05b7cfd1957d16501b7b9fdea44a4c" ns1:_="" ns2:_="" ns3:_="">
    <xsd:import namespace="http://schemas.microsoft.com/sharepoint/v3"/>
    <xsd:import namespace="5782d138-0b5f-4b5b-b6b4-2742923e986e"/>
    <xsd:import namespace="656359dd-d64a-40cd-aa43-cacabfcb1b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82d138-0b5f-4b5b-b6b4-2742923e9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2870f7a-ebce-4420-99c3-1cd72abed0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6359dd-d64a-40cd-aa43-cacabfcb1be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8c7992d-5585-45fb-a4db-6a91c605fea5}" ma:internalName="TaxCatchAll" ma:showField="CatchAllData" ma:web="656359dd-d64a-40cd-aa43-cacabfcb1be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462ABF-F4F8-483F-AF68-B3DCFE2E253D}">
  <ds:schemaRefs>
    <ds:schemaRef ds:uri="http://schemas.microsoft.com/office/2006/metadata/properties"/>
    <ds:schemaRef ds:uri="http://schemas.microsoft.com/office/infopath/2007/PartnerControls"/>
    <ds:schemaRef ds:uri="http://schemas.microsoft.com/sharepoint/v3"/>
    <ds:schemaRef ds:uri="656359dd-d64a-40cd-aa43-cacabfcb1be4"/>
    <ds:schemaRef ds:uri="5782d138-0b5f-4b5b-b6b4-2742923e986e"/>
  </ds:schemaRefs>
</ds:datastoreItem>
</file>

<file path=customXml/itemProps2.xml><?xml version="1.0" encoding="utf-8"?>
<ds:datastoreItem xmlns:ds="http://schemas.openxmlformats.org/officeDocument/2006/customXml" ds:itemID="{A781D2ED-94F4-4B73-B878-EF8C62587E5F}">
  <ds:schemaRefs>
    <ds:schemaRef ds:uri="http://schemas.microsoft.com/sharepoint/v3/contenttype/forms"/>
  </ds:schemaRefs>
</ds:datastoreItem>
</file>

<file path=customXml/itemProps3.xml><?xml version="1.0" encoding="utf-8"?>
<ds:datastoreItem xmlns:ds="http://schemas.openxmlformats.org/officeDocument/2006/customXml" ds:itemID="{96D81E63-07D1-4B9A-B0E0-EEE16FDEE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82d138-0b5f-4b5b-b6b4-2742923e986e"/>
    <ds:schemaRef ds:uri="656359dd-d64a-40cd-aa43-cacabfcb1b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Murphy,Christopher</dc:creator>
  <cp:keywords/>
  <dc:description/>
  <cp:lastModifiedBy>Emmons,Andria</cp:lastModifiedBy>
  <cp:revision>3</cp:revision>
  <dcterms:created xsi:type="dcterms:W3CDTF">2025-09-12T15:24:00Z</dcterms:created>
  <dcterms:modified xsi:type="dcterms:W3CDTF">2025-09-15T13:40:00Z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0x0101008AB60EACB036D443A3B795FA2E7761AC</vt:lpwstr>
  </property>
  <property fmtid="{D5CDD505-2E9C-101B-9397-08002B2CF9AE}" pid="3" name="MediaServiceImageTags">
    <vt:lpwstr/>
  </property>
</Properties>
</file>