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1FE3" w14:textId="1569F401" w:rsidR="00E03D30" w:rsidRPr="00722A07" w:rsidRDefault="00E03D30" w:rsidP="00E03D30">
      <w:pPr>
        <w:pStyle w:val="Heading1"/>
        <w:tabs>
          <w:tab w:val="left" w:pos="9361"/>
        </w:tabs>
        <w:spacing w:before="98"/>
        <w:jc w:val="center"/>
        <w:rPr>
          <w:rFonts w:ascii="Verdana" w:hAnsi="Verdana"/>
          <w:b/>
          <w:bCs/>
          <w:color w:val="FFFFFF"/>
          <w:shd w:val="clear" w:color="auto" w:fill="16365D"/>
        </w:rPr>
      </w:pPr>
      <w:r w:rsidRPr="00722A07">
        <w:rPr>
          <w:rFonts w:ascii="Verdana" w:hAnsi="Verdana"/>
          <w:b/>
          <w:bCs/>
          <w:color w:val="FFFFFF"/>
          <w:shd w:val="clear" w:color="auto" w:fill="16365D"/>
        </w:rPr>
        <w:t>TWC Vendor Communication Policy</w:t>
      </w:r>
    </w:p>
    <w:p w14:paraId="16CDD3D1" w14:textId="24B6ABF0" w:rsidR="00A30986" w:rsidRPr="00F661F6" w:rsidRDefault="00A30986" w:rsidP="00F661F6">
      <w:pPr>
        <w:pStyle w:val="Heading2"/>
        <w:rPr>
          <w:rFonts w:ascii="Verdana" w:hAnsi="Verdana"/>
          <w:b/>
          <w:bCs/>
          <w:color w:val="002060"/>
          <w:sz w:val="28"/>
          <w:szCs w:val="28"/>
        </w:rPr>
      </w:pPr>
      <w:r w:rsidRPr="00F661F6">
        <w:rPr>
          <w:rFonts w:ascii="Verdana" w:hAnsi="Verdana"/>
          <w:b/>
          <w:bCs/>
          <w:color w:val="002060"/>
          <w:sz w:val="28"/>
          <w:szCs w:val="28"/>
        </w:rPr>
        <w:t>F</w:t>
      </w:r>
      <w:r w:rsidR="0023614F">
        <w:rPr>
          <w:rFonts w:ascii="Verdana" w:hAnsi="Verdana"/>
          <w:b/>
          <w:bCs/>
          <w:color w:val="002060"/>
          <w:sz w:val="28"/>
          <w:szCs w:val="28"/>
        </w:rPr>
        <w:t>or Our Vendors</w:t>
      </w:r>
      <w:r w:rsidRPr="00F661F6">
        <w:rPr>
          <w:rFonts w:ascii="Verdana" w:hAnsi="Verdana"/>
          <w:b/>
          <w:bCs/>
          <w:color w:val="002060"/>
          <w:sz w:val="28"/>
          <w:szCs w:val="28"/>
        </w:rPr>
        <w:tab/>
      </w:r>
    </w:p>
    <w:p w14:paraId="38FFA801" w14:textId="61A58277" w:rsidR="00CF29B6" w:rsidRDefault="00CF29B6" w:rsidP="00D900E9">
      <w:pPr>
        <w:pStyle w:val="BodyText"/>
        <w:spacing w:line="360" w:lineRule="auto"/>
        <w:contextualSpacing/>
      </w:pPr>
      <w:r w:rsidRPr="00CF29B6">
        <w:t>This document</w:t>
      </w:r>
      <w:r w:rsidRPr="00CF29B6">
        <w:rPr>
          <w:spacing w:val="-2"/>
        </w:rPr>
        <w:t xml:space="preserve"> </w:t>
      </w:r>
      <w:r w:rsidRPr="00CF29B6">
        <w:t>serves</w:t>
      </w:r>
      <w:r w:rsidRPr="00CF29B6">
        <w:rPr>
          <w:spacing w:val="-3"/>
        </w:rPr>
        <w:t xml:space="preserve"> </w:t>
      </w:r>
      <w:r w:rsidRPr="00CF29B6">
        <w:t>as guidance</w:t>
      </w:r>
      <w:r w:rsidRPr="00CF29B6">
        <w:rPr>
          <w:spacing w:val="-6"/>
        </w:rPr>
        <w:t xml:space="preserve"> </w:t>
      </w:r>
      <w:r w:rsidRPr="00CF29B6">
        <w:t>for</w:t>
      </w:r>
      <w:r w:rsidRPr="00CF29B6">
        <w:rPr>
          <w:spacing w:val="-5"/>
        </w:rPr>
        <w:t xml:space="preserve"> </w:t>
      </w:r>
      <w:r w:rsidRPr="00CF29B6">
        <w:t>the</w:t>
      </w:r>
      <w:r w:rsidRPr="00CF29B6">
        <w:rPr>
          <w:spacing w:val="-6"/>
        </w:rPr>
        <w:t xml:space="preserve"> </w:t>
      </w:r>
      <w:r w:rsidRPr="00CF29B6">
        <w:t>vendor</w:t>
      </w:r>
      <w:r w:rsidRPr="00CF29B6">
        <w:rPr>
          <w:spacing w:val="-6"/>
        </w:rPr>
        <w:t xml:space="preserve"> </w:t>
      </w:r>
      <w:r w:rsidRPr="00CF29B6">
        <w:t>community</w:t>
      </w:r>
      <w:r w:rsidRPr="00CF29B6">
        <w:rPr>
          <w:spacing w:val="-5"/>
        </w:rPr>
        <w:t xml:space="preserve"> </w:t>
      </w:r>
      <w:r w:rsidRPr="00CF29B6">
        <w:t>to</w:t>
      </w:r>
      <w:r w:rsidRPr="00CF29B6">
        <w:rPr>
          <w:spacing w:val="-4"/>
        </w:rPr>
        <w:t xml:space="preserve"> </w:t>
      </w:r>
      <w:r w:rsidRPr="00CF29B6">
        <w:t>conduct</w:t>
      </w:r>
      <w:r w:rsidRPr="00CF29B6">
        <w:rPr>
          <w:spacing w:val="-6"/>
        </w:rPr>
        <w:t xml:space="preserve"> </w:t>
      </w:r>
      <w:r w:rsidRPr="00CF29B6">
        <w:t>introductory</w:t>
      </w:r>
      <w:r w:rsidRPr="00CF29B6">
        <w:rPr>
          <w:spacing w:val="-6"/>
        </w:rPr>
        <w:t xml:space="preserve"> </w:t>
      </w:r>
      <w:r w:rsidRPr="00CF29B6">
        <w:t>communication with TWC, to identify the parameters within which public procurement professionals, specifically TWC procurement staff, are working, and to establish standards for positive relationship building.</w:t>
      </w:r>
      <w:r w:rsidR="00373349" w:rsidRPr="00373349">
        <w:t xml:space="preserve"> </w:t>
      </w:r>
      <w:r w:rsidR="00373349">
        <w:t xml:space="preserve">The vendor community should </w:t>
      </w:r>
      <w:r w:rsidR="00D04256">
        <w:t xml:space="preserve">also </w:t>
      </w:r>
      <w:r w:rsidR="00373349">
        <w:t xml:space="preserve">review current legislation and other adopted policies, starting with the </w:t>
      </w:r>
      <w:hyperlink r:id="rId10">
        <w:r w:rsidR="00373349">
          <w:rPr>
            <w:color w:val="0000FF"/>
            <w:u w:val="single" w:color="0000FF"/>
          </w:rPr>
          <w:t xml:space="preserve">State of Texas Procurement and Contract </w:t>
        </w:r>
      </w:hyperlink>
      <w:r w:rsidR="00373349">
        <w:rPr>
          <w:color w:val="0000FF"/>
        </w:rPr>
        <w:t xml:space="preserve"> </w:t>
      </w:r>
      <w:hyperlink r:id="rId11">
        <w:r w:rsidR="00373349">
          <w:rPr>
            <w:color w:val="0000FF"/>
            <w:u w:val="single" w:color="0000FF"/>
          </w:rPr>
          <w:t>Management Guide</w:t>
        </w:r>
      </w:hyperlink>
      <w:r w:rsidR="00373349">
        <w:t>.</w:t>
      </w:r>
    </w:p>
    <w:p w14:paraId="0F07CAE7" w14:textId="77777777" w:rsidR="00CF29B6" w:rsidRPr="001802D7" w:rsidRDefault="00CF29B6" w:rsidP="00A30986">
      <w:pPr>
        <w:pStyle w:val="BodyText"/>
        <w:spacing w:before="4"/>
        <w:rPr>
          <w:b/>
          <w:bCs/>
        </w:rPr>
      </w:pPr>
    </w:p>
    <w:p w14:paraId="4097AF15" w14:textId="7733A5D6" w:rsidR="00A30986" w:rsidRPr="00F661F6" w:rsidRDefault="00F661F6" w:rsidP="00F661F6">
      <w:pPr>
        <w:pStyle w:val="Heading2"/>
        <w:rPr>
          <w:rFonts w:ascii="Verdana" w:hAnsi="Verdana"/>
          <w:b/>
          <w:bCs/>
          <w:color w:val="002060"/>
          <w:sz w:val="28"/>
          <w:szCs w:val="28"/>
        </w:rPr>
      </w:pPr>
      <w:r w:rsidRPr="00F661F6">
        <w:rPr>
          <w:rFonts w:ascii="Verdana" w:hAnsi="Verdana"/>
          <w:b/>
          <w:bCs/>
          <w:color w:val="002060"/>
          <w:sz w:val="28"/>
          <w:szCs w:val="28"/>
        </w:rPr>
        <w:t>TWC Vendor Liaison</w:t>
      </w:r>
    </w:p>
    <w:p w14:paraId="16248D4D" w14:textId="77777777" w:rsidR="00A30986" w:rsidRDefault="00A30986" w:rsidP="00A30986">
      <w:pPr>
        <w:pStyle w:val="BodyText"/>
        <w:spacing w:line="360" w:lineRule="auto"/>
        <w:ind w:right="618"/>
      </w:pPr>
      <w:r>
        <w:t>TWC has established a TWC-Vendor Liaison process to foster open communication with the vendor community whenever necessary, practicable, and appropriate. This process facilitates introductory agency-vendor</w:t>
      </w:r>
      <w:r>
        <w:rPr>
          <w:spacing w:val="-4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educates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 potential for new goods or services that have been initiated by a vendor that is not in response to a solicitation.</w:t>
      </w:r>
    </w:p>
    <w:p w14:paraId="134D8031" w14:textId="77777777" w:rsidR="00A30986" w:rsidRDefault="00A30986" w:rsidP="00A30986">
      <w:pPr>
        <w:pStyle w:val="BodyText"/>
        <w:spacing w:before="1" w:line="360" w:lineRule="auto"/>
        <w:ind w:right="770"/>
        <w:jc w:val="both"/>
      </w:pPr>
      <w:r>
        <w:t>A</w:t>
      </w:r>
      <w:r>
        <w:rPr>
          <w:spacing w:val="-10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TWC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 its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TWC Vendor Liaison email address at: </w:t>
      </w:r>
      <w:hyperlink r:id="rId12">
        <w:r>
          <w:rPr>
            <w:color w:val="0000FF"/>
            <w:u w:val="single" w:color="0000FF"/>
          </w:rPr>
          <w:t>TWCVendorComms@twc.texas.gov</w:t>
        </w:r>
      </w:hyperlink>
      <w:r>
        <w:t>.</w:t>
      </w:r>
    </w:p>
    <w:p w14:paraId="33CE6C7E" w14:textId="77777777" w:rsidR="00A30986" w:rsidRDefault="00A30986" w:rsidP="00097E9B">
      <w:pPr>
        <w:pStyle w:val="BodyText"/>
        <w:spacing w:line="360" w:lineRule="auto"/>
        <w:ind w:right="434"/>
        <w:jc w:val="both"/>
      </w:pP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vendor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encouraged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provide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following</w:t>
      </w:r>
      <w:r>
        <w:rPr>
          <w:spacing w:val="-19"/>
        </w:rPr>
        <w:t xml:space="preserve"> </w:t>
      </w:r>
      <w:r>
        <w:rPr>
          <w:spacing w:val="-2"/>
        </w:rPr>
        <w:t>information</w:t>
      </w:r>
      <w:r>
        <w:rPr>
          <w:spacing w:val="-19"/>
        </w:rPr>
        <w:t xml:space="preserve"> </w:t>
      </w:r>
      <w:r>
        <w:rPr>
          <w:spacing w:val="-2"/>
        </w:rPr>
        <w:t>at</w:t>
      </w:r>
      <w:r>
        <w:rPr>
          <w:spacing w:val="-19"/>
        </w:rPr>
        <w:t xml:space="preserve"> </w:t>
      </w:r>
      <w:r>
        <w:rPr>
          <w:spacing w:val="-2"/>
        </w:rPr>
        <w:t>initial</w:t>
      </w:r>
      <w:r>
        <w:rPr>
          <w:spacing w:val="-20"/>
        </w:rPr>
        <w:t xml:space="preserve"> </w:t>
      </w:r>
      <w:r>
        <w:rPr>
          <w:spacing w:val="-2"/>
        </w:rPr>
        <w:t>contact.</w:t>
      </w:r>
      <w:r>
        <w:rPr>
          <w:spacing w:val="-19"/>
        </w:rPr>
        <w:t xml:space="preserve"> </w:t>
      </w:r>
      <w:r>
        <w:rPr>
          <w:spacing w:val="-2"/>
        </w:rPr>
        <w:t xml:space="preserve">If </w:t>
      </w:r>
      <w:r>
        <w:rPr>
          <w:spacing w:val="-6"/>
        </w:rPr>
        <w:t>this</w:t>
      </w:r>
      <w:r>
        <w:rPr>
          <w:spacing w:val="-16"/>
        </w:rPr>
        <w:t xml:space="preserve"> </w:t>
      </w:r>
      <w:r>
        <w:rPr>
          <w:spacing w:val="-6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5"/>
        </w:rPr>
        <w:t xml:space="preserve"> </w:t>
      </w:r>
      <w:r>
        <w:rPr>
          <w:spacing w:val="-6"/>
        </w:rPr>
        <w:t>immediately</w:t>
      </w:r>
      <w:r>
        <w:rPr>
          <w:spacing w:val="-15"/>
        </w:rPr>
        <w:t xml:space="preserve"> </w:t>
      </w:r>
      <w:r>
        <w:rPr>
          <w:spacing w:val="-6"/>
        </w:rPr>
        <w:t>received,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TWC</w:t>
      </w:r>
      <w:r>
        <w:rPr>
          <w:spacing w:val="-11"/>
        </w:rPr>
        <w:t xml:space="preserve"> </w:t>
      </w:r>
      <w:r>
        <w:rPr>
          <w:spacing w:val="-6"/>
        </w:rPr>
        <w:t>Vendor</w:t>
      </w:r>
      <w:r>
        <w:rPr>
          <w:spacing w:val="-14"/>
        </w:rPr>
        <w:t xml:space="preserve"> </w:t>
      </w:r>
      <w:r>
        <w:rPr>
          <w:spacing w:val="-6"/>
        </w:rPr>
        <w:t>Liaison</w:t>
      </w:r>
      <w:r>
        <w:rPr>
          <w:spacing w:val="-15"/>
        </w:rPr>
        <w:t xml:space="preserve"> </w:t>
      </w:r>
      <w:r>
        <w:rPr>
          <w:spacing w:val="-6"/>
        </w:rPr>
        <w:t>will</w:t>
      </w:r>
      <w:r>
        <w:rPr>
          <w:spacing w:val="-16"/>
        </w:rPr>
        <w:t xml:space="preserve"> </w:t>
      </w:r>
      <w:r>
        <w:rPr>
          <w:spacing w:val="-6"/>
        </w:rPr>
        <w:t xml:space="preserve">contact </w:t>
      </w:r>
      <w:r>
        <w:t>the vendor to obtain this information:</w:t>
      </w:r>
    </w:p>
    <w:p w14:paraId="4CA839F4" w14:textId="3D20E3FF" w:rsidR="00097E9B" w:rsidRDefault="00097E9B" w:rsidP="00097E9B">
      <w:pPr>
        <w:pStyle w:val="BodyText"/>
        <w:spacing w:line="360" w:lineRule="auto"/>
        <w:ind w:right="434"/>
        <w:jc w:val="both"/>
        <w:sectPr w:rsidR="00097E9B" w:rsidSect="000200C6">
          <w:footerReference w:type="default" r:id="rId13"/>
          <w:pgSz w:w="12240" w:h="15840"/>
          <w:pgMar w:top="1360" w:right="1080" w:bottom="1740" w:left="1440" w:header="720" w:footer="720" w:gutter="0"/>
          <w:cols w:space="720"/>
          <w:docGrid w:linePitch="299"/>
        </w:sectPr>
      </w:pPr>
    </w:p>
    <w:p w14:paraId="6CC41E34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83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8"/>
          <w:sz w:val="24"/>
        </w:rPr>
        <w:lastRenderedPageBreak/>
        <w:t>Vendor</w:t>
      </w:r>
      <w:r w:rsidRPr="00F661F6">
        <w:rPr>
          <w:rFonts w:ascii="Verdana" w:hAnsi="Verdana"/>
          <w:spacing w:val="-10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name:</w:t>
      </w:r>
    </w:p>
    <w:p w14:paraId="3AC7A58E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3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Vendor</w:t>
      </w:r>
      <w:r w:rsidRPr="00F661F6">
        <w:rPr>
          <w:rFonts w:ascii="Verdana" w:hAnsi="Verdana"/>
          <w:spacing w:val="-15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type</w:t>
      </w:r>
      <w:r w:rsidRPr="00F661F6">
        <w:rPr>
          <w:rFonts w:ascii="Verdana" w:hAnsi="Verdana"/>
          <w:spacing w:val="-14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of</w:t>
      </w:r>
      <w:r w:rsidRPr="00F661F6">
        <w:rPr>
          <w:rFonts w:ascii="Verdana" w:hAnsi="Verdana"/>
          <w:spacing w:val="-15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business:</w:t>
      </w:r>
    </w:p>
    <w:p w14:paraId="18270B62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2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8"/>
          <w:sz w:val="24"/>
        </w:rPr>
        <w:t>Vendor</w:t>
      </w:r>
      <w:r w:rsidRPr="00F661F6">
        <w:rPr>
          <w:rFonts w:ascii="Verdana" w:hAnsi="Verdana"/>
          <w:spacing w:val="-10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website:</w:t>
      </w:r>
    </w:p>
    <w:p w14:paraId="2CEC7D6D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6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Vendor</w:t>
      </w:r>
      <w:r w:rsidRPr="00F661F6">
        <w:rPr>
          <w:rFonts w:ascii="Verdana" w:hAnsi="Verdana"/>
          <w:spacing w:val="-17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primary</w:t>
      </w:r>
      <w:r w:rsidRPr="00F661F6">
        <w:rPr>
          <w:rFonts w:ascii="Verdana" w:hAnsi="Verdana"/>
          <w:spacing w:val="-13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point</w:t>
      </w:r>
      <w:r w:rsidRPr="00F661F6">
        <w:rPr>
          <w:rFonts w:ascii="Verdana" w:hAnsi="Verdana"/>
          <w:spacing w:val="-15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of</w:t>
      </w:r>
      <w:r w:rsidRPr="00F661F6">
        <w:rPr>
          <w:rFonts w:ascii="Verdana" w:hAnsi="Verdana"/>
          <w:spacing w:val="-13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contact</w:t>
      </w:r>
      <w:r w:rsidRPr="00F661F6">
        <w:rPr>
          <w:rFonts w:ascii="Verdana" w:hAnsi="Verdana"/>
          <w:spacing w:val="-17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(name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and</w:t>
      </w:r>
      <w:r w:rsidRPr="00F661F6">
        <w:rPr>
          <w:rFonts w:ascii="Verdana" w:hAnsi="Verdana"/>
          <w:spacing w:val="-16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title):</w:t>
      </w:r>
    </w:p>
    <w:p w14:paraId="07949BBD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2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7"/>
          <w:sz w:val="24"/>
        </w:rPr>
        <w:t>Phone</w:t>
      </w:r>
      <w:r w:rsidRPr="00F661F6">
        <w:rPr>
          <w:rFonts w:ascii="Verdana" w:hAnsi="Verdana"/>
          <w:spacing w:val="-13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number:</w:t>
      </w:r>
    </w:p>
    <w:p w14:paraId="6B274CAB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5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Email</w:t>
      </w:r>
      <w:r w:rsidRPr="00F661F6">
        <w:rPr>
          <w:rFonts w:ascii="Verdana" w:hAnsi="Verdana"/>
          <w:spacing w:val="-16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address:</w:t>
      </w:r>
    </w:p>
    <w:p w14:paraId="5DB52000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6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2"/>
          <w:sz w:val="24"/>
        </w:rPr>
        <w:t>TIN,</w:t>
      </w:r>
      <w:r w:rsidRPr="00F661F6">
        <w:rPr>
          <w:rFonts w:ascii="Verdana" w:hAnsi="Verdana"/>
          <w:spacing w:val="-22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if</w:t>
      </w:r>
      <w:r w:rsidRPr="00F661F6">
        <w:rPr>
          <w:rFonts w:ascii="Verdana" w:hAnsi="Verdana"/>
          <w:spacing w:val="-18"/>
          <w:sz w:val="24"/>
        </w:rPr>
        <w:t xml:space="preserve"> </w:t>
      </w:r>
      <w:r w:rsidRPr="00F661F6">
        <w:rPr>
          <w:rFonts w:ascii="Verdana" w:hAnsi="Verdana"/>
          <w:spacing w:val="-2"/>
          <w:sz w:val="24"/>
        </w:rPr>
        <w:t>applicable:</w:t>
      </w:r>
    </w:p>
    <w:p w14:paraId="08997ECA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2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Title</w:t>
      </w:r>
      <w:r w:rsidRPr="00F661F6">
        <w:rPr>
          <w:rFonts w:ascii="Verdana" w:hAnsi="Verdana"/>
          <w:spacing w:val="-14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and</w:t>
      </w:r>
      <w:r w:rsidRPr="00F661F6">
        <w:rPr>
          <w:rFonts w:ascii="Verdana" w:hAnsi="Verdana"/>
          <w:spacing w:val="-17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summary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of</w:t>
      </w:r>
      <w:r w:rsidRPr="00F661F6">
        <w:rPr>
          <w:rFonts w:ascii="Verdana" w:hAnsi="Verdana"/>
          <w:spacing w:val="-11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the</w:t>
      </w:r>
      <w:r w:rsidRPr="00F661F6">
        <w:rPr>
          <w:rFonts w:ascii="Verdana" w:hAnsi="Verdana"/>
          <w:spacing w:val="-8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meeting:</w:t>
      </w:r>
    </w:p>
    <w:p w14:paraId="03A1B63F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4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2"/>
          <w:sz w:val="24"/>
        </w:rPr>
        <w:t>Objectives:</w:t>
      </w:r>
    </w:p>
    <w:p w14:paraId="6DD93E77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5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Method</w:t>
      </w:r>
      <w:r w:rsidRPr="00F661F6">
        <w:rPr>
          <w:rFonts w:ascii="Verdana" w:hAnsi="Verdana"/>
          <w:spacing w:val="-17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of</w:t>
      </w:r>
      <w:r w:rsidRPr="00F661F6">
        <w:rPr>
          <w:rFonts w:ascii="Verdana" w:hAnsi="Verdana"/>
          <w:spacing w:val="-10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approach:</w:t>
      </w:r>
    </w:p>
    <w:p w14:paraId="423E422F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3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Nature</w:t>
      </w:r>
      <w:r w:rsidRPr="00F661F6">
        <w:rPr>
          <w:rFonts w:ascii="Verdana" w:hAnsi="Verdana"/>
          <w:spacing w:val="-15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and</w:t>
      </w:r>
      <w:r w:rsidRPr="00F661F6">
        <w:rPr>
          <w:rFonts w:ascii="Verdana" w:hAnsi="Verdana"/>
          <w:spacing w:val="-16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extent</w:t>
      </w:r>
      <w:r w:rsidRPr="00F661F6">
        <w:rPr>
          <w:rFonts w:ascii="Verdana" w:hAnsi="Verdana"/>
          <w:spacing w:val="-13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of</w:t>
      </w:r>
      <w:r w:rsidRPr="00F661F6">
        <w:rPr>
          <w:rFonts w:ascii="Verdana" w:hAnsi="Verdana"/>
          <w:spacing w:val="-11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anticipated</w:t>
      </w:r>
      <w:r w:rsidRPr="00F661F6">
        <w:rPr>
          <w:rFonts w:ascii="Verdana" w:hAnsi="Verdana"/>
          <w:spacing w:val="-16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results:</w:t>
      </w:r>
    </w:p>
    <w:p w14:paraId="697DCEBA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3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6"/>
          <w:sz w:val="24"/>
        </w:rPr>
        <w:t>How</w:t>
      </w:r>
      <w:r w:rsidRPr="00F661F6">
        <w:rPr>
          <w:rFonts w:ascii="Verdana" w:hAnsi="Verdana"/>
          <w:spacing w:val="-19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the</w:t>
      </w:r>
      <w:r w:rsidRPr="00F661F6">
        <w:rPr>
          <w:rFonts w:ascii="Verdana" w:hAnsi="Verdana"/>
          <w:spacing w:val="-13"/>
          <w:sz w:val="24"/>
        </w:rPr>
        <w:t xml:space="preserve"> </w:t>
      </w:r>
      <w:proofErr w:type="gramStart"/>
      <w:r w:rsidRPr="00F661F6">
        <w:rPr>
          <w:rFonts w:ascii="Verdana" w:hAnsi="Verdana"/>
          <w:spacing w:val="-6"/>
          <w:sz w:val="24"/>
        </w:rPr>
        <w:t>good</w:t>
      </w:r>
      <w:proofErr w:type="gramEnd"/>
      <w:r w:rsidRPr="00F661F6">
        <w:rPr>
          <w:rFonts w:ascii="Verdana" w:hAnsi="Verdana"/>
          <w:spacing w:val="-6"/>
          <w:sz w:val="24"/>
        </w:rPr>
        <w:t>/service</w:t>
      </w:r>
      <w:r w:rsidRPr="00F661F6">
        <w:rPr>
          <w:rFonts w:ascii="Verdana" w:hAnsi="Verdana"/>
          <w:spacing w:val="-14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will</w:t>
      </w:r>
      <w:r w:rsidRPr="00F661F6">
        <w:rPr>
          <w:rFonts w:ascii="Verdana" w:hAnsi="Verdana"/>
          <w:spacing w:val="-18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support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the</w:t>
      </w:r>
      <w:r w:rsidRPr="00F661F6">
        <w:rPr>
          <w:rFonts w:ascii="Verdana" w:hAnsi="Verdana"/>
          <w:spacing w:val="-15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TWC’s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6"/>
          <w:sz w:val="24"/>
        </w:rPr>
        <w:t>mission:</w:t>
      </w:r>
    </w:p>
    <w:p w14:paraId="1A70A49E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45" w:line="357" w:lineRule="auto"/>
        <w:ind w:right="714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8"/>
          <w:sz w:val="24"/>
        </w:rPr>
        <w:t>Waiver</w:t>
      </w:r>
      <w:r w:rsidRPr="00F661F6">
        <w:rPr>
          <w:rFonts w:ascii="Verdana" w:hAnsi="Verdana"/>
          <w:spacing w:val="-13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of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proprietary</w:t>
      </w:r>
      <w:r w:rsidRPr="00F661F6">
        <w:rPr>
          <w:rFonts w:ascii="Verdana" w:hAnsi="Verdana"/>
          <w:spacing w:val="-14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data,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if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applicable</w:t>
      </w:r>
      <w:r w:rsidRPr="00F661F6">
        <w:rPr>
          <w:rFonts w:ascii="Verdana" w:hAnsi="Verdana"/>
          <w:spacing w:val="-10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(confidential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information</w:t>
      </w:r>
      <w:r w:rsidRPr="00F661F6">
        <w:rPr>
          <w:rFonts w:ascii="Verdana" w:hAnsi="Verdana"/>
          <w:spacing w:val="-12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 xml:space="preserve">should </w:t>
      </w:r>
      <w:r w:rsidRPr="00F661F6">
        <w:rPr>
          <w:rFonts w:ascii="Verdana" w:hAnsi="Verdana"/>
          <w:sz w:val="24"/>
        </w:rPr>
        <w:t>not be provided):</w:t>
      </w:r>
    </w:p>
    <w:p w14:paraId="6E67FC37" w14:textId="77777777" w:rsidR="00A30986" w:rsidRPr="00F661F6" w:rsidRDefault="00A30986" w:rsidP="00A30986">
      <w:pPr>
        <w:pStyle w:val="ListParagraph"/>
        <w:widowControl w:val="0"/>
        <w:numPr>
          <w:ilvl w:val="0"/>
          <w:numId w:val="1"/>
        </w:numPr>
        <w:tabs>
          <w:tab w:val="left" w:pos="859"/>
        </w:tabs>
        <w:autoSpaceDE w:val="0"/>
        <w:autoSpaceDN w:val="0"/>
        <w:spacing w:before="1" w:line="240" w:lineRule="auto"/>
        <w:contextualSpacing w:val="0"/>
        <w:rPr>
          <w:rFonts w:ascii="Verdana" w:hAnsi="Verdana"/>
          <w:sz w:val="24"/>
        </w:rPr>
      </w:pPr>
      <w:r w:rsidRPr="00F661F6">
        <w:rPr>
          <w:rFonts w:ascii="Verdana" w:hAnsi="Verdana"/>
          <w:spacing w:val="-8"/>
          <w:sz w:val="24"/>
        </w:rPr>
        <w:t>Existing</w:t>
      </w:r>
      <w:r w:rsidRPr="00F661F6">
        <w:rPr>
          <w:rFonts w:ascii="Verdana" w:hAnsi="Verdana"/>
          <w:spacing w:val="-6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TWC</w:t>
      </w:r>
      <w:r w:rsidRPr="00F661F6">
        <w:rPr>
          <w:rFonts w:ascii="Verdana" w:hAnsi="Verdana"/>
          <w:spacing w:val="-1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Contract</w:t>
      </w:r>
      <w:r w:rsidRPr="00F661F6">
        <w:rPr>
          <w:rFonts w:ascii="Verdana" w:hAnsi="Verdana"/>
          <w:spacing w:val="-4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name(s)/number(s),</w:t>
      </w:r>
      <w:r w:rsidRPr="00F661F6">
        <w:rPr>
          <w:rFonts w:ascii="Verdana" w:hAnsi="Verdana"/>
          <w:spacing w:val="-3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if</w:t>
      </w:r>
      <w:r w:rsidRPr="00F661F6">
        <w:rPr>
          <w:rFonts w:ascii="Verdana" w:hAnsi="Verdana"/>
          <w:spacing w:val="-3"/>
          <w:sz w:val="24"/>
        </w:rPr>
        <w:t xml:space="preserve"> </w:t>
      </w:r>
      <w:r w:rsidRPr="00F661F6">
        <w:rPr>
          <w:rFonts w:ascii="Verdana" w:hAnsi="Verdana"/>
          <w:spacing w:val="-8"/>
          <w:sz w:val="24"/>
        </w:rPr>
        <w:t>any:</w:t>
      </w:r>
    </w:p>
    <w:p w14:paraId="2643BA60" w14:textId="77777777" w:rsidR="00A30986" w:rsidRPr="00F661F6" w:rsidRDefault="00A30986" w:rsidP="00A30986">
      <w:pPr>
        <w:pStyle w:val="BodyText"/>
        <w:spacing w:before="143" w:line="360" w:lineRule="auto"/>
        <w:ind w:right="418"/>
        <w:jc w:val="both"/>
      </w:pPr>
      <w:r w:rsidRPr="00F661F6">
        <w:t>Receipt</w:t>
      </w:r>
      <w:r w:rsidRPr="00F661F6">
        <w:rPr>
          <w:spacing w:val="-22"/>
        </w:rPr>
        <w:t xml:space="preserve"> </w:t>
      </w:r>
      <w:r w:rsidRPr="00F661F6">
        <w:t>of</w:t>
      </w:r>
      <w:r w:rsidRPr="00F661F6">
        <w:rPr>
          <w:spacing w:val="-19"/>
        </w:rPr>
        <w:t xml:space="preserve"> </w:t>
      </w:r>
      <w:r w:rsidRPr="00F661F6">
        <w:t>the</w:t>
      </w:r>
      <w:r w:rsidRPr="00F661F6">
        <w:rPr>
          <w:spacing w:val="-17"/>
        </w:rPr>
        <w:t xml:space="preserve"> </w:t>
      </w:r>
      <w:r w:rsidRPr="00F661F6">
        <w:t>email</w:t>
      </w:r>
      <w:r w:rsidRPr="00F661F6">
        <w:rPr>
          <w:spacing w:val="-15"/>
        </w:rPr>
        <w:t xml:space="preserve"> </w:t>
      </w:r>
      <w:r w:rsidRPr="00F661F6">
        <w:t>sent</w:t>
      </w:r>
      <w:r w:rsidRPr="00F661F6">
        <w:rPr>
          <w:spacing w:val="-19"/>
        </w:rPr>
        <w:t xml:space="preserve"> </w:t>
      </w:r>
      <w:r w:rsidRPr="00F661F6">
        <w:t>to</w:t>
      </w:r>
      <w:r w:rsidRPr="00F661F6">
        <w:rPr>
          <w:spacing w:val="-18"/>
        </w:rPr>
        <w:t xml:space="preserve"> </w:t>
      </w:r>
      <w:hyperlink r:id="rId14">
        <w:r w:rsidRPr="00F661F6">
          <w:rPr>
            <w:color w:val="0000FF"/>
            <w:u w:val="single" w:color="0000FF"/>
          </w:rPr>
          <w:t>TWCVendorComms@twc.texas.gov</w:t>
        </w:r>
      </w:hyperlink>
      <w:r w:rsidRPr="00F661F6">
        <w:rPr>
          <w:color w:val="0000FF"/>
          <w:spacing w:val="-15"/>
        </w:rPr>
        <w:t xml:space="preserve"> </w:t>
      </w:r>
      <w:r w:rsidRPr="00F661F6">
        <w:t>by</w:t>
      </w:r>
      <w:r w:rsidRPr="00F661F6">
        <w:rPr>
          <w:spacing w:val="-19"/>
        </w:rPr>
        <w:t xml:space="preserve"> </w:t>
      </w:r>
      <w:r w:rsidRPr="00F661F6">
        <w:t>the</w:t>
      </w:r>
      <w:r w:rsidRPr="00F661F6">
        <w:rPr>
          <w:spacing w:val="-17"/>
        </w:rPr>
        <w:t xml:space="preserve"> </w:t>
      </w:r>
      <w:r w:rsidRPr="00F661F6">
        <w:t>vendor will</w:t>
      </w:r>
      <w:r w:rsidRPr="00F661F6">
        <w:rPr>
          <w:spacing w:val="-15"/>
        </w:rPr>
        <w:t xml:space="preserve"> </w:t>
      </w:r>
      <w:r w:rsidRPr="00F661F6">
        <w:t>be</w:t>
      </w:r>
      <w:r w:rsidRPr="00F661F6">
        <w:rPr>
          <w:spacing w:val="-15"/>
        </w:rPr>
        <w:t xml:space="preserve"> </w:t>
      </w:r>
      <w:r w:rsidRPr="00F661F6">
        <w:t>acknowledged.</w:t>
      </w:r>
      <w:r w:rsidRPr="00F661F6">
        <w:rPr>
          <w:spacing w:val="-16"/>
        </w:rPr>
        <w:t xml:space="preserve"> </w:t>
      </w:r>
      <w:r w:rsidRPr="00F661F6">
        <w:t>Follow-up</w:t>
      </w:r>
      <w:r w:rsidRPr="00F661F6">
        <w:rPr>
          <w:spacing w:val="-14"/>
        </w:rPr>
        <w:t xml:space="preserve"> </w:t>
      </w:r>
      <w:r w:rsidRPr="00F661F6">
        <w:t>or</w:t>
      </w:r>
      <w:r w:rsidRPr="00F661F6">
        <w:rPr>
          <w:spacing w:val="-15"/>
        </w:rPr>
        <w:t xml:space="preserve"> </w:t>
      </w:r>
      <w:r w:rsidRPr="00F661F6">
        <w:t>further</w:t>
      </w:r>
      <w:r w:rsidRPr="00F661F6">
        <w:rPr>
          <w:spacing w:val="-14"/>
        </w:rPr>
        <w:t xml:space="preserve"> </w:t>
      </w:r>
      <w:r w:rsidRPr="00F661F6">
        <w:t>contact</w:t>
      </w:r>
      <w:r w:rsidRPr="00F661F6">
        <w:rPr>
          <w:spacing w:val="-17"/>
        </w:rPr>
        <w:t xml:space="preserve"> </w:t>
      </w:r>
      <w:r w:rsidRPr="00F661F6">
        <w:t>from</w:t>
      </w:r>
      <w:r w:rsidRPr="00F661F6">
        <w:rPr>
          <w:spacing w:val="-16"/>
        </w:rPr>
        <w:t xml:space="preserve"> </w:t>
      </w:r>
      <w:r w:rsidRPr="00F661F6">
        <w:t>TWC</w:t>
      </w:r>
      <w:r w:rsidRPr="00F661F6">
        <w:rPr>
          <w:spacing w:val="-13"/>
        </w:rPr>
        <w:t xml:space="preserve"> </w:t>
      </w:r>
      <w:r w:rsidRPr="00F661F6">
        <w:t>will</w:t>
      </w:r>
      <w:r w:rsidRPr="00F661F6">
        <w:rPr>
          <w:spacing w:val="-16"/>
        </w:rPr>
        <w:t xml:space="preserve"> </w:t>
      </w:r>
      <w:r w:rsidRPr="00F661F6">
        <w:t>occur</w:t>
      </w:r>
      <w:r w:rsidRPr="00F661F6">
        <w:rPr>
          <w:spacing w:val="-13"/>
        </w:rPr>
        <w:t xml:space="preserve"> </w:t>
      </w:r>
      <w:r w:rsidRPr="00F661F6">
        <w:t>within five (5) to ten (10) business days.</w:t>
      </w:r>
    </w:p>
    <w:p w14:paraId="0F51BA0A" w14:textId="77777777" w:rsidR="00A30986" w:rsidRPr="00F661F6" w:rsidRDefault="00A30986" w:rsidP="00A30986">
      <w:pPr>
        <w:pStyle w:val="BodyText"/>
        <w:spacing w:line="360" w:lineRule="auto"/>
        <w:ind w:right="386"/>
        <w:jc w:val="both"/>
      </w:pPr>
      <w:r w:rsidRPr="00F661F6">
        <w:t>Note</w:t>
      </w:r>
      <w:r w:rsidRPr="00F661F6">
        <w:rPr>
          <w:spacing w:val="-13"/>
        </w:rPr>
        <w:t xml:space="preserve"> </w:t>
      </w:r>
      <w:r w:rsidRPr="00F661F6">
        <w:t>that</w:t>
      </w:r>
      <w:r w:rsidRPr="00F661F6">
        <w:rPr>
          <w:spacing w:val="-10"/>
        </w:rPr>
        <w:t xml:space="preserve"> </w:t>
      </w:r>
      <w:r w:rsidRPr="00F661F6">
        <w:t>this</w:t>
      </w:r>
      <w:r w:rsidRPr="00F661F6">
        <w:rPr>
          <w:spacing w:val="-13"/>
        </w:rPr>
        <w:t xml:space="preserve"> </w:t>
      </w:r>
      <w:r w:rsidRPr="00F661F6">
        <w:t>email</w:t>
      </w:r>
      <w:r w:rsidRPr="00F661F6">
        <w:rPr>
          <w:spacing w:val="-7"/>
        </w:rPr>
        <w:t xml:space="preserve"> </w:t>
      </w:r>
      <w:r w:rsidRPr="00F661F6">
        <w:t>address</w:t>
      </w:r>
      <w:r w:rsidRPr="00F661F6">
        <w:rPr>
          <w:spacing w:val="-9"/>
        </w:rPr>
        <w:t xml:space="preserve"> </w:t>
      </w:r>
      <w:r w:rsidRPr="00F661F6">
        <w:t>is</w:t>
      </w:r>
      <w:r w:rsidRPr="00F661F6">
        <w:rPr>
          <w:spacing w:val="-12"/>
        </w:rPr>
        <w:t xml:space="preserve"> </w:t>
      </w:r>
      <w:r w:rsidRPr="00F661F6">
        <w:t>not</w:t>
      </w:r>
      <w:r w:rsidRPr="00F661F6">
        <w:rPr>
          <w:spacing w:val="-12"/>
        </w:rPr>
        <w:t xml:space="preserve"> </w:t>
      </w:r>
      <w:r w:rsidRPr="00F661F6">
        <w:t>a</w:t>
      </w:r>
      <w:r w:rsidRPr="00F661F6">
        <w:rPr>
          <w:spacing w:val="-12"/>
        </w:rPr>
        <w:t xml:space="preserve"> </w:t>
      </w:r>
      <w:r w:rsidRPr="00F661F6">
        <w:t>mechanism</w:t>
      </w:r>
      <w:r w:rsidRPr="00F661F6">
        <w:rPr>
          <w:spacing w:val="-14"/>
        </w:rPr>
        <w:t xml:space="preserve"> </w:t>
      </w:r>
      <w:r w:rsidRPr="00F661F6">
        <w:t>for</w:t>
      </w:r>
      <w:r w:rsidRPr="00F661F6">
        <w:rPr>
          <w:spacing w:val="-10"/>
        </w:rPr>
        <w:t xml:space="preserve"> </w:t>
      </w:r>
      <w:r w:rsidRPr="00F661F6">
        <w:t>communicating</w:t>
      </w:r>
      <w:r w:rsidRPr="00F661F6">
        <w:rPr>
          <w:spacing w:val="-12"/>
        </w:rPr>
        <w:t xml:space="preserve"> </w:t>
      </w:r>
      <w:r w:rsidRPr="00F661F6">
        <w:t>with</w:t>
      </w:r>
      <w:r w:rsidRPr="00F661F6">
        <w:rPr>
          <w:spacing w:val="-14"/>
        </w:rPr>
        <w:t xml:space="preserve"> </w:t>
      </w:r>
      <w:r w:rsidRPr="00F661F6">
        <w:t>TWC regarding</w:t>
      </w:r>
      <w:r w:rsidRPr="00F661F6">
        <w:rPr>
          <w:spacing w:val="-16"/>
        </w:rPr>
        <w:t xml:space="preserve"> </w:t>
      </w:r>
      <w:r w:rsidRPr="00F661F6">
        <w:t>open</w:t>
      </w:r>
      <w:r w:rsidRPr="00F661F6">
        <w:rPr>
          <w:spacing w:val="-17"/>
        </w:rPr>
        <w:t xml:space="preserve"> </w:t>
      </w:r>
      <w:r w:rsidRPr="00F661F6">
        <w:t>solicitations.</w:t>
      </w:r>
      <w:r w:rsidRPr="00F661F6">
        <w:rPr>
          <w:spacing w:val="-14"/>
        </w:rPr>
        <w:t xml:space="preserve"> </w:t>
      </w:r>
      <w:r w:rsidRPr="00F661F6">
        <w:t>A</w:t>
      </w:r>
      <w:r w:rsidRPr="00F661F6">
        <w:rPr>
          <w:spacing w:val="-18"/>
        </w:rPr>
        <w:t xml:space="preserve"> </w:t>
      </w:r>
      <w:r w:rsidRPr="00F661F6">
        <w:t>vendor</w:t>
      </w:r>
      <w:r w:rsidRPr="00F661F6">
        <w:rPr>
          <w:spacing w:val="-16"/>
        </w:rPr>
        <w:t xml:space="preserve"> </w:t>
      </w:r>
      <w:r w:rsidRPr="00F661F6">
        <w:t>responding</w:t>
      </w:r>
      <w:r w:rsidRPr="00F661F6">
        <w:rPr>
          <w:spacing w:val="-17"/>
        </w:rPr>
        <w:t xml:space="preserve"> </w:t>
      </w:r>
      <w:r w:rsidRPr="00F661F6">
        <w:t>to</w:t>
      </w:r>
      <w:r w:rsidRPr="00F661F6">
        <w:rPr>
          <w:spacing w:val="-14"/>
        </w:rPr>
        <w:t xml:space="preserve"> </w:t>
      </w:r>
      <w:r w:rsidRPr="00F661F6">
        <w:t>an</w:t>
      </w:r>
      <w:r w:rsidRPr="00F661F6">
        <w:rPr>
          <w:spacing w:val="-17"/>
        </w:rPr>
        <w:t xml:space="preserve"> </w:t>
      </w:r>
      <w:r w:rsidRPr="00F661F6">
        <w:t>open</w:t>
      </w:r>
      <w:r w:rsidRPr="00F661F6">
        <w:rPr>
          <w:spacing w:val="-15"/>
        </w:rPr>
        <w:t xml:space="preserve"> </w:t>
      </w:r>
      <w:r w:rsidRPr="00F661F6">
        <w:t>solicitation</w:t>
      </w:r>
      <w:r w:rsidRPr="00F661F6">
        <w:rPr>
          <w:spacing w:val="-18"/>
        </w:rPr>
        <w:t xml:space="preserve"> </w:t>
      </w:r>
      <w:r w:rsidRPr="00F661F6">
        <w:t>must follow</w:t>
      </w:r>
      <w:r w:rsidRPr="00F661F6">
        <w:rPr>
          <w:spacing w:val="-8"/>
        </w:rPr>
        <w:t xml:space="preserve"> </w:t>
      </w:r>
      <w:r w:rsidRPr="00F661F6">
        <w:t>the</w:t>
      </w:r>
      <w:r w:rsidRPr="00F661F6">
        <w:rPr>
          <w:spacing w:val="-11"/>
        </w:rPr>
        <w:t xml:space="preserve"> </w:t>
      </w:r>
      <w:r w:rsidRPr="00F661F6">
        <w:t>requirements</w:t>
      </w:r>
      <w:r w:rsidRPr="00F661F6">
        <w:rPr>
          <w:spacing w:val="-8"/>
        </w:rPr>
        <w:t xml:space="preserve"> </w:t>
      </w:r>
      <w:r w:rsidRPr="00F661F6">
        <w:t>in</w:t>
      </w:r>
      <w:r w:rsidRPr="00F661F6">
        <w:rPr>
          <w:spacing w:val="-13"/>
        </w:rPr>
        <w:t xml:space="preserve"> </w:t>
      </w:r>
      <w:r w:rsidRPr="00F661F6">
        <w:t>the</w:t>
      </w:r>
      <w:r w:rsidRPr="00F661F6">
        <w:rPr>
          <w:spacing w:val="-8"/>
        </w:rPr>
        <w:t xml:space="preserve"> </w:t>
      </w:r>
      <w:r w:rsidRPr="00F661F6">
        <w:t>published</w:t>
      </w:r>
      <w:r w:rsidRPr="00F661F6">
        <w:rPr>
          <w:spacing w:val="-10"/>
        </w:rPr>
        <w:t xml:space="preserve"> </w:t>
      </w:r>
      <w:r w:rsidRPr="00F661F6">
        <w:t>solicitation.</w:t>
      </w:r>
    </w:p>
    <w:p w14:paraId="2813201F" w14:textId="77777777" w:rsidR="00D05416" w:rsidRPr="00D05416" w:rsidRDefault="00D05416" w:rsidP="00D05416">
      <w:pPr>
        <w:pStyle w:val="Heading2"/>
        <w:rPr>
          <w:rFonts w:ascii="Verdana" w:hAnsi="Verdana"/>
          <w:b/>
          <w:bCs/>
          <w:color w:val="002060"/>
        </w:rPr>
      </w:pPr>
      <w:r w:rsidRPr="00D05416">
        <w:rPr>
          <w:rFonts w:ascii="Verdana" w:hAnsi="Verdana"/>
          <w:b/>
          <w:bCs/>
          <w:color w:val="002060"/>
        </w:rPr>
        <w:t>Doing Business in Texas</w:t>
      </w:r>
    </w:p>
    <w:p w14:paraId="41F331E1" w14:textId="0067C592" w:rsidR="00A30986" w:rsidRDefault="00A30986" w:rsidP="00A30986">
      <w:pPr>
        <w:pStyle w:val="BodyText"/>
        <w:spacing w:before="196" w:line="360" w:lineRule="auto"/>
        <w:ind w:right="595"/>
      </w:pPr>
      <w:r>
        <w:t xml:space="preserve">There are several actions a prospective vendor can take to improve opportunities to do business with the State of Texas and TWC, including: </w:t>
      </w:r>
      <w:r>
        <w:rPr>
          <w:b/>
        </w:rPr>
        <w:t xml:space="preserve">Properly classify the goods and services offered. </w:t>
      </w:r>
      <w:r>
        <w:t>The State of Texas uses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NIGP</w:t>
      </w:r>
      <w:r>
        <w:rPr>
          <w:spacing w:val="-9"/>
        </w:rPr>
        <w:t xml:space="preserve"> </w:t>
      </w:r>
      <w:r>
        <w:t>(National</w:t>
      </w:r>
      <w:r>
        <w:rPr>
          <w:spacing w:val="-8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Governmental</w:t>
      </w:r>
      <w:r>
        <w:rPr>
          <w:spacing w:val="-8"/>
        </w:rPr>
        <w:t xml:space="preserve"> </w:t>
      </w:r>
      <w:r>
        <w:t>Purchasing)</w:t>
      </w:r>
      <w:r>
        <w:rPr>
          <w:spacing w:val="-4"/>
        </w:rPr>
        <w:t xml:space="preserve"> </w:t>
      </w:r>
      <w:r>
        <w:t>commodity codes to categorize goods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services.</w:t>
      </w:r>
      <w:r>
        <w:rPr>
          <w:spacing w:val="40"/>
        </w:rPr>
        <w:t xml:space="preserve"> </w:t>
      </w:r>
      <w:r>
        <w:t>These NIGP</w:t>
      </w:r>
      <w:r>
        <w:rPr>
          <w:spacing w:val="-2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are divided into purchasing class and item</w:t>
      </w:r>
      <w:r>
        <w:rPr>
          <w:spacing w:val="40"/>
        </w:rPr>
        <w:t xml:space="preserve"> </w:t>
      </w:r>
      <w:r>
        <w:t xml:space="preserve">codes (numeric) </w:t>
      </w:r>
      <w:r>
        <w:lastRenderedPageBreak/>
        <w:t>that best represent the goods and/or services offered.</w:t>
      </w:r>
      <w:r>
        <w:rPr>
          <w:spacing w:val="40"/>
        </w:rPr>
        <w:t xml:space="preserve"> </w:t>
      </w:r>
      <w:r>
        <w:t>Identifying goods and/or services will help public procurement professionals accurately locate interested vendors in particular industries.</w:t>
      </w:r>
    </w:p>
    <w:p w14:paraId="29CD60FA" w14:textId="77777777" w:rsidR="00A30986" w:rsidRDefault="00A30986" w:rsidP="00A30986">
      <w:pPr>
        <w:pStyle w:val="BodyText"/>
        <w:spacing w:before="1" w:line="360" w:lineRule="auto"/>
        <w:ind w:right="617"/>
      </w:pPr>
      <w:r>
        <w:rPr>
          <w:b/>
        </w:rPr>
        <w:t xml:space="preserve">Register as a Texas Vendor. </w:t>
      </w:r>
      <w:r>
        <w:t>Vendors seeking contracting opportunities with</w:t>
      </w:r>
      <w:r>
        <w:rPr>
          <w:spacing w:val="-24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t>should</w:t>
      </w:r>
      <w:r>
        <w:rPr>
          <w:spacing w:val="-22"/>
        </w:rPr>
        <w:t xml:space="preserve"> </w:t>
      </w:r>
      <w:r>
        <w:t>register</w:t>
      </w:r>
      <w:r>
        <w:rPr>
          <w:spacing w:val="-2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Centralized</w:t>
      </w:r>
      <w:r>
        <w:rPr>
          <w:spacing w:val="-24"/>
        </w:rPr>
        <w:t xml:space="preserve"> </w:t>
      </w:r>
      <w:r>
        <w:t>Master</w:t>
      </w:r>
      <w:r>
        <w:rPr>
          <w:spacing w:val="-21"/>
        </w:rPr>
        <w:t xml:space="preserve"> </w:t>
      </w:r>
      <w:r>
        <w:t>Bidders</w:t>
      </w:r>
      <w:r>
        <w:rPr>
          <w:spacing w:val="-21"/>
        </w:rPr>
        <w:t xml:space="preserve"> </w:t>
      </w:r>
      <w:r>
        <w:t>List</w:t>
      </w:r>
      <w:r>
        <w:rPr>
          <w:spacing w:val="-21"/>
        </w:rPr>
        <w:t xml:space="preserve"> </w:t>
      </w:r>
      <w:r>
        <w:t>(CMBL). The</w:t>
      </w:r>
      <w:r>
        <w:rPr>
          <w:spacing w:val="-21"/>
        </w:rPr>
        <w:t xml:space="preserve"> </w:t>
      </w:r>
      <w:r>
        <w:t>CMBL</w:t>
      </w:r>
      <w:r>
        <w:rPr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database</w:t>
      </w:r>
      <w:r>
        <w:rPr>
          <w:spacing w:val="-21"/>
        </w:rPr>
        <w:t xml:space="preserve"> </w:t>
      </w:r>
      <w:r>
        <w:t>used</w:t>
      </w:r>
      <w:r>
        <w:rPr>
          <w:spacing w:val="-18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Texas</w:t>
      </w:r>
      <w:r>
        <w:rPr>
          <w:spacing w:val="-22"/>
        </w:rPr>
        <w:t xml:space="preserve"> </w:t>
      </w:r>
      <w:r>
        <w:t>procurement</w:t>
      </w:r>
      <w:r>
        <w:rPr>
          <w:spacing w:val="-19"/>
        </w:rPr>
        <w:t xml:space="preserve"> </w:t>
      </w:r>
      <w:r>
        <w:t>professionals</w:t>
      </w:r>
      <w:r>
        <w:rPr>
          <w:spacing w:val="-21"/>
        </w:rPr>
        <w:t xml:space="preserve"> </w:t>
      </w:r>
      <w:r>
        <w:t>to develop a</w:t>
      </w:r>
      <w:r>
        <w:rPr>
          <w:spacing w:val="-2"/>
        </w:rPr>
        <w:t xml:space="preserve"> </w:t>
      </w:r>
      <w:r>
        <w:t>mailing list for</w:t>
      </w:r>
      <w:r>
        <w:rPr>
          <w:spacing w:val="-1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goods or services that they can provide to the state:</w:t>
      </w:r>
      <w:r>
        <w:rPr>
          <w:spacing w:val="40"/>
        </w:rPr>
        <w:t xml:space="preserve"> </w:t>
      </w:r>
      <w:hyperlink r:id="rId15">
        <w:r>
          <w:rPr>
            <w:color w:val="0000FF"/>
            <w:u w:val="single" w:color="0000FF"/>
          </w:rPr>
          <w:t>https://comptroller</w:t>
        </w:r>
      </w:hyperlink>
      <w:r>
        <w:rPr>
          <w:color w:val="0000FF"/>
        </w:rPr>
        <w:t xml:space="preserve"> </w:t>
      </w:r>
      <w:hyperlink r:id="rId16">
        <w:proofErr w:type="spellStart"/>
        <w:r>
          <w:rPr>
            <w:color w:val="0000FF"/>
            <w:u w:val="single" w:color="0000FF"/>
          </w:rPr>
          <w:t>texas</w:t>
        </w:r>
        <w:proofErr w:type="spellEnd"/>
        <w:r>
          <w:rPr>
            <w:color w:val="0000FF"/>
            <w:u w:val="single" w:color="0000FF"/>
          </w:rPr>
          <w:t xml:space="preserve"> gov/purchasing/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vendor/</w:t>
        </w:r>
        <w:proofErr w:type="spellStart"/>
        <w:r>
          <w:rPr>
            <w:color w:val="0000FF"/>
            <w:u w:val="single" w:color="0000FF"/>
          </w:rPr>
          <w:t>cmbl</w:t>
        </w:r>
        <w:proofErr w:type="spellEnd"/>
        <w:r>
          <w:rPr>
            <w:color w:val="0000FF"/>
            <w:u w:val="single" w:color="0000FF"/>
          </w:rPr>
          <w:t>/</w:t>
        </w:r>
      </w:hyperlink>
      <w:r>
        <w:rPr>
          <w:color w:val="0000FF"/>
          <w:u w:val="single" w:color="0000FF"/>
        </w:rPr>
        <w:t>.</w:t>
      </w:r>
    </w:p>
    <w:p w14:paraId="7F0ED1AB" w14:textId="77777777" w:rsidR="00980681" w:rsidRDefault="00A30986" w:rsidP="00980681">
      <w:pPr>
        <w:pStyle w:val="BodyText"/>
        <w:spacing w:before="102" w:line="360" w:lineRule="auto"/>
        <w:ind w:right="590"/>
        <w:rPr>
          <w:color w:val="0000FF"/>
          <w:spacing w:val="-4"/>
          <w:u w:val="single" w:color="0000FF"/>
        </w:rPr>
      </w:pPr>
      <w:r w:rsidRPr="714A041F">
        <w:rPr>
          <w:b/>
          <w:bCs/>
        </w:rPr>
        <w:t xml:space="preserve">Obtain Historically Underutilized Business (HUB) certification, if eligible. </w:t>
      </w:r>
      <w:r>
        <w:t xml:space="preserve">The Statewide HUB Program at the Texas Comptroller of Public Accounts certifies qualified </w:t>
      </w:r>
      <w:r w:rsidDel="00527709">
        <w:t>small</w:t>
      </w:r>
      <w:r>
        <w:t xml:space="preserve"> businesses as Historically Underutilized Businesses (HUBs).</w:t>
      </w:r>
      <w:r>
        <w:rPr>
          <w:spacing w:val="40"/>
        </w:rPr>
        <w:t xml:space="preserve"> </w:t>
      </w:r>
      <w:r>
        <w:t>To qualify, an applicant</w:t>
      </w:r>
      <w:r>
        <w:rPr>
          <w:spacing w:val="-7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of the business and control day-to-day operations. An applicant owner must</w:t>
      </w:r>
      <w:r w:rsidDel="00527709">
        <w:t xml:space="preserve"> </w:t>
      </w:r>
      <w:r>
        <w:t>also be economically disadvantaged</w:t>
      </w:r>
      <w:r w:rsidDel="00527709">
        <w:t xml:space="preserve"> either as a woman business owner, minority business owner, or</w:t>
      </w:r>
      <w:r>
        <w:t xml:space="preserve"> service-disabled veteran business owner. Please see the following website for more information: </w:t>
      </w:r>
      <w:hyperlink r:id="rId18">
        <w:r>
          <w:rPr>
            <w:color w:val="0000FF"/>
            <w:u w:val="single" w:color="0000FF"/>
          </w:rPr>
          <w:t>https://comptroller</w:t>
        </w:r>
        <w:r>
          <w:rPr>
            <w:color w:val="0000FF"/>
            <w:spacing w:val="-13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texas</w:t>
        </w:r>
        <w:proofErr w:type="spellEnd"/>
      </w:hyperlink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13"/>
        </w:rPr>
        <w:t xml:space="preserve"> </w:t>
      </w:r>
      <w:hyperlink r:id="rId19">
        <w:r>
          <w:rPr>
            <w:color w:val="0000FF"/>
            <w:u w:val="single" w:color="0000FF"/>
          </w:rPr>
          <w:t>gov/purchasing/vendor/hub/certification-process</w:t>
        </w:r>
      </w:hyperlink>
      <w:r>
        <w:rPr>
          <w:color w:val="0000FF"/>
        </w:rPr>
        <w:t xml:space="preserve"> </w:t>
      </w:r>
      <w:hyperlink r:id="rId20">
        <w:proofErr w:type="spellStart"/>
        <w:r>
          <w:rPr>
            <w:color w:val="0000FF"/>
            <w:spacing w:val="-4"/>
            <w:u w:val="single" w:color="0000FF"/>
          </w:rPr>
          <w:t>php</w:t>
        </w:r>
        <w:proofErr w:type="spellEnd"/>
      </w:hyperlink>
      <w:r>
        <w:rPr>
          <w:color w:val="0000FF"/>
          <w:spacing w:val="-4"/>
          <w:u w:val="single" w:color="0000FF"/>
        </w:rPr>
        <w:t>.</w:t>
      </w:r>
    </w:p>
    <w:p w14:paraId="6699BAFA" w14:textId="53B5C336" w:rsidR="00A30986" w:rsidRDefault="00A30986" w:rsidP="00980681">
      <w:pPr>
        <w:pStyle w:val="BodyText"/>
        <w:spacing w:before="102" w:line="360" w:lineRule="auto"/>
        <w:ind w:right="590"/>
      </w:pPr>
      <w:r>
        <w:rPr>
          <w:b/>
        </w:rPr>
        <w:t>Regularly</w:t>
      </w:r>
      <w:r>
        <w:rPr>
          <w:b/>
          <w:spacing w:val="-7"/>
        </w:rPr>
        <w:t xml:space="preserve"> </w:t>
      </w:r>
      <w:r>
        <w:rPr>
          <w:b/>
        </w:rPr>
        <w:t>Search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Electronic</w:t>
      </w:r>
      <w:r>
        <w:rPr>
          <w:b/>
          <w:spacing w:val="-6"/>
        </w:rPr>
        <w:t xml:space="preserve"> </w:t>
      </w:r>
      <w:r>
        <w:rPr>
          <w:b/>
        </w:rPr>
        <w:t>State</w:t>
      </w:r>
      <w:r>
        <w:rPr>
          <w:b/>
          <w:spacing w:val="-7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Daily</w:t>
      </w:r>
      <w:r>
        <w:rPr>
          <w:b/>
          <w:spacing w:val="-2"/>
        </w:rPr>
        <w:t xml:space="preserve"> </w:t>
      </w:r>
      <w:r>
        <w:rPr>
          <w:b/>
        </w:rPr>
        <w:t>(ESBD).</w:t>
      </w:r>
      <w:r>
        <w:rPr>
          <w:b/>
          <w:spacing w:val="-3"/>
        </w:rPr>
        <w:t xml:space="preserve"> </w:t>
      </w:r>
      <w:r>
        <w:t>State and local governments post solicitations on the Electronic State Business Daily (ESBD), the state’s search engine for its most valuable contract opportunities.</w:t>
      </w:r>
      <w:r>
        <w:rPr>
          <w:spacing w:val="34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and item</w:t>
      </w:r>
      <w:r>
        <w:rPr>
          <w:spacing w:val="-11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statewide</w:t>
      </w:r>
      <w:r>
        <w:rPr>
          <w:spacing w:val="28"/>
        </w:rPr>
        <w:t xml:space="preserve"> </w:t>
      </w:r>
      <w:hyperlink r:id="rId21">
        <w:r>
          <w:rPr>
            <w:color w:val="0000FF"/>
            <w:u w:val="single" w:color="0000FF"/>
          </w:rPr>
          <w:t>http://www</w:t>
        </w:r>
        <w:r>
          <w:rPr>
            <w:color w:val="0000FF"/>
            <w:spacing w:val="-6"/>
            <w:u w:val="single" w:color="0000FF"/>
          </w:rPr>
          <w:t xml:space="preserve"> </w:t>
        </w:r>
      </w:hyperlink>
      <w:r>
        <w:rPr>
          <w:color w:val="0000FF"/>
          <w:spacing w:val="-6"/>
        </w:rPr>
        <w:t xml:space="preserve"> </w:t>
      </w:r>
      <w:hyperlink r:id="rId22">
        <w:proofErr w:type="spellStart"/>
        <w:r>
          <w:rPr>
            <w:color w:val="0000FF"/>
            <w:u w:val="single" w:color="0000FF"/>
          </w:rPr>
          <w:t>txsmartbuy</w:t>
        </w:r>
        <w:proofErr w:type="spellEnd"/>
        <w:r>
          <w:rPr>
            <w:color w:val="0000FF"/>
            <w:u w:val="single" w:color="0000FF"/>
          </w:rPr>
          <w:t xml:space="preserve"> com/</w:t>
        </w:r>
        <w:proofErr w:type="spellStart"/>
        <w:r>
          <w:rPr>
            <w:color w:val="0000FF"/>
            <w:u w:val="single" w:color="0000FF"/>
          </w:rPr>
          <w:t>esbd</w:t>
        </w:r>
        <w:proofErr w:type="spellEnd"/>
      </w:hyperlink>
      <w:r>
        <w:rPr>
          <w:color w:val="0000FF"/>
          <w:u w:val="single" w:color="0000FF"/>
        </w:rPr>
        <w:t>.</w:t>
      </w:r>
    </w:p>
    <w:p w14:paraId="32A6FD56" w14:textId="77777777" w:rsidR="00A30986" w:rsidRDefault="00A30986" w:rsidP="00A30986">
      <w:pPr>
        <w:pStyle w:val="BodyText"/>
        <w:spacing w:before="101" w:line="360" w:lineRule="auto"/>
        <w:ind w:right="398"/>
      </w:pPr>
      <w:r>
        <w:rPr>
          <w:b/>
        </w:rPr>
        <w:t xml:space="preserve">Check Qualifications. </w:t>
      </w:r>
      <w:r>
        <w:t>Vendors must be in good standing with state and federal entities.</w:t>
      </w:r>
      <w:r>
        <w:rPr>
          <w:spacing w:val="40"/>
        </w:rPr>
        <w:t xml:space="preserve"> </w:t>
      </w:r>
      <w:r>
        <w:t>Prospective vendors are encouraged</w:t>
      </w:r>
      <w:r>
        <w:rPr>
          <w:spacing w:val="40"/>
        </w:rPr>
        <w:t xml:space="preserve"> </w:t>
      </w:r>
      <w:r>
        <w:t>to confirm if their business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Texas</w:t>
      </w:r>
      <w:r>
        <w:rPr>
          <w:spacing w:val="-8"/>
        </w:rPr>
        <w:t xml:space="preserve"> </w:t>
      </w:r>
      <w:r>
        <w:t>franchise</w:t>
      </w:r>
      <w:r>
        <w:rPr>
          <w:spacing w:val="-5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lastRenderedPageBreak/>
        <w:t>in good</w:t>
      </w:r>
      <w:r>
        <w:rPr>
          <w:spacing w:val="-3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“active.”</w:t>
      </w:r>
      <w:r>
        <w:rPr>
          <w:spacing w:val="37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ensure that potential vendors are in good standing with the federal government by checking federal databases, such as </w:t>
      </w:r>
      <w:hyperlink r:id="rId23">
        <w:r>
          <w:rPr>
            <w:color w:val="0000FF"/>
            <w:u w:val="single" w:color="0000FF"/>
          </w:rPr>
          <w:t>SAM.gov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40"/>
        </w:rPr>
        <w:t xml:space="preserve"> </w:t>
      </w:r>
      <w:r>
        <w:t xml:space="preserve">In addition, vendors must comply with any additional prohibitions that are prescribed in statute. The </w:t>
      </w:r>
      <w:hyperlink r:id="rId24">
        <w:r>
          <w:rPr>
            <w:color w:val="0000FF"/>
            <w:u w:val="single" w:color="0000FF"/>
          </w:rPr>
          <w:t>State of Texas Procurement and Contract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>Management Guide</w:t>
        </w:r>
      </w:hyperlink>
      <w:r>
        <w:rPr>
          <w:color w:val="0000FF"/>
        </w:rPr>
        <w:t xml:space="preserve"> </w:t>
      </w:r>
      <w:r>
        <w:t>identifies these prohibitions.</w:t>
      </w:r>
    </w:p>
    <w:p w14:paraId="22044A62" w14:textId="77777777" w:rsidR="000C1933" w:rsidRDefault="000C1933"/>
    <w:sectPr w:rsidR="000C1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2F18" w14:textId="77777777" w:rsidR="009B17C1" w:rsidRDefault="009B17C1" w:rsidP="000200C6">
      <w:pPr>
        <w:spacing w:line="240" w:lineRule="auto"/>
      </w:pPr>
      <w:r>
        <w:separator/>
      </w:r>
    </w:p>
  </w:endnote>
  <w:endnote w:type="continuationSeparator" w:id="0">
    <w:p w14:paraId="42568003" w14:textId="77777777" w:rsidR="009B17C1" w:rsidRDefault="009B17C1" w:rsidP="0002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4652" w14:textId="1E0649B6" w:rsidR="000950FB" w:rsidRPr="000950FB" w:rsidRDefault="001057E3" w:rsidP="000950FB">
    <w:pPr>
      <w:tabs>
        <w:tab w:val="center" w:pos="4680"/>
        <w:tab w:val="right" w:pos="9360"/>
      </w:tabs>
      <w:rPr>
        <w:rFonts w:ascii="Verdana" w:hAnsi="Verdana"/>
        <w:sz w:val="18"/>
      </w:rPr>
    </w:pPr>
    <w:r>
      <w:rPr>
        <w:rFonts w:ascii="Verdana" w:hAnsi="Verdana"/>
        <w:sz w:val="18"/>
      </w:rPr>
      <w:t>TWC Vendor Communication Policy</w:t>
    </w:r>
    <w:r w:rsidR="000950FB" w:rsidRPr="000950FB">
      <w:rPr>
        <w:rFonts w:ascii="Verdana" w:hAnsi="Verdana"/>
        <w:sz w:val="18"/>
      </w:rPr>
      <w:tab/>
    </w:r>
    <w:r w:rsidR="000950FB" w:rsidRPr="000950FB">
      <w:rPr>
        <w:rFonts w:ascii="Verdana" w:hAnsi="Verdana"/>
        <w:sz w:val="18"/>
      </w:rPr>
      <w:tab/>
      <w:t xml:space="preserve">     </w:t>
    </w:r>
    <w:r>
      <w:rPr>
        <w:rFonts w:ascii="Verdana" w:hAnsi="Verdana"/>
        <w:sz w:val="18"/>
      </w:rPr>
      <w:t>Revised</w:t>
    </w:r>
    <w:r w:rsidR="000950FB" w:rsidRPr="000950FB">
      <w:rPr>
        <w:rFonts w:ascii="Verdana" w:hAnsi="Verdana"/>
        <w:sz w:val="18"/>
      </w:rPr>
      <w:t xml:space="preserve"> March 2026</w:t>
    </w:r>
  </w:p>
  <w:p w14:paraId="1AF27B14" w14:textId="77777777" w:rsidR="000950FB" w:rsidRPr="000950FB" w:rsidRDefault="000950FB" w:rsidP="000950FB">
    <w:pPr>
      <w:tabs>
        <w:tab w:val="center" w:pos="4680"/>
        <w:tab w:val="right" w:pos="9360"/>
      </w:tabs>
      <w:rPr>
        <w:rFonts w:ascii="Verdana" w:hAnsi="Verdana"/>
        <w:sz w:val="18"/>
      </w:rPr>
    </w:pPr>
    <w:r w:rsidRPr="000950FB">
      <w:rPr>
        <w:rFonts w:ascii="Verdana" w:hAnsi="Verdana"/>
        <w:sz w:val="18"/>
      </w:rPr>
      <w:tab/>
    </w:r>
    <w:r w:rsidRPr="000950FB">
      <w:rPr>
        <w:rFonts w:ascii="Verdana" w:hAnsi="Verdana"/>
        <w:sz w:val="18"/>
      </w:rPr>
      <w:tab/>
      <w:t xml:space="preserve">Page </w:t>
    </w:r>
    <w:r w:rsidRPr="000950FB">
      <w:rPr>
        <w:rFonts w:ascii="Verdana" w:hAnsi="Verdana"/>
        <w:sz w:val="18"/>
      </w:rPr>
      <w:fldChar w:fldCharType="begin"/>
    </w:r>
    <w:r w:rsidRPr="000950FB">
      <w:rPr>
        <w:rFonts w:ascii="Verdana" w:hAnsi="Verdana"/>
        <w:sz w:val="18"/>
      </w:rPr>
      <w:instrText xml:space="preserve"> PAGE  \* Arabic  \* MERGEFORMAT </w:instrText>
    </w:r>
    <w:r w:rsidRPr="000950FB">
      <w:rPr>
        <w:rFonts w:ascii="Verdana" w:hAnsi="Verdana"/>
        <w:sz w:val="18"/>
      </w:rPr>
      <w:fldChar w:fldCharType="separate"/>
    </w:r>
    <w:r w:rsidRPr="000950FB">
      <w:rPr>
        <w:rFonts w:ascii="Verdana" w:hAnsi="Verdana"/>
        <w:sz w:val="18"/>
      </w:rPr>
      <w:t>7</w:t>
    </w:r>
    <w:r w:rsidRPr="000950FB">
      <w:rPr>
        <w:rFonts w:ascii="Verdana" w:hAnsi="Verdana"/>
        <w:sz w:val="18"/>
      </w:rPr>
      <w:fldChar w:fldCharType="end"/>
    </w:r>
    <w:r w:rsidRPr="000950FB">
      <w:rPr>
        <w:rFonts w:ascii="Verdana" w:hAnsi="Verdana"/>
        <w:sz w:val="18"/>
      </w:rPr>
      <w:t xml:space="preserve"> of </w:t>
    </w:r>
    <w:r w:rsidRPr="000950FB">
      <w:rPr>
        <w:rFonts w:ascii="Verdana" w:hAnsi="Verdana"/>
        <w:sz w:val="18"/>
      </w:rPr>
      <w:fldChar w:fldCharType="begin"/>
    </w:r>
    <w:r w:rsidRPr="000950FB">
      <w:rPr>
        <w:rFonts w:ascii="Verdana" w:hAnsi="Verdana"/>
        <w:sz w:val="18"/>
      </w:rPr>
      <w:instrText>NUMPAGES  \* Arabic  \* MERGEFORMAT</w:instrText>
    </w:r>
    <w:r w:rsidRPr="000950FB">
      <w:rPr>
        <w:rFonts w:ascii="Verdana" w:hAnsi="Verdana"/>
        <w:sz w:val="18"/>
      </w:rPr>
      <w:fldChar w:fldCharType="separate"/>
    </w:r>
    <w:r w:rsidRPr="000950FB">
      <w:rPr>
        <w:rFonts w:ascii="Verdana" w:hAnsi="Verdana"/>
        <w:sz w:val="18"/>
      </w:rPr>
      <w:t>10</w:t>
    </w:r>
    <w:r w:rsidRPr="000950FB">
      <w:rPr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55CC" w14:textId="77777777" w:rsidR="009B17C1" w:rsidRDefault="009B17C1" w:rsidP="000200C6">
      <w:pPr>
        <w:spacing w:line="240" w:lineRule="auto"/>
      </w:pPr>
      <w:r>
        <w:separator/>
      </w:r>
    </w:p>
  </w:footnote>
  <w:footnote w:type="continuationSeparator" w:id="0">
    <w:p w14:paraId="6A183118" w14:textId="77777777" w:rsidR="009B17C1" w:rsidRDefault="009B17C1" w:rsidP="000200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3EC4"/>
    <w:multiLevelType w:val="hybridMultilevel"/>
    <w:tmpl w:val="58C0375E"/>
    <w:lvl w:ilvl="0" w:tplc="889A05C2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38905270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F796DB5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4C4C5386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4" w:tplc="A7D88C2C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DA30DE5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97FE6528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2CBA4D5E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85800902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num w:numId="1" w16cid:durableId="18197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86"/>
    <w:rsid w:val="000200C6"/>
    <w:rsid w:val="000313BC"/>
    <w:rsid w:val="0004027E"/>
    <w:rsid w:val="000630EB"/>
    <w:rsid w:val="000950FB"/>
    <w:rsid w:val="00097E9B"/>
    <w:rsid w:val="000C1933"/>
    <w:rsid w:val="000D7DE6"/>
    <w:rsid w:val="000E6A73"/>
    <w:rsid w:val="00100DA8"/>
    <w:rsid w:val="001057E3"/>
    <w:rsid w:val="00115EBB"/>
    <w:rsid w:val="001336F0"/>
    <w:rsid w:val="00160082"/>
    <w:rsid w:val="00160D8C"/>
    <w:rsid w:val="00172D8C"/>
    <w:rsid w:val="001802D7"/>
    <w:rsid w:val="00193A17"/>
    <w:rsid w:val="001A4C4D"/>
    <w:rsid w:val="001A5E0B"/>
    <w:rsid w:val="001E15BD"/>
    <w:rsid w:val="001E22B3"/>
    <w:rsid w:val="00212E19"/>
    <w:rsid w:val="0022048F"/>
    <w:rsid w:val="0022173B"/>
    <w:rsid w:val="0023614F"/>
    <w:rsid w:val="00245524"/>
    <w:rsid w:val="00245792"/>
    <w:rsid w:val="00297B42"/>
    <w:rsid w:val="002C7E0C"/>
    <w:rsid w:val="002D03A5"/>
    <w:rsid w:val="002E3D5C"/>
    <w:rsid w:val="002E4BA1"/>
    <w:rsid w:val="002E64BB"/>
    <w:rsid w:val="00346BBA"/>
    <w:rsid w:val="0036703D"/>
    <w:rsid w:val="00367E1E"/>
    <w:rsid w:val="00373349"/>
    <w:rsid w:val="00375C93"/>
    <w:rsid w:val="00384704"/>
    <w:rsid w:val="00396179"/>
    <w:rsid w:val="003B1BB5"/>
    <w:rsid w:val="003E530E"/>
    <w:rsid w:val="003F6B78"/>
    <w:rsid w:val="003F7B97"/>
    <w:rsid w:val="004143F7"/>
    <w:rsid w:val="00421AE6"/>
    <w:rsid w:val="004301E2"/>
    <w:rsid w:val="00433ED5"/>
    <w:rsid w:val="004371B1"/>
    <w:rsid w:val="0045103F"/>
    <w:rsid w:val="00454B0C"/>
    <w:rsid w:val="004715FC"/>
    <w:rsid w:val="00476AAC"/>
    <w:rsid w:val="00480611"/>
    <w:rsid w:val="004A74BB"/>
    <w:rsid w:val="004B6F5A"/>
    <w:rsid w:val="004E2D2B"/>
    <w:rsid w:val="004E5909"/>
    <w:rsid w:val="004E5F35"/>
    <w:rsid w:val="005138E4"/>
    <w:rsid w:val="00527AF9"/>
    <w:rsid w:val="00571736"/>
    <w:rsid w:val="00573AE6"/>
    <w:rsid w:val="00580E7A"/>
    <w:rsid w:val="005C0748"/>
    <w:rsid w:val="005D00B1"/>
    <w:rsid w:val="005D562E"/>
    <w:rsid w:val="005E3AC1"/>
    <w:rsid w:val="005E6543"/>
    <w:rsid w:val="005F24C5"/>
    <w:rsid w:val="005F4D9B"/>
    <w:rsid w:val="006055CF"/>
    <w:rsid w:val="00607FCF"/>
    <w:rsid w:val="00611B78"/>
    <w:rsid w:val="00645C47"/>
    <w:rsid w:val="00660EB7"/>
    <w:rsid w:val="006A2A99"/>
    <w:rsid w:val="006C0644"/>
    <w:rsid w:val="00701481"/>
    <w:rsid w:val="00722A07"/>
    <w:rsid w:val="0074636D"/>
    <w:rsid w:val="00755B29"/>
    <w:rsid w:val="007978D6"/>
    <w:rsid w:val="007A0FB6"/>
    <w:rsid w:val="007A5F60"/>
    <w:rsid w:val="007B464D"/>
    <w:rsid w:val="007C05A8"/>
    <w:rsid w:val="007F7366"/>
    <w:rsid w:val="00822F81"/>
    <w:rsid w:val="00836786"/>
    <w:rsid w:val="008574DA"/>
    <w:rsid w:val="008A358C"/>
    <w:rsid w:val="008D6611"/>
    <w:rsid w:val="008E5DD9"/>
    <w:rsid w:val="00920272"/>
    <w:rsid w:val="00941609"/>
    <w:rsid w:val="00951328"/>
    <w:rsid w:val="00956BF8"/>
    <w:rsid w:val="009624C4"/>
    <w:rsid w:val="00980681"/>
    <w:rsid w:val="009A44A3"/>
    <w:rsid w:val="009B17C1"/>
    <w:rsid w:val="009E3CFB"/>
    <w:rsid w:val="00A30986"/>
    <w:rsid w:val="00A518D5"/>
    <w:rsid w:val="00A54E91"/>
    <w:rsid w:val="00A563AE"/>
    <w:rsid w:val="00A56BF0"/>
    <w:rsid w:val="00A61EB4"/>
    <w:rsid w:val="00A715FE"/>
    <w:rsid w:val="00A81DEE"/>
    <w:rsid w:val="00AA3CAD"/>
    <w:rsid w:val="00AA3F73"/>
    <w:rsid w:val="00AA68F0"/>
    <w:rsid w:val="00AC20A0"/>
    <w:rsid w:val="00AC4A27"/>
    <w:rsid w:val="00AD4697"/>
    <w:rsid w:val="00AE02D4"/>
    <w:rsid w:val="00AE49AA"/>
    <w:rsid w:val="00AF1304"/>
    <w:rsid w:val="00B23B10"/>
    <w:rsid w:val="00B34BA5"/>
    <w:rsid w:val="00B62367"/>
    <w:rsid w:val="00B83A36"/>
    <w:rsid w:val="00C20230"/>
    <w:rsid w:val="00C27A93"/>
    <w:rsid w:val="00C71CFB"/>
    <w:rsid w:val="00CD40F4"/>
    <w:rsid w:val="00CD77EF"/>
    <w:rsid w:val="00CF29B6"/>
    <w:rsid w:val="00CF3FE1"/>
    <w:rsid w:val="00D04256"/>
    <w:rsid w:val="00D05416"/>
    <w:rsid w:val="00D31587"/>
    <w:rsid w:val="00D40D94"/>
    <w:rsid w:val="00D8560D"/>
    <w:rsid w:val="00D900E9"/>
    <w:rsid w:val="00DB3B15"/>
    <w:rsid w:val="00DE0C58"/>
    <w:rsid w:val="00DF16EA"/>
    <w:rsid w:val="00E03D30"/>
    <w:rsid w:val="00E07D95"/>
    <w:rsid w:val="00E32FB7"/>
    <w:rsid w:val="00E51CCD"/>
    <w:rsid w:val="00EA6A97"/>
    <w:rsid w:val="00EF62DF"/>
    <w:rsid w:val="00F01670"/>
    <w:rsid w:val="00F27C38"/>
    <w:rsid w:val="00F661F6"/>
    <w:rsid w:val="00F74BC3"/>
    <w:rsid w:val="00F92E4A"/>
    <w:rsid w:val="00F9366E"/>
    <w:rsid w:val="00F96E94"/>
    <w:rsid w:val="00F97331"/>
    <w:rsid w:val="00FA2D41"/>
    <w:rsid w:val="00FC171C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57FD"/>
  <w15:chartTrackingRefBased/>
  <w15:docId w15:val="{FFE638DC-5EC0-42A2-A598-3E0BD2A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9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3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9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098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0986"/>
    <w:rPr>
      <w:rFonts w:ascii="Verdana" w:eastAsia="Verdana" w:hAnsi="Verdana" w:cs="Verdana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98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986"/>
    <w:rPr>
      <w:rFonts w:ascii="Verdana" w:eastAsia="Verdana" w:hAnsi="Verdana" w:cs="Verdana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0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C6"/>
  </w:style>
  <w:style w:type="paragraph" w:styleId="Footer">
    <w:name w:val="footer"/>
    <w:basedOn w:val="Normal"/>
    <w:link w:val="FooterChar"/>
    <w:uiPriority w:val="99"/>
    <w:unhideWhenUsed/>
    <w:rsid w:val="000200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comptroller.texas.gov/purchasing/vendor/hub/certification-proces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txsmartbuy.com/esb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TWCVendorComms@twc.texas.gov" TargetMode="External"/><Relationship Id="rId17" Type="http://schemas.openxmlformats.org/officeDocument/2006/relationships/hyperlink" Target="https://comptroller.texas.gov/purchasing/vendor/cmbl/" TargetMode="External"/><Relationship Id="rId25" Type="http://schemas.openxmlformats.org/officeDocument/2006/relationships/hyperlink" Target="https://comptroller.texas.gov/purchasing/publications/procurement-contract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ptroller.texas.gov/purchasing/vendor/cmbl/" TargetMode="External"/><Relationship Id="rId20" Type="http://schemas.openxmlformats.org/officeDocument/2006/relationships/hyperlink" Target="https://comptroller.texas.gov/purchasing/vendor/hub/certification-process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ptroller.texas.gov/purchasing/publications/procurement-contract.php" TargetMode="External"/><Relationship Id="rId24" Type="http://schemas.openxmlformats.org/officeDocument/2006/relationships/hyperlink" Target="https://comptroller.texas.gov/purchasing/publications/procurement-contract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mptroller.texas.gov/purchasing/vendor/cmbl/" TargetMode="External"/><Relationship Id="rId23" Type="http://schemas.openxmlformats.org/officeDocument/2006/relationships/hyperlink" Target="https://sam.gov/content/home" TargetMode="External"/><Relationship Id="rId10" Type="http://schemas.openxmlformats.org/officeDocument/2006/relationships/hyperlink" Target="https://comptroller.texas.gov/purchasing/publications/procurement-contract.php" TargetMode="External"/><Relationship Id="rId19" Type="http://schemas.openxmlformats.org/officeDocument/2006/relationships/hyperlink" Target="https://comptroller.texas.gov/purchasing/vendor/hub/certification-proces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WCVendorComms@twc.texas.gov" TargetMode="External"/><Relationship Id="rId22" Type="http://schemas.openxmlformats.org/officeDocument/2006/relationships/hyperlink" Target="http://www.txsmartbuy.com/es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56359dd-d64a-40cd-aa43-cacabfcb1be4" xsi:nil="true"/>
    <_ip_UnifiedCompliancePolicyProperties xmlns="http://schemas.microsoft.com/sharepoint/v3" xsi:nil="true"/>
    <lcf76f155ced4ddcb4097134ff3c332f xmlns="5782d138-0b5f-4b5b-b6b4-2742923e98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0EACB036D443A3B795FA2E7761AC" ma:contentTypeVersion="18" ma:contentTypeDescription="Create a new document." ma:contentTypeScope="" ma:versionID="64cbe79f481d6c76a22ee85537399e64">
  <xsd:schema xmlns:xsd="http://www.w3.org/2001/XMLSchema" xmlns:xs="http://www.w3.org/2001/XMLSchema" xmlns:p="http://schemas.microsoft.com/office/2006/metadata/properties" xmlns:ns1="http://schemas.microsoft.com/sharepoint/v3" xmlns:ns2="5782d138-0b5f-4b5b-b6b4-2742923e986e" xmlns:ns3="656359dd-d64a-40cd-aa43-cacabfcb1be4" targetNamespace="http://schemas.microsoft.com/office/2006/metadata/properties" ma:root="true" ma:fieldsID="ce3b85d5e8a480523cc911525e1141be" ns1:_="" ns2:_="" ns3:_="">
    <xsd:import namespace="http://schemas.microsoft.com/sharepoint/v3"/>
    <xsd:import namespace="5782d138-0b5f-4b5b-b6b4-2742923e986e"/>
    <xsd:import namespace="656359dd-d64a-40cd-aa43-cacabfcb1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2d138-0b5f-4b5b-b6b4-2742923e9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59dd-d64a-40cd-aa43-cacabfcb1b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c7992d-5585-45fb-a4db-6a91c605fea5}" ma:internalName="TaxCatchAll" ma:showField="CatchAllData" ma:web="656359dd-d64a-40cd-aa43-cacabfcb1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81D40-9A25-48C3-963F-15C91D578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29D97-E552-41AD-BDAB-802CEB792EE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56359dd-d64a-40cd-aa43-cacabfcb1be4"/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3fe2f67f-6b8c-4c13-accc-657cc09a6b88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0837D9A-093C-439F-B4F5-8485848AE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Dong,Jennifer</dc:creator>
  <cp:keywords/>
  <dc:description/>
  <cp:lastModifiedBy>Emmons,Andria</cp:lastModifiedBy>
  <cp:revision>2</cp:revision>
  <dcterms:created xsi:type="dcterms:W3CDTF">2026-03-26T20:37:00Z</dcterms:created>
  <dcterms:modified xsi:type="dcterms:W3CDTF">2026-03-26T20:37:00Z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0x0101008AB60EACB036D443A3B795FA2E7761AC</vt:lpwstr>
  </property>
  <property fmtid="{D5CDD505-2E9C-101B-9397-08002B2CF9AE}" pid="3" name="MediaServiceImageTags">
    <vt:lpwstr/>
  </property>
</Properties>
</file>