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CBA" w:rsidRPr="00916CBA" w:rsidRDefault="00916CBA" w:rsidP="00916CBA">
      <w:pPr>
        <w:spacing w:after="0" w:line="240" w:lineRule="auto"/>
        <w:jc w:val="center"/>
        <w:rPr>
          <w:rFonts w:cstheme="minorHAnsi"/>
          <w:sz w:val="28"/>
          <w:szCs w:val="28"/>
        </w:rPr>
      </w:pPr>
      <w:r w:rsidRPr="00916CBA">
        <w:rPr>
          <w:rFonts w:cstheme="minorHAnsi"/>
          <w:sz w:val="28"/>
          <w:szCs w:val="28"/>
        </w:rPr>
        <w:t xml:space="preserve">Texas Rising Star 4-Year Review State Workgroup </w:t>
      </w:r>
      <w:r>
        <w:rPr>
          <w:rFonts w:cstheme="minorHAnsi"/>
          <w:sz w:val="28"/>
          <w:szCs w:val="28"/>
        </w:rPr>
        <w:t>Conference Call # 10</w:t>
      </w:r>
    </w:p>
    <w:p w:rsidR="00916CBA" w:rsidRPr="00916CBA" w:rsidRDefault="00916CBA" w:rsidP="00916CBA">
      <w:pPr>
        <w:spacing w:after="0" w:line="240" w:lineRule="auto"/>
        <w:jc w:val="center"/>
        <w:rPr>
          <w:rFonts w:eastAsia="Times New Roman" w:cstheme="minorHAnsi"/>
          <w:color w:val="767676"/>
          <w:sz w:val="20"/>
          <w:szCs w:val="20"/>
        </w:rPr>
      </w:pPr>
      <w:r>
        <w:rPr>
          <w:rFonts w:eastAsia="Times New Roman" w:cstheme="minorHAnsi"/>
          <w:color w:val="767676"/>
          <w:sz w:val="20"/>
          <w:szCs w:val="20"/>
        </w:rPr>
        <w:t>Monday, 01/06/2020</w:t>
      </w:r>
    </w:p>
    <w:p w:rsidR="00916CBA" w:rsidRDefault="00916CBA" w:rsidP="00A74581">
      <w:pPr>
        <w:spacing w:after="0" w:line="240" w:lineRule="auto"/>
        <w:jc w:val="center"/>
        <w:rPr>
          <w:rFonts w:eastAsia="Times New Roman" w:cstheme="minorHAnsi"/>
          <w:color w:val="767676"/>
          <w:sz w:val="20"/>
          <w:szCs w:val="20"/>
        </w:rPr>
      </w:pPr>
      <w:r w:rsidRPr="00916CBA">
        <w:rPr>
          <w:rFonts w:eastAsia="Times New Roman" w:cstheme="minorHAnsi"/>
          <w:color w:val="767676"/>
          <w:sz w:val="20"/>
          <w:szCs w:val="20"/>
        </w:rPr>
        <w:t>1</w:t>
      </w:r>
      <w:r>
        <w:rPr>
          <w:rFonts w:eastAsia="Times New Roman" w:cstheme="minorHAnsi"/>
          <w:color w:val="767676"/>
          <w:sz w:val="20"/>
          <w:szCs w:val="20"/>
        </w:rPr>
        <w:t>1</w:t>
      </w:r>
      <w:r w:rsidRPr="00916CBA">
        <w:rPr>
          <w:rFonts w:eastAsia="Times New Roman" w:cstheme="minorHAnsi"/>
          <w:color w:val="767676"/>
          <w:sz w:val="20"/>
          <w:szCs w:val="20"/>
        </w:rPr>
        <w:t>:</w:t>
      </w:r>
      <w:r>
        <w:rPr>
          <w:rFonts w:eastAsia="Times New Roman" w:cstheme="minorHAnsi"/>
          <w:color w:val="767676"/>
          <w:sz w:val="20"/>
          <w:szCs w:val="20"/>
        </w:rPr>
        <w:t>3</w:t>
      </w:r>
      <w:r w:rsidRPr="00916CBA">
        <w:rPr>
          <w:rFonts w:eastAsia="Times New Roman" w:cstheme="minorHAnsi"/>
          <w:color w:val="767676"/>
          <w:sz w:val="20"/>
          <w:szCs w:val="20"/>
        </w:rPr>
        <w:t xml:space="preserve">0 am- </w:t>
      </w:r>
      <w:r>
        <w:rPr>
          <w:rFonts w:eastAsia="Times New Roman" w:cstheme="minorHAnsi"/>
          <w:color w:val="767676"/>
          <w:sz w:val="20"/>
          <w:szCs w:val="20"/>
        </w:rPr>
        <w:t>1:3</w:t>
      </w:r>
      <w:r w:rsidRPr="00916CBA">
        <w:rPr>
          <w:rFonts w:eastAsia="Times New Roman" w:cstheme="minorHAnsi"/>
          <w:color w:val="767676"/>
          <w:sz w:val="20"/>
          <w:szCs w:val="20"/>
        </w:rPr>
        <w:t>0 pm</w:t>
      </w:r>
    </w:p>
    <w:p w:rsidR="00A74581" w:rsidRDefault="00A74581" w:rsidP="00A74581">
      <w:pPr>
        <w:spacing w:after="0" w:line="240" w:lineRule="auto"/>
        <w:jc w:val="center"/>
        <w:rPr>
          <w:rFonts w:ascii="Calibri" w:eastAsia="Times New Roman" w:hAnsi="Calibri" w:cs="Calibri"/>
          <w:color w:val="767676"/>
          <w:sz w:val="20"/>
          <w:szCs w:val="20"/>
        </w:rPr>
      </w:pPr>
    </w:p>
    <w:p w:rsidR="00A74581" w:rsidRPr="00F42B50" w:rsidRDefault="00A74581" w:rsidP="00A74581">
      <w:pPr>
        <w:spacing w:after="0" w:line="240" w:lineRule="auto"/>
        <w:rPr>
          <w:rFonts w:ascii="Calibri" w:eastAsia="Times New Roman" w:hAnsi="Calibri" w:cs="Calibri"/>
          <w:bCs/>
        </w:rPr>
      </w:pPr>
      <w:r w:rsidRPr="00F42B50">
        <w:rPr>
          <w:rFonts w:ascii="Calibri" w:eastAsia="Times New Roman" w:hAnsi="Calibri" w:cs="Calibri"/>
          <w:bCs/>
        </w:rPr>
        <w:t xml:space="preserve">The Workgroup continued to use the poll pod feature to assist with the flow of the conference call and to determine consensus within the group. </w:t>
      </w:r>
    </w:p>
    <w:p w:rsidR="00A74581" w:rsidRDefault="00A74581" w:rsidP="00A74581">
      <w:pPr>
        <w:spacing w:after="0" w:line="240" w:lineRule="auto"/>
        <w:rPr>
          <w:rFonts w:eastAsia="Times New Roman" w:cstheme="minorHAnsi"/>
          <w:color w:val="767676"/>
          <w:sz w:val="20"/>
          <w:szCs w:val="20"/>
        </w:rPr>
      </w:pPr>
    </w:p>
    <w:p w:rsidR="000A5181" w:rsidRDefault="00A74581" w:rsidP="000A5181">
      <w:pPr>
        <w:keepNext/>
        <w:keepLines/>
        <w:spacing w:before="40" w:after="0"/>
        <w:outlineLvl w:val="1"/>
        <w:rPr>
          <w:rFonts w:asciiTheme="majorHAnsi" w:eastAsia="Times New Roman" w:hAnsiTheme="majorHAnsi" w:cstheme="majorBidi"/>
          <w:color w:val="2F5496" w:themeColor="accent1" w:themeShade="BF"/>
          <w:sz w:val="26"/>
          <w:szCs w:val="26"/>
        </w:rPr>
      </w:pPr>
      <w:r w:rsidRPr="00F42B50">
        <w:rPr>
          <w:rFonts w:asciiTheme="majorHAnsi" w:eastAsia="Times New Roman" w:hAnsiTheme="majorHAnsi" w:cstheme="majorBidi"/>
          <w:color w:val="2F5496" w:themeColor="accent1" w:themeShade="BF"/>
          <w:sz w:val="26"/>
          <w:szCs w:val="26"/>
        </w:rPr>
        <w:t>Agenda Overview</w:t>
      </w:r>
    </w:p>
    <w:p w:rsidR="00A74581" w:rsidRPr="000A5181" w:rsidRDefault="00D51415" w:rsidP="000A5181">
      <w:pPr>
        <w:keepNext/>
        <w:keepLines/>
        <w:spacing w:before="40" w:after="0"/>
        <w:outlineLvl w:val="1"/>
        <w:rPr>
          <w:rFonts w:asciiTheme="majorHAnsi" w:eastAsia="Times New Roman" w:hAnsiTheme="majorHAnsi" w:cstheme="majorBidi"/>
          <w:color w:val="2F5496" w:themeColor="accent1" w:themeShade="BF"/>
          <w:sz w:val="26"/>
          <w:szCs w:val="26"/>
        </w:rPr>
      </w:pPr>
      <w:r w:rsidRPr="00D64CC3">
        <w:rPr>
          <w:rFonts w:eastAsia="Times New Roman" w:cstheme="minorHAnsi"/>
        </w:rPr>
        <w:t xml:space="preserve">The </w:t>
      </w:r>
      <w:r w:rsidR="000A5181">
        <w:rPr>
          <w:rFonts w:eastAsia="Times New Roman" w:cstheme="minorHAnsi"/>
        </w:rPr>
        <w:t>W</w:t>
      </w:r>
      <w:r w:rsidRPr="00D64CC3">
        <w:rPr>
          <w:rFonts w:eastAsia="Times New Roman" w:cstheme="minorHAnsi"/>
        </w:rPr>
        <w:t>orkgroup reviewed</w:t>
      </w:r>
      <w:r w:rsidR="000A5181">
        <w:rPr>
          <w:rFonts w:eastAsia="Times New Roman" w:cstheme="minorHAnsi"/>
        </w:rPr>
        <w:t xml:space="preserve"> the</w:t>
      </w:r>
      <w:r w:rsidRPr="00D64CC3">
        <w:rPr>
          <w:rFonts w:eastAsia="Times New Roman" w:cstheme="minorHAnsi"/>
        </w:rPr>
        <w:t xml:space="preserve"> two options proposed for the screening form, director and staff qualification</w:t>
      </w:r>
      <w:r w:rsidR="000A5181">
        <w:rPr>
          <w:rFonts w:eastAsia="Times New Roman" w:cstheme="minorHAnsi"/>
        </w:rPr>
        <w:t xml:space="preserve"> indicators,</w:t>
      </w:r>
      <w:r w:rsidRPr="00D64CC3">
        <w:rPr>
          <w:rFonts w:eastAsia="Times New Roman" w:cstheme="minorHAnsi"/>
        </w:rPr>
        <w:t xml:space="preserve"> and the system-wide recommendations that have been proposed so far. </w:t>
      </w:r>
    </w:p>
    <w:p w:rsidR="00D51415" w:rsidRPr="00D51415" w:rsidRDefault="00D51415" w:rsidP="00D51415">
      <w:pPr>
        <w:pStyle w:val="ListParagraph"/>
        <w:spacing w:after="0" w:line="240" w:lineRule="auto"/>
        <w:rPr>
          <w:rFonts w:eastAsia="Times New Roman" w:cstheme="minorHAnsi"/>
          <w:sz w:val="20"/>
          <w:szCs w:val="20"/>
        </w:rPr>
      </w:pPr>
    </w:p>
    <w:p w:rsidR="00D51415" w:rsidRDefault="00D51415" w:rsidP="00D51415">
      <w:pPr>
        <w:pStyle w:val="Heading2"/>
      </w:pPr>
      <w:r>
        <w:t>Screening Form Options</w:t>
      </w:r>
    </w:p>
    <w:p w:rsidR="00D51415" w:rsidRDefault="00D51415" w:rsidP="000A5181">
      <w:pPr>
        <w:spacing w:after="0" w:line="240" w:lineRule="auto"/>
      </w:pPr>
      <w:r>
        <w:t>Option 1:</w:t>
      </w:r>
    </w:p>
    <w:p w:rsidR="00D51415" w:rsidRDefault="00D51415" w:rsidP="000A5181">
      <w:pPr>
        <w:pStyle w:val="ListParagraph"/>
        <w:numPr>
          <w:ilvl w:val="0"/>
          <w:numId w:val="1"/>
        </w:numPr>
        <w:spacing w:after="0" w:line="240" w:lineRule="auto"/>
      </w:pPr>
      <w:r>
        <w:t>For any Level 1 or Level 2 occurrence the reduction time is moved to 3-months instead of 6-months</w:t>
      </w:r>
      <w:r w:rsidR="000A5181">
        <w:t>.</w:t>
      </w:r>
    </w:p>
    <w:p w:rsidR="00D51415" w:rsidRDefault="00D51415" w:rsidP="000A5181">
      <w:pPr>
        <w:pStyle w:val="ListParagraph"/>
        <w:numPr>
          <w:ilvl w:val="0"/>
          <w:numId w:val="1"/>
        </w:numPr>
        <w:spacing w:after="0" w:line="240" w:lineRule="auto"/>
      </w:pPr>
      <w:r>
        <w:t>Probation remains as is.</w:t>
      </w:r>
    </w:p>
    <w:p w:rsidR="00D51415" w:rsidRDefault="00D51415" w:rsidP="000A5181">
      <w:pPr>
        <w:pStyle w:val="ListParagraph"/>
        <w:numPr>
          <w:ilvl w:val="0"/>
          <w:numId w:val="1"/>
        </w:numPr>
        <w:spacing w:after="0" w:line="240" w:lineRule="auto"/>
      </w:pPr>
      <w:r>
        <w:t xml:space="preserve">CQIP is provided to assist the program. </w:t>
      </w:r>
    </w:p>
    <w:p w:rsidR="00D51415" w:rsidRDefault="00D51415" w:rsidP="000A5181">
      <w:pPr>
        <w:spacing w:after="0" w:line="240" w:lineRule="auto"/>
      </w:pPr>
      <w:r>
        <w:t xml:space="preserve">Option 2: </w:t>
      </w:r>
    </w:p>
    <w:p w:rsidR="00D51415" w:rsidRDefault="00D51415" w:rsidP="000A5181">
      <w:pPr>
        <w:pStyle w:val="ListParagraph"/>
        <w:numPr>
          <w:ilvl w:val="0"/>
          <w:numId w:val="2"/>
        </w:numPr>
        <w:spacing w:after="0" w:line="240" w:lineRule="auto"/>
      </w:pPr>
      <w:r>
        <w:t xml:space="preserve">For any </w:t>
      </w:r>
      <w:r w:rsidR="000A5181">
        <w:t xml:space="preserve">initial </w:t>
      </w:r>
      <w:r>
        <w:t xml:space="preserve">Level 1 or Level 2 occurrence program is placed on </w:t>
      </w:r>
      <w:r w:rsidR="000A5181">
        <w:t>p</w:t>
      </w:r>
      <w:r>
        <w:t>robation with an implemented CQIP.</w:t>
      </w:r>
    </w:p>
    <w:p w:rsidR="00D51415" w:rsidRDefault="00D51415" w:rsidP="000A5181">
      <w:pPr>
        <w:pStyle w:val="ListParagraph"/>
        <w:numPr>
          <w:ilvl w:val="0"/>
          <w:numId w:val="2"/>
        </w:numPr>
        <w:spacing w:after="0" w:line="240" w:lineRule="auto"/>
      </w:pPr>
      <w:r>
        <w:t>Probation remains as is.</w:t>
      </w:r>
    </w:p>
    <w:p w:rsidR="00D51415" w:rsidRDefault="00D51415" w:rsidP="000A5181">
      <w:pPr>
        <w:pStyle w:val="ListParagraph"/>
        <w:numPr>
          <w:ilvl w:val="0"/>
          <w:numId w:val="2"/>
        </w:numPr>
        <w:spacing w:after="0" w:line="240" w:lineRule="auto"/>
      </w:pPr>
      <w:r>
        <w:t xml:space="preserve">If within the 6-month </w:t>
      </w:r>
      <w:r w:rsidR="000A5181">
        <w:t>p</w:t>
      </w:r>
      <w:r>
        <w:t>robation the program has any additional deficiencies the program is immediately reduced a star level and placed on a 2</w:t>
      </w:r>
      <w:r w:rsidRPr="00D51415">
        <w:rPr>
          <w:vertAlign w:val="superscript"/>
        </w:rPr>
        <w:t>nd</w:t>
      </w:r>
      <w:r>
        <w:t xml:space="preserve"> probation.</w:t>
      </w:r>
    </w:p>
    <w:p w:rsidR="00D51415" w:rsidRDefault="00D51415" w:rsidP="000A5181">
      <w:pPr>
        <w:pStyle w:val="ListParagraph"/>
        <w:numPr>
          <w:ilvl w:val="0"/>
          <w:numId w:val="2"/>
        </w:numPr>
        <w:spacing w:after="0" w:line="240" w:lineRule="auto"/>
      </w:pPr>
      <w:r>
        <w:t xml:space="preserve">No program may exceed 2 consecutive Probation Periods. </w:t>
      </w:r>
    </w:p>
    <w:p w:rsidR="000A5181" w:rsidRDefault="000A5181" w:rsidP="000A5181">
      <w:pPr>
        <w:pStyle w:val="ListParagraph"/>
        <w:numPr>
          <w:ilvl w:val="0"/>
          <w:numId w:val="2"/>
        </w:numPr>
        <w:spacing w:after="0" w:line="240" w:lineRule="auto"/>
      </w:pPr>
      <w:r>
        <w:t>The Workgroup discussed that the additional deficiencies referenced should only pertain to Level 1, Level 2 or total deficiencies.</w:t>
      </w:r>
    </w:p>
    <w:p w:rsidR="000A5181" w:rsidRDefault="000A5181" w:rsidP="000A5181">
      <w:pPr>
        <w:spacing w:after="0" w:line="240" w:lineRule="auto"/>
      </w:pPr>
    </w:p>
    <w:p w:rsidR="00D86494" w:rsidRDefault="00D51415" w:rsidP="000A5181">
      <w:pPr>
        <w:spacing w:after="0" w:line="240" w:lineRule="auto"/>
      </w:pPr>
      <w:r>
        <w:t xml:space="preserve">Via the polling pod the Workgroup agreed with </w:t>
      </w:r>
      <w:r w:rsidR="000A5181">
        <w:t xml:space="preserve">the modified </w:t>
      </w:r>
      <w:r>
        <w:t xml:space="preserve">Option 2. </w:t>
      </w:r>
      <w:r w:rsidR="00D86494">
        <w:t>Additionally, they</w:t>
      </w:r>
      <w:r>
        <w:t xml:space="preserve"> proposed </w:t>
      </w:r>
      <w:r w:rsidR="00D86494">
        <w:t xml:space="preserve">that programs can only have </w:t>
      </w:r>
      <w:r w:rsidR="000A5181">
        <w:t xml:space="preserve">a total of </w:t>
      </w:r>
      <w:r w:rsidR="00D86494">
        <w:t xml:space="preserve">4 probations during the 3-year certification period. </w:t>
      </w:r>
    </w:p>
    <w:p w:rsidR="000A5181" w:rsidRDefault="000A5181" w:rsidP="000A5181">
      <w:pPr>
        <w:spacing w:after="0" w:line="240" w:lineRule="auto"/>
      </w:pPr>
    </w:p>
    <w:p w:rsidR="00D86494" w:rsidRDefault="00D86494" w:rsidP="00D86494">
      <w:pPr>
        <w:pStyle w:val="Heading2"/>
      </w:pPr>
      <w:r>
        <w:t>Director Qualifications</w:t>
      </w:r>
    </w:p>
    <w:p w:rsidR="00D86494" w:rsidRPr="000A5181" w:rsidRDefault="00D86494" w:rsidP="000A5181">
      <w:pPr>
        <w:pStyle w:val="ListParagraph"/>
        <w:numPr>
          <w:ilvl w:val="0"/>
          <w:numId w:val="8"/>
        </w:numPr>
        <w:spacing w:before="60" w:after="0" w:line="240" w:lineRule="auto"/>
        <w:textAlignment w:val="center"/>
        <w:rPr>
          <w:rFonts w:cstheme="minorHAnsi"/>
          <w:color w:val="000000"/>
        </w:rPr>
      </w:pPr>
      <w:r>
        <w:t xml:space="preserve">The Workgroup </w:t>
      </w:r>
      <w:r w:rsidR="00095EF1" w:rsidRPr="000A5181">
        <w:rPr>
          <w:rFonts w:cstheme="minorHAnsi"/>
          <w:color w:val="000000"/>
        </w:rPr>
        <w:t>discussed the current qualifying indicators for Director Qualifications</w:t>
      </w:r>
      <w:r w:rsidR="000A5181" w:rsidRPr="000A5181">
        <w:rPr>
          <w:rFonts w:cstheme="minorHAnsi"/>
          <w:color w:val="000000"/>
        </w:rPr>
        <w:t xml:space="preserve"> specific to each facility type: </w:t>
      </w:r>
      <w:r w:rsidRPr="000A5181">
        <w:rPr>
          <w:rFonts w:cstheme="minorHAnsi"/>
          <w:color w:val="000000"/>
        </w:rPr>
        <w:t>P-DEQT-01 (centers)</w:t>
      </w:r>
      <w:r w:rsidR="000A5181" w:rsidRPr="000A5181">
        <w:rPr>
          <w:rFonts w:cstheme="minorHAnsi"/>
          <w:color w:val="000000"/>
        </w:rPr>
        <w:t xml:space="preserve">, </w:t>
      </w:r>
      <w:r w:rsidRPr="000A5181">
        <w:rPr>
          <w:rFonts w:cstheme="minorHAnsi"/>
          <w:color w:val="000000"/>
        </w:rPr>
        <w:t>P-DEQT-02 (homes)</w:t>
      </w:r>
      <w:r w:rsidR="000A5181" w:rsidRPr="000A5181">
        <w:rPr>
          <w:rFonts w:cstheme="minorHAnsi"/>
          <w:color w:val="000000"/>
        </w:rPr>
        <w:t xml:space="preserve">, </w:t>
      </w:r>
      <w:r w:rsidR="000A5181">
        <w:rPr>
          <w:rFonts w:cstheme="minorHAnsi"/>
          <w:color w:val="000000"/>
        </w:rPr>
        <w:t xml:space="preserve">and </w:t>
      </w:r>
      <w:r w:rsidRPr="000A5181">
        <w:rPr>
          <w:rFonts w:cstheme="minorHAnsi"/>
          <w:color w:val="000000"/>
        </w:rPr>
        <w:t>P-DEQT-03 (school age)</w:t>
      </w:r>
    </w:p>
    <w:p w:rsidR="00095EF1" w:rsidRDefault="00095EF1" w:rsidP="00095EF1">
      <w:pPr>
        <w:pStyle w:val="ListParagraph"/>
        <w:numPr>
          <w:ilvl w:val="0"/>
          <w:numId w:val="4"/>
        </w:numPr>
        <w:spacing w:before="60" w:after="0" w:line="240" w:lineRule="auto"/>
        <w:textAlignment w:val="center"/>
        <w:rPr>
          <w:rFonts w:cstheme="minorHAnsi"/>
          <w:color w:val="000000"/>
        </w:rPr>
      </w:pPr>
      <w:r w:rsidRPr="00095EF1">
        <w:rPr>
          <w:rFonts w:cstheme="minorHAnsi"/>
          <w:color w:val="000000"/>
        </w:rPr>
        <w:t xml:space="preserve">The Workgroup expressed the desire to move the field to a higher level of education qualification and </w:t>
      </w:r>
      <w:r w:rsidR="000A5181">
        <w:rPr>
          <w:rFonts w:cstheme="minorHAnsi"/>
          <w:color w:val="000000"/>
        </w:rPr>
        <w:t xml:space="preserve">there was </w:t>
      </w:r>
      <w:r w:rsidRPr="00095EF1">
        <w:rPr>
          <w:rFonts w:cstheme="minorHAnsi"/>
          <w:color w:val="000000"/>
        </w:rPr>
        <w:t xml:space="preserve">a concern of a non-expiring certificate overriding the determined Texas Rising Star indicators. </w:t>
      </w:r>
    </w:p>
    <w:p w:rsidR="00765904" w:rsidRDefault="00765904" w:rsidP="00095EF1">
      <w:pPr>
        <w:pStyle w:val="ListParagraph"/>
        <w:numPr>
          <w:ilvl w:val="0"/>
          <w:numId w:val="4"/>
        </w:numPr>
        <w:spacing w:before="60" w:after="0" w:line="240" w:lineRule="auto"/>
        <w:textAlignment w:val="center"/>
        <w:rPr>
          <w:rFonts w:cstheme="minorHAnsi"/>
          <w:color w:val="000000"/>
        </w:rPr>
      </w:pPr>
      <w:r>
        <w:rPr>
          <w:rFonts w:cstheme="minorHAnsi"/>
          <w:color w:val="000000"/>
        </w:rPr>
        <w:t xml:space="preserve">The Workgroup reviewed the scoring indicator specific to associate degrees and college hours specific to child development being amended to match child care licensing indicators.  There was consensus to not modify this indicator </w:t>
      </w:r>
      <w:proofErr w:type="gramStart"/>
      <w:r>
        <w:rPr>
          <w:rFonts w:cstheme="minorHAnsi"/>
          <w:color w:val="000000"/>
        </w:rPr>
        <w:t>at this time</w:t>
      </w:r>
      <w:proofErr w:type="gramEnd"/>
      <w:r>
        <w:rPr>
          <w:rFonts w:cstheme="minorHAnsi"/>
          <w:color w:val="000000"/>
        </w:rPr>
        <w:t>.</w:t>
      </w:r>
    </w:p>
    <w:p w:rsidR="00D64CC3" w:rsidRDefault="00095EF1" w:rsidP="00020471">
      <w:pPr>
        <w:pStyle w:val="ListParagraph"/>
        <w:numPr>
          <w:ilvl w:val="0"/>
          <w:numId w:val="4"/>
        </w:numPr>
        <w:spacing w:before="60" w:after="0" w:line="240" w:lineRule="auto"/>
        <w:textAlignment w:val="center"/>
        <w:rPr>
          <w:rFonts w:cstheme="minorHAnsi"/>
          <w:color w:val="000000"/>
        </w:rPr>
      </w:pPr>
      <w:r>
        <w:rPr>
          <w:rFonts w:cstheme="minorHAnsi"/>
          <w:color w:val="000000"/>
        </w:rPr>
        <w:t>Via the polling p</w:t>
      </w:r>
      <w:r w:rsidR="000A5181">
        <w:rPr>
          <w:rFonts w:cstheme="minorHAnsi"/>
          <w:color w:val="000000"/>
        </w:rPr>
        <w:t>o</w:t>
      </w:r>
      <w:r>
        <w:rPr>
          <w:rFonts w:cstheme="minorHAnsi"/>
          <w:color w:val="000000"/>
        </w:rPr>
        <w:t xml:space="preserve">d, the Workgroup agreed to change the “non expiring certificate” scoring indicator from 3 points to 2 points. Additionally, the Workgroup agreed to match the change to all facility types, updating the indicators for homes and school age directors. </w:t>
      </w:r>
    </w:p>
    <w:p w:rsidR="00020471" w:rsidRPr="00D64CC3" w:rsidRDefault="00020471" w:rsidP="00D64CC3">
      <w:pPr>
        <w:pStyle w:val="ListParagraph"/>
        <w:spacing w:before="60" w:after="0" w:line="240" w:lineRule="auto"/>
        <w:textAlignment w:val="center"/>
        <w:rPr>
          <w:rFonts w:cstheme="minorHAnsi"/>
          <w:color w:val="000000"/>
        </w:rPr>
      </w:pPr>
    </w:p>
    <w:p w:rsidR="00020471" w:rsidRDefault="00020471" w:rsidP="00020471">
      <w:pPr>
        <w:pStyle w:val="Heading2"/>
      </w:pPr>
      <w:r>
        <w:lastRenderedPageBreak/>
        <w:t>Staff Qualifications</w:t>
      </w:r>
    </w:p>
    <w:p w:rsidR="00D86494" w:rsidRDefault="000A5181" w:rsidP="00D64CC3">
      <w:pPr>
        <w:spacing w:after="0" w:line="240" w:lineRule="auto"/>
        <w:rPr>
          <w:rFonts w:cstheme="minorHAnsi"/>
          <w:color w:val="000000"/>
        </w:rPr>
      </w:pPr>
      <w:r>
        <w:t xml:space="preserve">The </w:t>
      </w:r>
      <w:r w:rsidR="00D64CC3">
        <w:t>Workgroup discussed the current qualifying indicators for staff qualifications (centers and school age)</w:t>
      </w:r>
      <w:r>
        <w:t xml:space="preserve">: </w:t>
      </w:r>
      <w:r w:rsidR="00D64CC3">
        <w:rPr>
          <w:rFonts w:cstheme="minorHAnsi"/>
          <w:color w:val="000000"/>
        </w:rPr>
        <w:t>P</w:t>
      </w:r>
      <w:r w:rsidR="00D86494" w:rsidRPr="00D86494">
        <w:rPr>
          <w:rFonts w:cstheme="minorHAnsi"/>
          <w:color w:val="000000"/>
        </w:rPr>
        <w:t>-CQT-01</w:t>
      </w:r>
      <w:r>
        <w:rPr>
          <w:rFonts w:cstheme="minorHAnsi"/>
          <w:color w:val="000000"/>
        </w:rPr>
        <w:t xml:space="preserve"> and </w:t>
      </w:r>
      <w:r w:rsidR="00D64CC3">
        <w:rPr>
          <w:rFonts w:cstheme="minorHAnsi"/>
          <w:color w:val="000000"/>
        </w:rPr>
        <w:t>P</w:t>
      </w:r>
      <w:r w:rsidR="00D86494" w:rsidRPr="00D86494">
        <w:rPr>
          <w:rFonts w:cstheme="minorHAnsi"/>
          <w:color w:val="000000"/>
        </w:rPr>
        <w:t>-CQT-02</w:t>
      </w:r>
    </w:p>
    <w:p w:rsidR="000A5181" w:rsidRDefault="000A5181" w:rsidP="000A5181">
      <w:pPr>
        <w:pStyle w:val="ListParagraph"/>
        <w:numPr>
          <w:ilvl w:val="0"/>
          <w:numId w:val="9"/>
        </w:numPr>
        <w:spacing w:after="0" w:line="240" w:lineRule="auto"/>
        <w:rPr>
          <w:rFonts w:cstheme="minorHAnsi"/>
          <w:color w:val="000000"/>
        </w:rPr>
      </w:pPr>
      <w:r w:rsidRPr="000A5181">
        <w:rPr>
          <w:rFonts w:cstheme="minorHAnsi"/>
          <w:color w:val="000000"/>
        </w:rPr>
        <w:t>The Workgroup expressed the desire to move the field to a higher level of education qualification</w:t>
      </w:r>
      <w:r>
        <w:rPr>
          <w:rFonts w:cstheme="minorHAnsi"/>
          <w:color w:val="000000"/>
        </w:rPr>
        <w:t xml:space="preserve"> for staff as well and a concern about the indicators specific to training hours and working on a CDA was expressed.</w:t>
      </w:r>
    </w:p>
    <w:p w:rsidR="00765904" w:rsidRPr="000A5181" w:rsidRDefault="00765904" w:rsidP="000A5181">
      <w:pPr>
        <w:pStyle w:val="ListParagraph"/>
        <w:numPr>
          <w:ilvl w:val="0"/>
          <w:numId w:val="9"/>
        </w:numPr>
        <w:spacing w:after="0" w:line="240" w:lineRule="auto"/>
        <w:rPr>
          <w:rFonts w:cstheme="minorHAnsi"/>
          <w:color w:val="000000"/>
        </w:rPr>
      </w:pPr>
      <w:r>
        <w:rPr>
          <w:rFonts w:cstheme="minorHAnsi"/>
          <w:color w:val="000000"/>
        </w:rPr>
        <w:t xml:space="preserve">The Workgroup requested additional clarification/guidance within the Technical Scoring Manual to define what “working on a CDA” means </w:t>
      </w:r>
      <w:proofErr w:type="gramStart"/>
      <w:r>
        <w:rPr>
          <w:rFonts w:cstheme="minorHAnsi"/>
          <w:color w:val="000000"/>
        </w:rPr>
        <w:t>in regard to</w:t>
      </w:r>
      <w:proofErr w:type="gramEnd"/>
      <w:r>
        <w:rPr>
          <w:rFonts w:cstheme="minorHAnsi"/>
          <w:color w:val="000000"/>
        </w:rPr>
        <w:t xml:space="preserve"> supporting documentation.</w:t>
      </w:r>
    </w:p>
    <w:p w:rsidR="00372AEB" w:rsidRPr="00372AEB" w:rsidRDefault="00372AEB" w:rsidP="00D64CC3">
      <w:pPr>
        <w:pStyle w:val="ListParagraph"/>
        <w:numPr>
          <w:ilvl w:val="0"/>
          <w:numId w:val="5"/>
        </w:numPr>
        <w:spacing w:after="0" w:line="240" w:lineRule="auto"/>
      </w:pPr>
      <w:r>
        <w:t>Via the polling p</w:t>
      </w:r>
      <w:r w:rsidR="000A5181">
        <w:t>o</w:t>
      </w:r>
      <w:r>
        <w:t xml:space="preserve">d, </w:t>
      </w:r>
      <w:r w:rsidR="000A5181">
        <w:t xml:space="preserve">the </w:t>
      </w:r>
      <w:r>
        <w:t xml:space="preserve">Workgroup agreed to revisit </w:t>
      </w:r>
      <w:r w:rsidR="00D64CC3">
        <w:t xml:space="preserve">the indicators in the next 4-year review. </w:t>
      </w:r>
    </w:p>
    <w:p w:rsidR="00D86494" w:rsidRPr="00D86494" w:rsidRDefault="00D86494" w:rsidP="00D86494"/>
    <w:p w:rsidR="00D64CC3" w:rsidRDefault="00D64CC3" w:rsidP="00D64CC3">
      <w:pPr>
        <w:pStyle w:val="Heading2"/>
      </w:pPr>
      <w:r>
        <w:t>System-wide Recommendations Review</w:t>
      </w:r>
    </w:p>
    <w:p w:rsidR="000A5181" w:rsidRDefault="000A5181" w:rsidP="004E7130">
      <w:pPr>
        <w:pStyle w:val="ListParagraph"/>
        <w:ind w:left="0"/>
      </w:pPr>
      <w:r>
        <w:t>The Workgroup reviewed the system-wide recommendations that will be presented for approval to ensure there was no additional discussion needed.</w:t>
      </w:r>
    </w:p>
    <w:p w:rsidR="00D64CC3" w:rsidRDefault="00D64CC3" w:rsidP="00D64CC3">
      <w:pPr>
        <w:pStyle w:val="ListParagraph"/>
        <w:numPr>
          <w:ilvl w:val="0"/>
          <w:numId w:val="5"/>
        </w:numPr>
      </w:pPr>
      <w:r>
        <w:t>1-star Programs</w:t>
      </w:r>
    </w:p>
    <w:p w:rsidR="00D64CC3" w:rsidRDefault="00D64CC3" w:rsidP="00D64CC3">
      <w:pPr>
        <w:pStyle w:val="ListParagraph"/>
        <w:numPr>
          <w:ilvl w:val="0"/>
          <w:numId w:val="5"/>
        </w:numPr>
      </w:pPr>
      <w:r w:rsidRPr="00D64CC3">
        <w:t>Development of long-range plan to move CCS programs to higher levels of quality</w:t>
      </w:r>
      <w:r w:rsidR="00765904">
        <w:t>: The Workgroup requested for this to also include moving early learning program staff to higher levels of qualifications.</w:t>
      </w:r>
    </w:p>
    <w:p w:rsidR="00D64CC3" w:rsidRDefault="00D64CC3" w:rsidP="00D64CC3">
      <w:pPr>
        <w:pStyle w:val="ListParagraph"/>
        <w:numPr>
          <w:ilvl w:val="0"/>
          <w:numId w:val="5"/>
        </w:numPr>
      </w:pPr>
      <w:r w:rsidRPr="00D64CC3">
        <w:t>Mentor Investment and Centralized Assessors</w:t>
      </w:r>
    </w:p>
    <w:p w:rsidR="00D64CC3" w:rsidRDefault="00D64CC3" w:rsidP="00D64CC3">
      <w:pPr>
        <w:pStyle w:val="ListParagraph"/>
        <w:numPr>
          <w:ilvl w:val="0"/>
          <w:numId w:val="5"/>
        </w:numPr>
      </w:pPr>
      <w:r w:rsidRPr="00D64CC3">
        <w:t>TRS Staff Supports</w:t>
      </w:r>
      <w:r w:rsidR="00765904">
        <w:t>: The Workgroup requested to ensure cross training with Child Care Licensing was part of these supports.</w:t>
      </w:r>
    </w:p>
    <w:p w:rsidR="00D64CC3" w:rsidRDefault="00D64CC3" w:rsidP="00D64CC3">
      <w:pPr>
        <w:pStyle w:val="ListParagraph"/>
        <w:numPr>
          <w:ilvl w:val="0"/>
          <w:numId w:val="5"/>
        </w:numPr>
      </w:pPr>
      <w:r w:rsidRPr="00D64CC3">
        <w:t>Reimbursement Rates</w:t>
      </w:r>
    </w:p>
    <w:p w:rsidR="00D64CC3" w:rsidRDefault="00D64CC3" w:rsidP="00D64CC3">
      <w:pPr>
        <w:pStyle w:val="ListParagraph"/>
        <w:numPr>
          <w:ilvl w:val="0"/>
          <w:numId w:val="5"/>
        </w:numPr>
      </w:pPr>
      <w:r w:rsidRPr="00D64CC3">
        <w:t>Statewide WF Registry</w:t>
      </w:r>
    </w:p>
    <w:p w:rsidR="00D64CC3" w:rsidRPr="00D64CC3" w:rsidRDefault="00D64CC3" w:rsidP="00D64CC3">
      <w:pPr>
        <w:pStyle w:val="ListParagraph"/>
        <w:numPr>
          <w:ilvl w:val="0"/>
          <w:numId w:val="5"/>
        </w:numPr>
      </w:pPr>
      <w:r w:rsidRPr="00D64CC3">
        <w:t>Outreach/ Marketing</w:t>
      </w:r>
    </w:p>
    <w:p w:rsidR="003E5A2D" w:rsidRDefault="003E5A2D" w:rsidP="003E5A2D">
      <w:pPr>
        <w:pStyle w:val="Heading2"/>
      </w:pPr>
      <w:r>
        <w:t>Next Steps</w:t>
      </w:r>
    </w:p>
    <w:p w:rsidR="003E5A2D" w:rsidRDefault="003E5A2D" w:rsidP="003E5A2D">
      <w:pPr>
        <w:pStyle w:val="ListParagraph"/>
        <w:numPr>
          <w:ilvl w:val="0"/>
          <w:numId w:val="7"/>
        </w:numPr>
      </w:pPr>
      <w:r>
        <w:t xml:space="preserve">TWC will present the final recommendations to the Commission on January 21, 2020. </w:t>
      </w:r>
    </w:p>
    <w:p w:rsidR="003E5A2D" w:rsidRDefault="003E5A2D" w:rsidP="003E5A2D">
      <w:pPr>
        <w:pStyle w:val="ListParagraph"/>
        <w:numPr>
          <w:ilvl w:val="0"/>
          <w:numId w:val="7"/>
        </w:numPr>
      </w:pPr>
      <w:r>
        <w:t>Stakeholder Meetings will take place in February</w:t>
      </w:r>
      <w:r w:rsidR="004E7130">
        <w:t xml:space="preserve"> at 7 local Board area offices</w:t>
      </w:r>
      <w:r>
        <w:t xml:space="preserve">. All meetings will begin at 6pm, </w:t>
      </w:r>
      <w:r w:rsidR="004E7130">
        <w:t>lasting approximately</w:t>
      </w:r>
      <w:r>
        <w:t xml:space="preserve"> an hour and half long. </w:t>
      </w:r>
    </w:p>
    <w:p w:rsidR="004E7130" w:rsidRDefault="004E7130" w:rsidP="003E5A2D">
      <w:pPr>
        <w:pStyle w:val="ListParagraph"/>
        <w:numPr>
          <w:ilvl w:val="0"/>
          <w:numId w:val="7"/>
        </w:numPr>
      </w:pPr>
      <w:r>
        <w:t>The Workgroup requested an additional call after the culmination of the stakeholder meetings to debrief before final recommendations are sent to the Commission.</w:t>
      </w:r>
    </w:p>
    <w:p w:rsidR="004E7130" w:rsidRDefault="004E7130" w:rsidP="003E5A2D">
      <w:pPr>
        <w:pStyle w:val="ListParagraph"/>
        <w:numPr>
          <w:ilvl w:val="0"/>
          <w:numId w:val="7"/>
        </w:numPr>
      </w:pPr>
      <w:r>
        <w:t xml:space="preserve">Next conference call will be moved to January 13, 2020 at 11:30 am to accommodate the timeline for Commission review.  </w:t>
      </w:r>
    </w:p>
    <w:p w:rsidR="003E5A2D" w:rsidRDefault="003E5A2D" w:rsidP="003E5A2D">
      <w:pPr>
        <w:pStyle w:val="ListParagraph"/>
      </w:pPr>
      <w:r>
        <w:lastRenderedPageBreak/>
        <w:t xml:space="preserve"> </w:t>
      </w:r>
      <w:bookmarkStart w:id="0" w:name="_GoBack"/>
      <w:r>
        <w:rPr>
          <w:noProof/>
        </w:rPr>
        <w:drawing>
          <wp:inline distT="0" distB="0" distL="0" distR="0" wp14:anchorId="3D3C0D93" wp14:editId="12EA6107">
            <wp:extent cx="5943600" cy="3978910"/>
            <wp:effectExtent l="0" t="0" r="0" b="2540"/>
            <wp:docPr id="1" name="Picture 1" descr="Table with information of meeting location and tim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978910"/>
                    </a:xfrm>
                    <a:prstGeom prst="rect">
                      <a:avLst/>
                    </a:prstGeom>
                  </pic:spPr>
                </pic:pic>
              </a:graphicData>
            </a:graphic>
          </wp:inline>
        </w:drawing>
      </w:r>
      <w:bookmarkEnd w:id="0"/>
    </w:p>
    <w:p w:rsidR="003E5A2D" w:rsidRDefault="003E5A2D" w:rsidP="003E5A2D">
      <w:pPr>
        <w:pStyle w:val="ListParagraph"/>
      </w:pPr>
    </w:p>
    <w:p w:rsidR="003E5A2D" w:rsidRPr="003E5A2D" w:rsidRDefault="003E5A2D" w:rsidP="003E5A2D">
      <w:pPr>
        <w:pStyle w:val="ListParagraph"/>
        <w:numPr>
          <w:ilvl w:val="0"/>
          <w:numId w:val="7"/>
        </w:numPr>
      </w:pPr>
      <w:r>
        <w:t>Next Conference Call is January 13,2020 at 11:30 am- 1:30 pm.</w:t>
      </w:r>
    </w:p>
    <w:p w:rsidR="00D86494" w:rsidRPr="00D51415" w:rsidRDefault="00D86494" w:rsidP="00D51415"/>
    <w:p w:rsidR="00BB7B55" w:rsidRDefault="00BB7B55"/>
    <w:sectPr w:rsidR="00BB7B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BBF" w:rsidRDefault="00560BBF" w:rsidP="00916CBA">
      <w:pPr>
        <w:spacing w:after="0" w:line="240" w:lineRule="auto"/>
      </w:pPr>
      <w:r>
        <w:separator/>
      </w:r>
    </w:p>
  </w:endnote>
  <w:endnote w:type="continuationSeparator" w:id="0">
    <w:p w:rsidR="00560BBF" w:rsidRDefault="00560BBF" w:rsidP="00916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BBF" w:rsidRDefault="00560BBF" w:rsidP="00916CBA">
      <w:pPr>
        <w:spacing w:after="0" w:line="240" w:lineRule="auto"/>
      </w:pPr>
      <w:r>
        <w:separator/>
      </w:r>
    </w:p>
  </w:footnote>
  <w:footnote w:type="continuationSeparator" w:id="0">
    <w:p w:rsidR="00560BBF" w:rsidRDefault="00560BBF" w:rsidP="00916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52E2B"/>
    <w:multiLevelType w:val="hybridMultilevel"/>
    <w:tmpl w:val="E5BE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17818"/>
    <w:multiLevelType w:val="hybridMultilevel"/>
    <w:tmpl w:val="69C2C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136FB9"/>
    <w:multiLevelType w:val="hybridMultilevel"/>
    <w:tmpl w:val="C920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AC0150"/>
    <w:multiLevelType w:val="hybridMultilevel"/>
    <w:tmpl w:val="0E8C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F61B75"/>
    <w:multiLevelType w:val="hybridMultilevel"/>
    <w:tmpl w:val="1DEA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3765BC"/>
    <w:multiLevelType w:val="hybridMultilevel"/>
    <w:tmpl w:val="33222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357071"/>
    <w:multiLevelType w:val="multilevel"/>
    <w:tmpl w:val="FD4024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015C46"/>
    <w:multiLevelType w:val="hybridMultilevel"/>
    <w:tmpl w:val="F6AE3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4E7DA6"/>
    <w:multiLevelType w:val="hybridMultilevel"/>
    <w:tmpl w:val="1BF01526"/>
    <w:lvl w:ilvl="0" w:tplc="B13CFAC0">
      <w:start w:val="1"/>
      <w:numFmt w:val="bullet"/>
      <w:lvlText w:val=""/>
      <w:lvlJc w:val="left"/>
      <w:pPr>
        <w:tabs>
          <w:tab w:val="num" w:pos="720"/>
        </w:tabs>
        <w:ind w:left="720" w:hanging="360"/>
      </w:pPr>
      <w:rPr>
        <w:rFonts w:ascii="Wingdings" w:hAnsi="Wingdings" w:hint="default"/>
      </w:rPr>
    </w:lvl>
    <w:lvl w:ilvl="1" w:tplc="604A6432" w:tentative="1">
      <w:start w:val="1"/>
      <w:numFmt w:val="bullet"/>
      <w:lvlText w:val=""/>
      <w:lvlJc w:val="left"/>
      <w:pPr>
        <w:tabs>
          <w:tab w:val="num" w:pos="1440"/>
        </w:tabs>
        <w:ind w:left="1440" w:hanging="360"/>
      </w:pPr>
      <w:rPr>
        <w:rFonts w:ascii="Wingdings" w:hAnsi="Wingdings" w:hint="default"/>
      </w:rPr>
    </w:lvl>
    <w:lvl w:ilvl="2" w:tplc="3D2C0F28" w:tentative="1">
      <w:start w:val="1"/>
      <w:numFmt w:val="bullet"/>
      <w:lvlText w:val=""/>
      <w:lvlJc w:val="left"/>
      <w:pPr>
        <w:tabs>
          <w:tab w:val="num" w:pos="2160"/>
        </w:tabs>
        <w:ind w:left="2160" w:hanging="360"/>
      </w:pPr>
      <w:rPr>
        <w:rFonts w:ascii="Wingdings" w:hAnsi="Wingdings" w:hint="default"/>
      </w:rPr>
    </w:lvl>
    <w:lvl w:ilvl="3" w:tplc="E1A074C0" w:tentative="1">
      <w:start w:val="1"/>
      <w:numFmt w:val="bullet"/>
      <w:lvlText w:val=""/>
      <w:lvlJc w:val="left"/>
      <w:pPr>
        <w:tabs>
          <w:tab w:val="num" w:pos="2880"/>
        </w:tabs>
        <w:ind w:left="2880" w:hanging="360"/>
      </w:pPr>
      <w:rPr>
        <w:rFonts w:ascii="Wingdings" w:hAnsi="Wingdings" w:hint="default"/>
      </w:rPr>
    </w:lvl>
    <w:lvl w:ilvl="4" w:tplc="8966AF66" w:tentative="1">
      <w:start w:val="1"/>
      <w:numFmt w:val="bullet"/>
      <w:lvlText w:val=""/>
      <w:lvlJc w:val="left"/>
      <w:pPr>
        <w:tabs>
          <w:tab w:val="num" w:pos="3600"/>
        </w:tabs>
        <w:ind w:left="3600" w:hanging="360"/>
      </w:pPr>
      <w:rPr>
        <w:rFonts w:ascii="Wingdings" w:hAnsi="Wingdings" w:hint="default"/>
      </w:rPr>
    </w:lvl>
    <w:lvl w:ilvl="5" w:tplc="8580216A" w:tentative="1">
      <w:start w:val="1"/>
      <w:numFmt w:val="bullet"/>
      <w:lvlText w:val=""/>
      <w:lvlJc w:val="left"/>
      <w:pPr>
        <w:tabs>
          <w:tab w:val="num" w:pos="4320"/>
        </w:tabs>
        <w:ind w:left="4320" w:hanging="360"/>
      </w:pPr>
      <w:rPr>
        <w:rFonts w:ascii="Wingdings" w:hAnsi="Wingdings" w:hint="default"/>
      </w:rPr>
    </w:lvl>
    <w:lvl w:ilvl="6" w:tplc="56406EF4" w:tentative="1">
      <w:start w:val="1"/>
      <w:numFmt w:val="bullet"/>
      <w:lvlText w:val=""/>
      <w:lvlJc w:val="left"/>
      <w:pPr>
        <w:tabs>
          <w:tab w:val="num" w:pos="5040"/>
        </w:tabs>
        <w:ind w:left="5040" w:hanging="360"/>
      </w:pPr>
      <w:rPr>
        <w:rFonts w:ascii="Wingdings" w:hAnsi="Wingdings" w:hint="default"/>
      </w:rPr>
    </w:lvl>
    <w:lvl w:ilvl="7" w:tplc="E21869F4" w:tentative="1">
      <w:start w:val="1"/>
      <w:numFmt w:val="bullet"/>
      <w:lvlText w:val=""/>
      <w:lvlJc w:val="left"/>
      <w:pPr>
        <w:tabs>
          <w:tab w:val="num" w:pos="5760"/>
        </w:tabs>
        <w:ind w:left="5760" w:hanging="360"/>
      </w:pPr>
      <w:rPr>
        <w:rFonts w:ascii="Wingdings" w:hAnsi="Wingdings" w:hint="default"/>
      </w:rPr>
    </w:lvl>
    <w:lvl w:ilvl="8" w:tplc="10222D3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7"/>
  </w:num>
  <w:num w:numId="6">
    <w:abstractNumId w:val="8"/>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BA"/>
    <w:rsid w:val="00020471"/>
    <w:rsid w:val="00095EF1"/>
    <w:rsid w:val="000A5181"/>
    <w:rsid w:val="00372AEB"/>
    <w:rsid w:val="003E5A2D"/>
    <w:rsid w:val="00414C10"/>
    <w:rsid w:val="00440E2E"/>
    <w:rsid w:val="00450942"/>
    <w:rsid w:val="004E7130"/>
    <w:rsid w:val="00560BBF"/>
    <w:rsid w:val="00765904"/>
    <w:rsid w:val="007B5667"/>
    <w:rsid w:val="0080704C"/>
    <w:rsid w:val="00916CBA"/>
    <w:rsid w:val="0095624A"/>
    <w:rsid w:val="009A7277"/>
    <w:rsid w:val="00A74581"/>
    <w:rsid w:val="00BB7B55"/>
    <w:rsid w:val="00C03C25"/>
    <w:rsid w:val="00D51415"/>
    <w:rsid w:val="00D64CC3"/>
    <w:rsid w:val="00D86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12B6E-2195-4775-A649-15663EB6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514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CBA"/>
  </w:style>
  <w:style w:type="paragraph" w:styleId="Footer">
    <w:name w:val="footer"/>
    <w:basedOn w:val="Normal"/>
    <w:link w:val="FooterChar"/>
    <w:uiPriority w:val="99"/>
    <w:unhideWhenUsed/>
    <w:rsid w:val="00916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CBA"/>
  </w:style>
  <w:style w:type="paragraph" w:styleId="ListParagraph">
    <w:name w:val="List Paragraph"/>
    <w:basedOn w:val="Normal"/>
    <w:uiPriority w:val="34"/>
    <w:qFormat/>
    <w:rsid w:val="00A74581"/>
    <w:pPr>
      <w:ind w:left="720"/>
      <w:contextualSpacing/>
    </w:pPr>
  </w:style>
  <w:style w:type="character" w:customStyle="1" w:styleId="Heading2Char">
    <w:name w:val="Heading 2 Char"/>
    <w:basedOn w:val="DefaultParagraphFont"/>
    <w:link w:val="Heading2"/>
    <w:uiPriority w:val="9"/>
    <w:rsid w:val="00D51415"/>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A51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1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382624">
      <w:bodyDiv w:val="1"/>
      <w:marLeft w:val="0"/>
      <w:marRight w:val="0"/>
      <w:marTop w:val="0"/>
      <w:marBottom w:val="0"/>
      <w:divBdr>
        <w:top w:val="none" w:sz="0" w:space="0" w:color="auto"/>
        <w:left w:val="none" w:sz="0" w:space="0" w:color="auto"/>
        <w:bottom w:val="none" w:sz="0" w:space="0" w:color="auto"/>
        <w:right w:val="none" w:sz="0" w:space="0" w:color="auto"/>
      </w:divBdr>
    </w:div>
    <w:div w:id="830215804">
      <w:bodyDiv w:val="1"/>
      <w:marLeft w:val="0"/>
      <w:marRight w:val="0"/>
      <w:marTop w:val="0"/>
      <w:marBottom w:val="0"/>
      <w:divBdr>
        <w:top w:val="none" w:sz="0" w:space="0" w:color="auto"/>
        <w:left w:val="none" w:sz="0" w:space="0" w:color="auto"/>
        <w:bottom w:val="none" w:sz="0" w:space="0" w:color="auto"/>
        <w:right w:val="none" w:sz="0" w:space="0" w:color="auto"/>
      </w:divBdr>
      <w:divsChild>
        <w:div w:id="1154564924">
          <w:marLeft w:val="274"/>
          <w:marRight w:val="0"/>
          <w:marTop w:val="150"/>
          <w:marBottom w:val="0"/>
          <w:divBdr>
            <w:top w:val="none" w:sz="0" w:space="0" w:color="auto"/>
            <w:left w:val="none" w:sz="0" w:space="0" w:color="auto"/>
            <w:bottom w:val="none" w:sz="0" w:space="0" w:color="auto"/>
            <w:right w:val="none" w:sz="0" w:space="0" w:color="auto"/>
          </w:divBdr>
        </w:div>
        <w:div w:id="2051029024">
          <w:marLeft w:val="274"/>
          <w:marRight w:val="0"/>
          <w:marTop w:val="150"/>
          <w:marBottom w:val="0"/>
          <w:divBdr>
            <w:top w:val="none" w:sz="0" w:space="0" w:color="auto"/>
            <w:left w:val="none" w:sz="0" w:space="0" w:color="auto"/>
            <w:bottom w:val="none" w:sz="0" w:space="0" w:color="auto"/>
            <w:right w:val="none" w:sz="0" w:space="0" w:color="auto"/>
          </w:divBdr>
        </w:div>
        <w:div w:id="1862279811">
          <w:marLeft w:val="274"/>
          <w:marRight w:val="0"/>
          <w:marTop w:val="150"/>
          <w:marBottom w:val="0"/>
          <w:divBdr>
            <w:top w:val="none" w:sz="0" w:space="0" w:color="auto"/>
            <w:left w:val="none" w:sz="0" w:space="0" w:color="auto"/>
            <w:bottom w:val="none" w:sz="0" w:space="0" w:color="auto"/>
            <w:right w:val="none" w:sz="0" w:space="0" w:color="auto"/>
          </w:divBdr>
        </w:div>
        <w:div w:id="1299648115">
          <w:marLeft w:val="274"/>
          <w:marRight w:val="0"/>
          <w:marTop w:val="150"/>
          <w:marBottom w:val="0"/>
          <w:divBdr>
            <w:top w:val="none" w:sz="0" w:space="0" w:color="auto"/>
            <w:left w:val="none" w:sz="0" w:space="0" w:color="auto"/>
            <w:bottom w:val="none" w:sz="0" w:space="0" w:color="auto"/>
            <w:right w:val="none" w:sz="0" w:space="0" w:color="auto"/>
          </w:divBdr>
        </w:div>
        <w:div w:id="1416584227">
          <w:marLeft w:val="274"/>
          <w:marRight w:val="0"/>
          <w:marTop w:val="150"/>
          <w:marBottom w:val="0"/>
          <w:divBdr>
            <w:top w:val="none" w:sz="0" w:space="0" w:color="auto"/>
            <w:left w:val="none" w:sz="0" w:space="0" w:color="auto"/>
            <w:bottom w:val="none" w:sz="0" w:space="0" w:color="auto"/>
            <w:right w:val="none" w:sz="0" w:space="0" w:color="auto"/>
          </w:divBdr>
        </w:div>
        <w:div w:id="1876305120">
          <w:marLeft w:val="274"/>
          <w:marRight w:val="0"/>
          <w:marTop w:val="150"/>
          <w:marBottom w:val="0"/>
          <w:divBdr>
            <w:top w:val="none" w:sz="0" w:space="0" w:color="auto"/>
            <w:left w:val="none" w:sz="0" w:space="0" w:color="auto"/>
            <w:bottom w:val="none" w:sz="0" w:space="0" w:color="auto"/>
            <w:right w:val="none" w:sz="0" w:space="0" w:color="auto"/>
          </w:divBdr>
        </w:div>
      </w:divsChild>
    </w:div>
    <w:div w:id="1515147047">
      <w:bodyDiv w:val="1"/>
      <w:marLeft w:val="0"/>
      <w:marRight w:val="0"/>
      <w:marTop w:val="0"/>
      <w:marBottom w:val="0"/>
      <w:divBdr>
        <w:top w:val="none" w:sz="0" w:space="0" w:color="auto"/>
        <w:left w:val="none" w:sz="0" w:space="0" w:color="auto"/>
        <w:bottom w:val="none" w:sz="0" w:space="0" w:color="auto"/>
        <w:right w:val="none" w:sz="0" w:space="0" w:color="auto"/>
      </w:divBdr>
    </w:div>
    <w:div w:id="1677414597">
      <w:bodyDiv w:val="1"/>
      <w:marLeft w:val="0"/>
      <w:marRight w:val="0"/>
      <w:marTop w:val="0"/>
      <w:marBottom w:val="0"/>
      <w:divBdr>
        <w:top w:val="none" w:sz="0" w:space="0" w:color="auto"/>
        <w:left w:val="none" w:sz="0" w:space="0" w:color="auto"/>
        <w:bottom w:val="none" w:sz="0" w:space="0" w:color="auto"/>
        <w:right w:val="none" w:sz="0" w:space="0" w:color="auto"/>
      </w:divBdr>
    </w:div>
    <w:div w:id="2085300626">
      <w:bodyDiv w:val="1"/>
      <w:marLeft w:val="0"/>
      <w:marRight w:val="0"/>
      <w:marTop w:val="0"/>
      <w:marBottom w:val="0"/>
      <w:divBdr>
        <w:top w:val="none" w:sz="0" w:space="0" w:color="auto"/>
        <w:left w:val="none" w:sz="0" w:space="0" w:color="auto"/>
        <w:bottom w:val="none" w:sz="0" w:space="0" w:color="auto"/>
        <w:right w:val="none" w:sz="0" w:space="0" w:color="auto"/>
      </w:divBdr>
      <w:divsChild>
        <w:div w:id="1741750278">
          <w:marLeft w:val="806"/>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625</Words>
  <Characters>3494</Characters>
  <Application>Microsoft Office Word</Application>
  <DocSecurity>0</DocSecurity>
  <Lines>64</Lines>
  <Paragraphs>40</Paragraphs>
  <ScaleCrop>false</ScaleCrop>
  <HeadingPairs>
    <vt:vector size="2" baseType="variant">
      <vt:variant>
        <vt:lpstr>Title</vt:lpstr>
      </vt:variant>
      <vt:variant>
        <vt:i4>1</vt:i4>
      </vt:variant>
    </vt:vector>
  </HeadingPairs>
  <TitlesOfParts>
    <vt:vector size="1" baseType="lpstr">
      <vt:lpstr>Conference Call Meeting Notes</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Call Meeting Notes</dc:title>
  <dc:subject/>
  <dc:creator>Tonche,Crystal</dc:creator>
  <cp:keywords/>
  <dc:description/>
  <cp:lastModifiedBy>Tonche,Crystal</cp:lastModifiedBy>
  <cp:revision>3</cp:revision>
  <dcterms:created xsi:type="dcterms:W3CDTF">2020-01-23T14:25:00Z</dcterms:created>
  <dcterms:modified xsi:type="dcterms:W3CDTF">2020-01-23T14:27:00Z</dcterms:modified>
</cp:coreProperties>
</file>