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AB4A" w14:textId="5F646418" w:rsidR="002B1B48" w:rsidRDefault="002B1B48" w:rsidP="002B1B48">
      <w:pPr>
        <w:pStyle w:val="BodyText"/>
        <w:kinsoku w:val="0"/>
        <w:overflowPunct w:val="0"/>
        <w:spacing w:line="480" w:lineRule="auto"/>
        <w:ind w:left="2408" w:right="1224" w:firstLine="720"/>
        <w:jc w:val="right"/>
        <w:rPr>
          <w:b/>
          <w:bCs/>
        </w:rPr>
      </w:pPr>
      <w:r>
        <w:rPr>
          <w:b/>
          <w:bCs/>
        </w:rPr>
        <w:t>Attachment B</w:t>
      </w:r>
    </w:p>
    <w:p w14:paraId="722422DB" w14:textId="427A886E" w:rsidR="003334D4" w:rsidRDefault="003334D4" w:rsidP="003334D4">
      <w:pPr>
        <w:pStyle w:val="BodyText"/>
        <w:kinsoku w:val="0"/>
        <w:overflowPunct w:val="0"/>
        <w:spacing w:line="480" w:lineRule="auto"/>
        <w:ind w:left="2408" w:right="1224" w:firstLine="720"/>
        <w:rPr>
          <w:b/>
          <w:bCs/>
        </w:rPr>
      </w:pPr>
      <w:r>
        <w:rPr>
          <w:b/>
          <w:bCs/>
        </w:rPr>
        <w:t>FINANCIAL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REQUIREMENTS</w:t>
      </w:r>
    </w:p>
    <w:p w14:paraId="61F1C450" w14:textId="77777777" w:rsidR="005C5A5F" w:rsidRDefault="005C5A5F" w:rsidP="003334D4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14:paraId="71256B65" w14:textId="77777777" w:rsidR="003334D4" w:rsidRDefault="003334D4" w:rsidP="003334D4">
      <w:pPr>
        <w:pStyle w:val="Heading1"/>
        <w:kinsoku w:val="0"/>
        <w:overflowPunct w:val="0"/>
        <w:ind w:left="920"/>
        <w:rPr>
          <w:spacing w:val="-2"/>
        </w:rPr>
      </w:pPr>
      <w:bookmarkStart w:id="0" w:name="SECTION_1_-_Expenditure_Limitations"/>
      <w:bookmarkEnd w:id="0"/>
      <w:r>
        <w:t>SECTION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Expenditure</w:t>
      </w:r>
      <w:r>
        <w:rPr>
          <w:spacing w:val="-2"/>
        </w:rPr>
        <w:t xml:space="preserve"> Limitations</w:t>
      </w:r>
    </w:p>
    <w:p w14:paraId="4395F575" w14:textId="77777777" w:rsidR="003334D4" w:rsidRDefault="003334D4" w:rsidP="003334D4">
      <w:pPr>
        <w:pStyle w:val="BodyText"/>
        <w:kinsoku w:val="0"/>
        <w:overflowPunct w:val="0"/>
        <w:spacing w:before="7"/>
        <w:rPr>
          <w:b/>
          <w:bCs/>
          <w:sz w:val="23"/>
          <w:szCs w:val="23"/>
        </w:rPr>
      </w:pPr>
    </w:p>
    <w:p w14:paraId="6AF65567" w14:textId="2BF4079E" w:rsidR="003334D4" w:rsidRDefault="003334D4" w:rsidP="003334D4">
      <w:pPr>
        <w:pStyle w:val="ListParagraph"/>
        <w:numPr>
          <w:ilvl w:val="1"/>
          <w:numId w:val="2"/>
        </w:numPr>
        <w:tabs>
          <w:tab w:val="left" w:pos="1640"/>
        </w:tabs>
        <w:kinsoku w:val="0"/>
        <w:overflowPunct w:val="0"/>
        <w:ind w:left="1639" w:right="546"/>
        <w:rPr>
          <w:spacing w:val="-2"/>
        </w:rPr>
      </w:pPr>
      <w:bookmarkStart w:id="1" w:name="_Hlk112929313"/>
      <w:r>
        <w:t xml:space="preserve">Texas Workforce Commission (TWC) is liable to </w:t>
      </w:r>
      <w:r w:rsidR="00BB50B3" w:rsidRPr="007E73D3">
        <w:rPr>
          <w:color w:val="2E74B5" w:themeColor="accent5" w:themeShade="BF"/>
        </w:rPr>
        <w:t>[name]</w:t>
      </w:r>
      <w:r>
        <w:t xml:space="preserve"> in an amount equal to, but not in excess of, the lesser of </w:t>
      </w:r>
      <w:r w:rsidR="00941C77">
        <w:t xml:space="preserve">(a) </w:t>
      </w:r>
      <w:r>
        <w:t>the amount of the agreement</w:t>
      </w:r>
      <w:r w:rsidR="00941C77">
        <w:t>,</w:t>
      </w:r>
      <w:r>
        <w:t xml:space="preserve"> or </w:t>
      </w:r>
      <w:r w:rsidR="00941C77">
        <w:t xml:space="preserve">(b) </w:t>
      </w:r>
      <w:r>
        <w:t xml:space="preserve">the actual allowable costs incurred by </w:t>
      </w:r>
      <w:r w:rsidR="00BB50B3" w:rsidRPr="00F1080A">
        <w:rPr>
          <w:color w:val="2E74B5" w:themeColor="accent5" w:themeShade="BF"/>
        </w:rPr>
        <w:t>[name]</w:t>
      </w:r>
      <w:r>
        <w:t xml:space="preserve"> in rendering the performance specified in the Statement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Attachments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</w:t>
      </w:r>
      <w:r w:rsidR="001E1D11">
        <w:t xml:space="preserve">. </w:t>
      </w:r>
      <w:r w:rsidR="005D7B4D">
        <w:t>Un</w:t>
      </w:r>
      <w:r w:rsidR="00194585">
        <w:t>used</w:t>
      </w:r>
      <w:r w:rsidR="005D7B4D">
        <w:t xml:space="preserve"> balances shall revert to TWC. </w:t>
      </w:r>
      <w:r w:rsidR="001E1D11">
        <w:t>T</w:t>
      </w:r>
      <w:r w:rsidR="00BB50B3">
        <w:t xml:space="preserve">WC’s </w:t>
      </w:r>
      <w:r w:rsidR="001E1D11">
        <w:t>liability for expenditures is also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following </w:t>
      </w:r>
      <w:r>
        <w:rPr>
          <w:spacing w:val="-2"/>
        </w:rPr>
        <w:t>provisions</w:t>
      </w:r>
      <w:r w:rsidR="00F82ACA">
        <w:rPr>
          <w:spacing w:val="-2"/>
        </w:rPr>
        <w:t xml:space="preserve"> and Section 2 of this Attachment</w:t>
      </w:r>
      <w:r>
        <w:rPr>
          <w:spacing w:val="-2"/>
        </w:rPr>
        <w:t>:</w:t>
      </w:r>
    </w:p>
    <w:bookmarkEnd w:id="1"/>
    <w:p w14:paraId="073750B3" w14:textId="31413E3D" w:rsidR="003334D4" w:rsidRDefault="003334D4" w:rsidP="003334D4">
      <w:pPr>
        <w:pStyle w:val="ListParagraph"/>
        <w:numPr>
          <w:ilvl w:val="2"/>
          <w:numId w:val="2"/>
        </w:numPr>
        <w:tabs>
          <w:tab w:val="left" w:pos="2360"/>
        </w:tabs>
        <w:kinsoku w:val="0"/>
        <w:overflowPunct w:val="0"/>
        <w:ind w:left="2359" w:right="586"/>
      </w:pPr>
      <w:r>
        <w:t>TWC</w:t>
      </w:r>
      <w:r>
        <w:rPr>
          <w:spacing w:val="-4"/>
        </w:rPr>
        <w:t xml:space="preserve"> </w:t>
      </w:r>
      <w:r>
        <w:t>receives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verified</w:t>
      </w:r>
      <w:r>
        <w:rPr>
          <w:spacing w:val="-2"/>
        </w:rPr>
        <w:t xml:space="preserve"> </w:t>
      </w:r>
      <w:r>
        <w:t>statement</w:t>
      </w:r>
      <w:r w:rsidR="001E1D11">
        <w:t xml:space="preserve"> of obligations and accrued expenditures</w:t>
      </w:r>
      <w:r>
        <w:rPr>
          <w:spacing w:val="-4"/>
        </w:rPr>
        <w:t xml:space="preserve"> </w:t>
      </w:r>
      <w:r w:rsidR="001E1D11">
        <w:rPr>
          <w:spacing w:val="-4"/>
        </w:rPr>
        <w:t xml:space="preserve">that is </w:t>
      </w:r>
      <w:r>
        <w:t>prepared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requirements </w:t>
      </w:r>
      <w:r w:rsidR="001E1D11">
        <w:t xml:space="preserve">set forth by TWC, in </w:t>
      </w:r>
      <w:r>
        <w:t xml:space="preserve">TWC’s </w:t>
      </w:r>
      <w:r w:rsidRPr="00AA5846">
        <w:t>Financial Manual for Grants and Contracts</w:t>
      </w:r>
      <w:r>
        <w:t xml:space="preserve"> (FMGC)</w:t>
      </w:r>
      <w:r w:rsidR="001E1D11">
        <w:t>, Workforce Development (WD) Letters,</w:t>
      </w:r>
      <w:r>
        <w:t xml:space="preserve"> and other TWC issued financial reporting requirements.</w:t>
      </w:r>
    </w:p>
    <w:p w14:paraId="701F954D" w14:textId="645D81BD" w:rsidR="003334D4" w:rsidRDefault="003334D4" w:rsidP="003334D4">
      <w:pPr>
        <w:pStyle w:val="ListParagraph"/>
        <w:numPr>
          <w:ilvl w:val="2"/>
          <w:numId w:val="2"/>
        </w:numPr>
        <w:tabs>
          <w:tab w:val="left" w:pos="2360"/>
        </w:tabs>
        <w:kinsoku w:val="0"/>
        <w:overflowPunct w:val="0"/>
        <w:ind w:right="543"/>
      </w:pPr>
      <w:r>
        <w:t>TWC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expenditures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authorities cited in this Agreement or any other law or regulation applicable to a specific service performed under this Agreement.</w:t>
      </w:r>
    </w:p>
    <w:p w14:paraId="06AFA69C" w14:textId="0BA2068D" w:rsidR="003334D4" w:rsidRDefault="001E1D11" w:rsidP="003334D4">
      <w:pPr>
        <w:pStyle w:val="ListParagraph"/>
        <w:numPr>
          <w:ilvl w:val="2"/>
          <w:numId w:val="2"/>
        </w:numPr>
        <w:tabs>
          <w:tab w:val="left" w:pos="2360"/>
        </w:tabs>
        <w:kinsoku w:val="0"/>
        <w:overflowPunct w:val="0"/>
        <w:ind w:left="2359" w:right="788"/>
      </w:pPr>
      <w:r>
        <w:t xml:space="preserve">Unless approved in writing by an authorized representative of TWC, </w:t>
      </w:r>
      <w:r w:rsidR="003334D4">
        <w:t>TWC</w:t>
      </w:r>
      <w:r w:rsidR="003334D4">
        <w:rPr>
          <w:spacing w:val="-3"/>
        </w:rPr>
        <w:t xml:space="preserve"> </w:t>
      </w:r>
      <w:r w:rsidR="003334D4">
        <w:t>shall</w:t>
      </w:r>
      <w:r w:rsidR="003334D4">
        <w:rPr>
          <w:spacing w:val="-3"/>
        </w:rPr>
        <w:t xml:space="preserve"> </w:t>
      </w:r>
      <w:r w:rsidR="003334D4">
        <w:t>not</w:t>
      </w:r>
      <w:r w:rsidR="003334D4">
        <w:rPr>
          <w:spacing w:val="-3"/>
        </w:rPr>
        <w:t xml:space="preserve"> </w:t>
      </w:r>
      <w:r w:rsidR="003334D4">
        <w:t>be</w:t>
      </w:r>
      <w:r w:rsidR="003334D4">
        <w:rPr>
          <w:spacing w:val="-4"/>
        </w:rPr>
        <w:t xml:space="preserve"> </w:t>
      </w:r>
      <w:r w:rsidR="003334D4">
        <w:t>liable</w:t>
      </w:r>
      <w:r w:rsidR="003334D4">
        <w:rPr>
          <w:spacing w:val="-4"/>
        </w:rPr>
        <w:t xml:space="preserve"> </w:t>
      </w:r>
      <w:r w:rsidR="003334D4">
        <w:t>to</w:t>
      </w:r>
      <w:r w:rsidR="003334D4">
        <w:rPr>
          <w:spacing w:val="-3"/>
        </w:rPr>
        <w:t xml:space="preserve"> </w:t>
      </w:r>
      <w:r w:rsidR="00BB50B3" w:rsidRPr="007E73D3">
        <w:rPr>
          <w:color w:val="2E74B5" w:themeColor="accent5" w:themeShade="BF"/>
          <w:spacing w:val="-3"/>
        </w:rPr>
        <w:t>[name]</w:t>
      </w:r>
      <w:r w:rsidR="003334D4">
        <w:rPr>
          <w:spacing w:val="-4"/>
        </w:rPr>
        <w:t xml:space="preserve"> </w:t>
      </w:r>
      <w:r w:rsidR="003334D4">
        <w:t>for</w:t>
      </w:r>
      <w:r w:rsidR="003334D4">
        <w:rPr>
          <w:spacing w:val="-4"/>
        </w:rPr>
        <w:t xml:space="preserve"> </w:t>
      </w:r>
      <w:r w:rsidR="003334D4">
        <w:t>costs</w:t>
      </w:r>
      <w:r w:rsidR="003334D4">
        <w:rPr>
          <w:spacing w:val="-3"/>
        </w:rPr>
        <w:t xml:space="preserve"> </w:t>
      </w:r>
      <w:r w:rsidR="003334D4">
        <w:t>incurred</w:t>
      </w:r>
      <w:r w:rsidR="003334D4">
        <w:rPr>
          <w:spacing w:val="-1"/>
        </w:rPr>
        <w:t xml:space="preserve"> </w:t>
      </w:r>
      <w:r w:rsidR="003334D4">
        <w:t>or</w:t>
      </w:r>
      <w:r w:rsidR="003334D4">
        <w:rPr>
          <w:spacing w:val="-4"/>
        </w:rPr>
        <w:t xml:space="preserve"> </w:t>
      </w:r>
      <w:r w:rsidR="003334D4">
        <w:t>performances</w:t>
      </w:r>
      <w:r w:rsidR="003334D4">
        <w:rPr>
          <w:spacing w:val="-3"/>
        </w:rPr>
        <w:t xml:space="preserve"> </w:t>
      </w:r>
      <w:r w:rsidR="003334D4">
        <w:t>rendered</w:t>
      </w:r>
      <w:r w:rsidR="003334D4">
        <w:rPr>
          <w:spacing w:val="-3"/>
        </w:rPr>
        <w:t xml:space="preserve"> </w:t>
      </w:r>
      <w:r w:rsidR="003334D4">
        <w:t xml:space="preserve">by </w:t>
      </w:r>
      <w:r w:rsidR="00BB50B3" w:rsidRPr="007E73D3">
        <w:rPr>
          <w:color w:val="2E74B5" w:themeColor="accent5" w:themeShade="BF"/>
        </w:rPr>
        <w:t>[name]</w:t>
      </w:r>
      <w:r w:rsidR="003334D4">
        <w:t xml:space="preserve"> or its subcontractors before commencement of this Agreement or after termination</w:t>
      </w:r>
      <w:r w:rsidR="003334D4">
        <w:rPr>
          <w:spacing w:val="-2"/>
        </w:rPr>
        <w:t xml:space="preserve"> </w:t>
      </w:r>
      <w:r w:rsidR="003334D4">
        <w:t>of</w:t>
      </w:r>
      <w:r w:rsidR="003334D4">
        <w:rPr>
          <w:spacing w:val="-3"/>
        </w:rPr>
        <w:t xml:space="preserve"> </w:t>
      </w:r>
      <w:r w:rsidR="003334D4">
        <w:t>this</w:t>
      </w:r>
      <w:r w:rsidR="003334D4">
        <w:rPr>
          <w:spacing w:val="-2"/>
        </w:rPr>
        <w:t xml:space="preserve"> </w:t>
      </w:r>
      <w:r w:rsidR="003334D4">
        <w:t>Agreement,</w:t>
      </w:r>
      <w:r w:rsidR="003334D4">
        <w:rPr>
          <w:spacing w:val="-2"/>
        </w:rPr>
        <w:t xml:space="preserve"> </w:t>
      </w:r>
      <w:r w:rsidR="003334D4">
        <w:t>other</w:t>
      </w:r>
      <w:r w:rsidR="003334D4">
        <w:rPr>
          <w:spacing w:val="-3"/>
        </w:rPr>
        <w:t xml:space="preserve"> </w:t>
      </w:r>
      <w:r w:rsidR="003334D4">
        <w:t>than</w:t>
      </w:r>
      <w:r w:rsidR="003334D4">
        <w:rPr>
          <w:spacing w:val="-2"/>
        </w:rPr>
        <w:t xml:space="preserve"> </w:t>
      </w:r>
      <w:r w:rsidR="003334D4">
        <w:t>allowable</w:t>
      </w:r>
      <w:r w:rsidR="003334D4">
        <w:rPr>
          <w:spacing w:val="-3"/>
        </w:rPr>
        <w:t xml:space="preserve"> </w:t>
      </w:r>
      <w:r w:rsidR="003334D4">
        <w:t>administrative</w:t>
      </w:r>
      <w:r w:rsidR="003334D4">
        <w:rPr>
          <w:spacing w:val="-3"/>
        </w:rPr>
        <w:t xml:space="preserve"> </w:t>
      </w:r>
      <w:r w:rsidR="003334D4">
        <w:t>costs.</w:t>
      </w:r>
    </w:p>
    <w:p w14:paraId="1B975710" w14:textId="5329E4B8" w:rsidR="003334D4" w:rsidRDefault="003334D4" w:rsidP="003334D4">
      <w:pPr>
        <w:pStyle w:val="ListParagraph"/>
        <w:numPr>
          <w:ilvl w:val="2"/>
          <w:numId w:val="2"/>
        </w:numPr>
        <w:tabs>
          <w:tab w:val="left" w:pos="2360"/>
        </w:tabs>
        <w:kinsoku w:val="0"/>
        <w:overflowPunct w:val="0"/>
        <w:spacing w:before="1"/>
        <w:ind w:left="2359" w:right="611"/>
      </w:pPr>
      <w:r>
        <w:t>TWC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incurred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 w:rsidR="00BB50B3" w:rsidRPr="007E73D3">
        <w:rPr>
          <w:color w:val="2E74B5" w:themeColor="accent5" w:themeShade="BF"/>
          <w:spacing w:val="-1"/>
        </w:rPr>
        <w:t>[name]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 Agreement which have not been billed to TWC within sixty (60) days following termination or expiration of this Agreement.</w:t>
      </w:r>
    </w:p>
    <w:p w14:paraId="17F3B09F" w14:textId="77777777" w:rsidR="003334D4" w:rsidRDefault="003334D4" w:rsidP="003334D4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7ACB72E3" w14:textId="450A2EFF" w:rsidR="003334D4" w:rsidRDefault="00BB50B3" w:rsidP="003334D4">
      <w:pPr>
        <w:pStyle w:val="ListParagraph"/>
        <w:numPr>
          <w:ilvl w:val="1"/>
          <w:numId w:val="2"/>
        </w:numPr>
        <w:tabs>
          <w:tab w:val="left" w:pos="1640"/>
        </w:tabs>
        <w:kinsoku w:val="0"/>
        <w:overflowPunct w:val="0"/>
        <w:ind w:left="1639" w:right="632"/>
        <w:rPr>
          <w:spacing w:val="-2"/>
        </w:rPr>
      </w:pPr>
      <w:r w:rsidRPr="007E73D3">
        <w:rPr>
          <w:color w:val="2E74B5" w:themeColor="accent5" w:themeShade="BF"/>
        </w:rPr>
        <w:t>[Name]</w:t>
      </w:r>
      <w:r w:rsidR="003334D4">
        <w:t xml:space="preserve"> agrees that all funds provided through this Agreement, including any funds expended under </w:t>
      </w:r>
      <w:r w:rsidR="00FC3ECA">
        <w:t>subcontracts</w:t>
      </w:r>
      <w:r w:rsidR="003334D4">
        <w:t>, shall be expended for authorized activities, and that no expenditures</w:t>
      </w:r>
      <w:r w:rsidR="003334D4">
        <w:rPr>
          <w:spacing w:val="-3"/>
        </w:rPr>
        <w:t xml:space="preserve"> </w:t>
      </w:r>
      <w:r w:rsidR="003334D4">
        <w:t>will</w:t>
      </w:r>
      <w:r w:rsidR="003334D4">
        <w:rPr>
          <w:spacing w:val="-3"/>
        </w:rPr>
        <w:t xml:space="preserve"> </w:t>
      </w:r>
      <w:r w:rsidR="003334D4">
        <w:t>have</w:t>
      </w:r>
      <w:r w:rsidR="003334D4">
        <w:rPr>
          <w:spacing w:val="-2"/>
        </w:rPr>
        <w:t xml:space="preserve"> </w:t>
      </w:r>
      <w:r w:rsidR="003334D4">
        <w:t>as</w:t>
      </w:r>
      <w:r w:rsidR="003334D4">
        <w:rPr>
          <w:spacing w:val="-1"/>
        </w:rPr>
        <w:t xml:space="preserve"> </w:t>
      </w:r>
      <w:r w:rsidR="003334D4">
        <w:t>their</w:t>
      </w:r>
      <w:r w:rsidR="003334D4">
        <w:rPr>
          <w:spacing w:val="-4"/>
        </w:rPr>
        <w:t xml:space="preserve"> </w:t>
      </w:r>
      <w:r w:rsidR="003334D4">
        <w:t>objective</w:t>
      </w:r>
      <w:r w:rsidR="003334D4">
        <w:rPr>
          <w:spacing w:val="-4"/>
        </w:rPr>
        <w:t xml:space="preserve"> </w:t>
      </w:r>
      <w:r w:rsidR="003334D4">
        <w:t>the</w:t>
      </w:r>
      <w:r w:rsidR="003334D4">
        <w:rPr>
          <w:spacing w:val="-4"/>
        </w:rPr>
        <w:t xml:space="preserve"> </w:t>
      </w:r>
      <w:r w:rsidR="003334D4">
        <w:t>funding</w:t>
      </w:r>
      <w:r w:rsidR="003334D4">
        <w:rPr>
          <w:spacing w:val="-3"/>
        </w:rPr>
        <w:t xml:space="preserve"> </w:t>
      </w:r>
      <w:r w:rsidR="003334D4">
        <w:t>of</w:t>
      </w:r>
      <w:r w:rsidR="003334D4">
        <w:rPr>
          <w:spacing w:val="-4"/>
        </w:rPr>
        <w:t xml:space="preserve"> </w:t>
      </w:r>
      <w:r w:rsidR="003334D4">
        <w:t>sectarian</w:t>
      </w:r>
      <w:r w:rsidR="003334D4">
        <w:rPr>
          <w:spacing w:val="-3"/>
        </w:rPr>
        <w:t xml:space="preserve"> </w:t>
      </w:r>
      <w:r w:rsidR="003334D4">
        <w:t>worship,</w:t>
      </w:r>
      <w:r w:rsidR="003334D4">
        <w:rPr>
          <w:spacing w:val="-3"/>
        </w:rPr>
        <w:t xml:space="preserve"> </w:t>
      </w:r>
      <w:r w:rsidR="003334D4">
        <w:t>instruction,</w:t>
      </w:r>
      <w:r w:rsidR="003334D4">
        <w:rPr>
          <w:spacing w:val="-3"/>
        </w:rPr>
        <w:t xml:space="preserve"> </w:t>
      </w:r>
      <w:r w:rsidR="003334D4">
        <w:t xml:space="preserve">or </w:t>
      </w:r>
      <w:r w:rsidR="003334D4">
        <w:rPr>
          <w:spacing w:val="-2"/>
        </w:rPr>
        <w:t>proselytization.</w:t>
      </w:r>
      <w:r w:rsidR="007E2483">
        <w:rPr>
          <w:spacing w:val="-2"/>
        </w:rPr>
        <w:t xml:space="preserve"> </w:t>
      </w:r>
    </w:p>
    <w:p w14:paraId="6A037855" w14:textId="77777777" w:rsidR="003334D4" w:rsidRDefault="003334D4" w:rsidP="003334D4">
      <w:pPr>
        <w:pStyle w:val="BodyText"/>
        <w:kinsoku w:val="0"/>
        <w:overflowPunct w:val="0"/>
      </w:pPr>
    </w:p>
    <w:p w14:paraId="222C371D" w14:textId="56CB8C75" w:rsidR="003334D4" w:rsidRDefault="003334D4" w:rsidP="003334D4">
      <w:pPr>
        <w:pStyle w:val="BodyText"/>
        <w:kinsoku w:val="0"/>
        <w:overflowPunct w:val="0"/>
        <w:ind w:left="1639"/>
      </w:pPr>
      <w:r>
        <w:t>This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interpreted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prohibit</w:t>
      </w:r>
      <w:r>
        <w:rPr>
          <w:spacing w:val="-3"/>
        </w:rPr>
        <w:t xml:space="preserve"> </w:t>
      </w:r>
      <w:r w:rsidR="00BB50B3" w:rsidRPr="007E73D3">
        <w:rPr>
          <w:color w:val="2E74B5" w:themeColor="accent5" w:themeShade="BF"/>
          <w:spacing w:val="-3"/>
        </w:rPr>
        <w:t>[name]</w:t>
      </w:r>
      <w:r>
        <w:rPr>
          <w:spacing w:val="-4"/>
        </w:rPr>
        <w:t xml:space="preserve"> </w:t>
      </w:r>
      <w:r>
        <w:t>from</w:t>
      </w:r>
      <w:r w:rsidR="00FC3ECA">
        <w:t xml:space="preserve"> subcontracting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or services with any religious institution or entity.</w:t>
      </w:r>
    </w:p>
    <w:p w14:paraId="154B0C09" w14:textId="77777777" w:rsidR="003334D4" w:rsidRDefault="003334D4" w:rsidP="003334D4">
      <w:pPr>
        <w:pStyle w:val="BodyText"/>
        <w:kinsoku w:val="0"/>
        <w:overflowPunct w:val="0"/>
      </w:pPr>
    </w:p>
    <w:p w14:paraId="7B196718" w14:textId="21587D0B" w:rsidR="003334D4" w:rsidRDefault="003334D4" w:rsidP="003334D4">
      <w:pPr>
        <w:pStyle w:val="ListParagraph"/>
        <w:numPr>
          <w:ilvl w:val="1"/>
          <w:numId w:val="2"/>
        </w:numPr>
        <w:tabs>
          <w:tab w:val="left" w:pos="1640"/>
        </w:tabs>
        <w:kinsoku w:val="0"/>
        <w:overflowPunct w:val="0"/>
        <w:ind w:left="1639" w:right="632"/>
      </w:pPr>
      <w:r>
        <w:t xml:space="preserve">Notwithstanding any other provisions of this Agreement, the Parties hereto understand and agree that TWC’s obligations for costs incurred or performances rendered by </w:t>
      </w:r>
      <w:r w:rsidR="00BB50B3" w:rsidRPr="007E73D3">
        <w:rPr>
          <w:color w:val="2E74B5" w:themeColor="accent5" w:themeShade="BF"/>
        </w:rPr>
        <w:t>[name]</w:t>
      </w:r>
      <w:r>
        <w:t xml:space="preserve"> under this Agreement are contingent upon receipt of adequate funds from federal and state</w:t>
      </w:r>
      <w:r>
        <w:rPr>
          <w:spacing w:val="-4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TWC’s</w:t>
      </w:r>
      <w:r>
        <w:rPr>
          <w:spacing w:val="-3"/>
        </w:rPr>
        <w:t xml:space="preserve"> </w:t>
      </w:r>
      <w:r>
        <w:t>liabilities</w:t>
      </w:r>
      <w:r>
        <w:rPr>
          <w:spacing w:val="-3"/>
        </w:rPr>
        <w:t xml:space="preserve"> </w:t>
      </w:r>
      <w:r>
        <w:t>hereunder.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revision upon actual receipt of funds from federal or state sources.</w:t>
      </w:r>
    </w:p>
    <w:p w14:paraId="1894FBE8" w14:textId="77777777" w:rsidR="003334D4" w:rsidRDefault="003334D4" w:rsidP="003334D4">
      <w:pPr>
        <w:pStyle w:val="ListParagraph"/>
        <w:tabs>
          <w:tab w:val="left" w:pos="1640"/>
        </w:tabs>
        <w:kinsoku w:val="0"/>
        <w:overflowPunct w:val="0"/>
        <w:ind w:left="1639" w:right="632" w:firstLine="0"/>
      </w:pPr>
    </w:p>
    <w:p w14:paraId="07E6B347" w14:textId="4A99E94F" w:rsidR="00A71D81" w:rsidRPr="007717D4" w:rsidRDefault="00A71D81" w:rsidP="00E73414">
      <w:pPr>
        <w:pStyle w:val="ListParagraph"/>
        <w:numPr>
          <w:ilvl w:val="1"/>
          <w:numId w:val="2"/>
        </w:numPr>
        <w:tabs>
          <w:tab w:val="left" w:pos="1640"/>
        </w:tabs>
        <w:kinsoku w:val="0"/>
        <w:overflowPunct w:val="0"/>
        <w:ind w:left="1639" w:right="632"/>
        <w:rPr>
          <w:snapToGrid w:val="0"/>
        </w:rPr>
      </w:pPr>
      <w:r w:rsidRPr="000F7A01">
        <w:rPr>
          <w:snapToGrid w:val="0"/>
          <w:color w:val="2E74B5" w:themeColor="accent5" w:themeShade="BF"/>
        </w:rPr>
        <w:t>[Name]</w:t>
      </w:r>
      <w:r>
        <w:rPr>
          <w:snapToGrid w:val="0"/>
        </w:rPr>
        <w:t xml:space="preserve"> understands and agrees that it shall repay to TWC any funds determined to be expended in violation of this Agreement, even if </w:t>
      </w:r>
      <w:r w:rsidRPr="000F7A01">
        <w:rPr>
          <w:snapToGrid w:val="0"/>
          <w:color w:val="2E74B5" w:themeColor="accent5" w:themeShade="BF"/>
        </w:rPr>
        <w:t>[name’s]</w:t>
      </w:r>
      <w:r>
        <w:rPr>
          <w:snapToGrid w:val="0"/>
        </w:rPr>
        <w:t xml:space="preserve"> contractor or subrecipient made the </w:t>
      </w:r>
      <w:r w:rsidR="000F7A01">
        <w:rPr>
          <w:snapToGrid w:val="0"/>
        </w:rPr>
        <w:t>improper expenditure</w:t>
      </w:r>
      <w:r>
        <w:rPr>
          <w:snapToGrid w:val="0"/>
        </w:rPr>
        <w:t>.</w:t>
      </w:r>
      <w:r w:rsidR="000F7A01">
        <w:rPr>
          <w:snapToGrid w:val="0"/>
        </w:rPr>
        <w:t xml:space="preserve"> Any repayments must be from non-federal funds.</w:t>
      </w:r>
    </w:p>
    <w:p w14:paraId="38784F82" w14:textId="77777777" w:rsidR="00A71D81" w:rsidRPr="007717D4" w:rsidRDefault="00A71D81" w:rsidP="007717D4">
      <w:pPr>
        <w:pStyle w:val="ListParagraph"/>
        <w:rPr>
          <w:snapToGrid w:val="0"/>
          <w:color w:val="2E74B5" w:themeColor="accent5" w:themeShade="BF"/>
        </w:rPr>
      </w:pPr>
    </w:p>
    <w:p w14:paraId="625ED306" w14:textId="42F4535B" w:rsidR="00077FCB" w:rsidRDefault="00077FCB" w:rsidP="003334D4">
      <w:pPr>
        <w:pStyle w:val="Heading1"/>
        <w:kinsoku w:val="0"/>
        <w:overflowPunct w:val="0"/>
        <w:spacing w:before="68"/>
        <w:ind w:left="920"/>
      </w:pPr>
      <w:bookmarkStart w:id="2" w:name="SECTION_2_-_Financial_Reporting"/>
      <w:bookmarkEnd w:id="2"/>
      <w:r>
        <w:t>SECTION 2 – Obligation and Deobligation of Funds</w:t>
      </w:r>
    </w:p>
    <w:p w14:paraId="5B16067E" w14:textId="2A3AB70F" w:rsidR="00077FCB" w:rsidRPr="006B30FE" w:rsidRDefault="00077FCB" w:rsidP="006B30FE">
      <w:pPr>
        <w:ind w:left="900"/>
        <w:rPr>
          <w:sz w:val="24"/>
          <w:szCs w:val="24"/>
        </w:rPr>
      </w:pPr>
      <w:r w:rsidRPr="006B30FE">
        <w:rPr>
          <w:sz w:val="24"/>
          <w:szCs w:val="24"/>
        </w:rPr>
        <w:t xml:space="preserve">Notwithstanding the provisions of Section </w:t>
      </w:r>
      <w:r w:rsidR="005E676B">
        <w:rPr>
          <w:sz w:val="24"/>
          <w:szCs w:val="24"/>
        </w:rPr>
        <w:t>5</w:t>
      </w:r>
      <w:r w:rsidRPr="006B30FE">
        <w:rPr>
          <w:sz w:val="24"/>
          <w:szCs w:val="24"/>
        </w:rPr>
        <w:t xml:space="preserve"> of the G</w:t>
      </w:r>
      <w:r w:rsidR="00BA4276">
        <w:rPr>
          <w:sz w:val="24"/>
          <w:szCs w:val="24"/>
        </w:rPr>
        <w:t xml:space="preserve">eneral </w:t>
      </w:r>
      <w:r w:rsidRPr="006B30FE">
        <w:rPr>
          <w:sz w:val="24"/>
          <w:szCs w:val="24"/>
        </w:rPr>
        <w:t>T</w:t>
      </w:r>
      <w:r w:rsidR="00BA4276">
        <w:rPr>
          <w:sz w:val="24"/>
          <w:szCs w:val="24"/>
        </w:rPr>
        <w:t>erms</w:t>
      </w:r>
      <w:r w:rsidR="00C2112E">
        <w:rPr>
          <w:sz w:val="24"/>
          <w:szCs w:val="24"/>
        </w:rPr>
        <w:t xml:space="preserve"> and </w:t>
      </w:r>
      <w:r w:rsidRPr="006B30FE">
        <w:rPr>
          <w:sz w:val="24"/>
          <w:szCs w:val="24"/>
        </w:rPr>
        <w:t>C</w:t>
      </w:r>
      <w:r w:rsidR="00C2112E">
        <w:rPr>
          <w:sz w:val="24"/>
          <w:szCs w:val="24"/>
        </w:rPr>
        <w:t>ondition</w:t>
      </w:r>
      <w:r w:rsidRPr="006B30FE">
        <w:rPr>
          <w:sz w:val="24"/>
          <w:szCs w:val="24"/>
        </w:rPr>
        <w:t xml:space="preserve">s, the following provisions apply to the obligation and deobligation of funds under this </w:t>
      </w:r>
      <w:r>
        <w:rPr>
          <w:sz w:val="24"/>
          <w:szCs w:val="24"/>
        </w:rPr>
        <w:t>Agreement</w:t>
      </w:r>
      <w:r w:rsidRPr="006B30FE">
        <w:rPr>
          <w:sz w:val="24"/>
          <w:szCs w:val="24"/>
        </w:rPr>
        <w:t>:</w:t>
      </w:r>
    </w:p>
    <w:p w14:paraId="5809291B" w14:textId="77777777" w:rsidR="00077FCB" w:rsidRDefault="00077FCB" w:rsidP="00077FCB">
      <w:pPr>
        <w:ind w:left="1620" w:hanging="720"/>
        <w:rPr>
          <w:sz w:val="24"/>
          <w:szCs w:val="24"/>
        </w:rPr>
      </w:pPr>
    </w:p>
    <w:p w14:paraId="3433907F" w14:textId="77777777" w:rsidR="00C14D57" w:rsidRDefault="00077FCB" w:rsidP="00E70B0E">
      <w:pPr>
        <w:pStyle w:val="ListParagraph"/>
        <w:numPr>
          <w:ilvl w:val="1"/>
          <w:numId w:val="3"/>
        </w:numPr>
        <w:tabs>
          <w:tab w:val="left" w:pos="1640"/>
        </w:tabs>
        <w:kinsoku w:val="0"/>
        <w:overflowPunct w:val="0"/>
        <w:ind w:left="1620" w:right="632" w:hanging="720"/>
      </w:pPr>
      <w:r w:rsidRPr="00C14D57">
        <w:t xml:space="preserve">TWC shall not be liable to the </w:t>
      </w:r>
      <w:r w:rsidRPr="00C14D57">
        <w:rPr>
          <w:snapToGrid w:val="0"/>
          <w:color w:val="2E74B5" w:themeColor="accent5" w:themeShade="BF"/>
        </w:rPr>
        <w:t>[Name]</w:t>
      </w:r>
      <w:r w:rsidRPr="00C14D57">
        <w:t xml:space="preserve"> for any excess or erroneous funding obligations and retains the right to unilaterally deobligate such funds.</w:t>
      </w:r>
    </w:p>
    <w:p w14:paraId="57C52CA2" w14:textId="77777777" w:rsidR="00C14D57" w:rsidRDefault="00C14D57" w:rsidP="00C14D57">
      <w:pPr>
        <w:pStyle w:val="ListParagraph"/>
        <w:tabs>
          <w:tab w:val="left" w:pos="1640"/>
        </w:tabs>
        <w:kinsoku w:val="0"/>
        <w:overflowPunct w:val="0"/>
        <w:ind w:left="1620" w:right="632" w:firstLine="0"/>
      </w:pPr>
    </w:p>
    <w:p w14:paraId="70AF4975" w14:textId="62C6E258" w:rsidR="00077FCB" w:rsidRPr="00C14D57" w:rsidRDefault="00077FCB" w:rsidP="00E70B0E">
      <w:pPr>
        <w:pStyle w:val="ListParagraph"/>
        <w:numPr>
          <w:ilvl w:val="1"/>
          <w:numId w:val="3"/>
        </w:numPr>
        <w:tabs>
          <w:tab w:val="left" w:pos="1640"/>
        </w:tabs>
        <w:kinsoku w:val="0"/>
        <w:overflowPunct w:val="0"/>
        <w:ind w:left="1620" w:right="632" w:hanging="720"/>
      </w:pPr>
      <w:r w:rsidRPr="00C14D57">
        <w:t>TWC may obligate additional funds under this Agreement or deobligate funds previously obligated under this Agreement at the sole discretion of TWC.</w:t>
      </w:r>
    </w:p>
    <w:p w14:paraId="00A6984F" w14:textId="77777777" w:rsidR="00077FCB" w:rsidRDefault="00077FCB" w:rsidP="00077FCB">
      <w:pPr>
        <w:ind w:left="1620" w:hanging="720"/>
        <w:rPr>
          <w:sz w:val="24"/>
          <w:szCs w:val="24"/>
        </w:rPr>
      </w:pPr>
    </w:p>
    <w:p w14:paraId="43DEC1B1" w14:textId="77777777" w:rsidR="0066733E" w:rsidRDefault="00077FCB" w:rsidP="0066733E">
      <w:pPr>
        <w:pStyle w:val="ListParagraph"/>
        <w:numPr>
          <w:ilvl w:val="1"/>
          <w:numId w:val="3"/>
        </w:numPr>
        <w:tabs>
          <w:tab w:val="left" w:pos="1640"/>
        </w:tabs>
        <w:kinsoku w:val="0"/>
        <w:overflowPunct w:val="0"/>
        <w:ind w:left="1620" w:right="632" w:hanging="720"/>
      </w:pPr>
      <w:r w:rsidRPr="00C14D57">
        <w:t>TWC may deobligate funds if performance and/or expenditures are not meeting a detailed program plan and implementation schedule; and/or expenditure projections at the following intervals:</w:t>
      </w:r>
    </w:p>
    <w:p w14:paraId="53B96922" w14:textId="77777777" w:rsidR="0066733E" w:rsidRDefault="0066733E" w:rsidP="0066733E">
      <w:pPr>
        <w:pStyle w:val="ListParagraph"/>
      </w:pPr>
    </w:p>
    <w:p w14:paraId="549EC566" w14:textId="4AF782AB" w:rsidR="00077FCB" w:rsidRPr="00C14D57" w:rsidRDefault="00077FCB" w:rsidP="00777FCA">
      <w:pPr>
        <w:pStyle w:val="ListParagraph"/>
        <w:numPr>
          <w:ilvl w:val="2"/>
          <w:numId w:val="9"/>
        </w:numPr>
        <w:tabs>
          <w:tab w:val="left" w:pos="1640"/>
        </w:tabs>
        <w:kinsoku w:val="0"/>
        <w:overflowPunct w:val="0"/>
        <w:ind w:right="632"/>
      </w:pPr>
      <w:r w:rsidRPr="00C14D57">
        <w:t>twenty-five percent (25%) of the Agreement Period;</w:t>
      </w:r>
    </w:p>
    <w:p w14:paraId="614443CA" w14:textId="77777777" w:rsidR="00077FCB" w:rsidRDefault="00077FCB" w:rsidP="006B30FE">
      <w:pPr>
        <w:ind w:left="2340" w:hanging="720"/>
        <w:rPr>
          <w:sz w:val="24"/>
          <w:szCs w:val="24"/>
        </w:rPr>
      </w:pPr>
    </w:p>
    <w:p w14:paraId="6A07C799" w14:textId="4DCD9325" w:rsidR="00077FCB" w:rsidRDefault="00077FCB" w:rsidP="00777FCA">
      <w:pPr>
        <w:pStyle w:val="ListParagraph"/>
        <w:numPr>
          <w:ilvl w:val="2"/>
          <w:numId w:val="9"/>
        </w:numPr>
        <w:tabs>
          <w:tab w:val="left" w:pos="1640"/>
        </w:tabs>
        <w:kinsoku w:val="0"/>
        <w:overflowPunct w:val="0"/>
        <w:ind w:right="632"/>
      </w:pPr>
      <w:r w:rsidRPr="006B30FE">
        <w:t xml:space="preserve">fifty percent (50%) of the </w:t>
      </w:r>
      <w:r>
        <w:t>Agreement</w:t>
      </w:r>
      <w:r w:rsidRPr="006B30FE">
        <w:t xml:space="preserve"> Period; and</w:t>
      </w:r>
    </w:p>
    <w:p w14:paraId="01A35D65" w14:textId="77777777" w:rsidR="00777FCA" w:rsidRDefault="00777FCA" w:rsidP="00777FCA">
      <w:pPr>
        <w:pStyle w:val="ListParagraph"/>
      </w:pPr>
    </w:p>
    <w:p w14:paraId="478127DA" w14:textId="1CC18F80" w:rsidR="00077FCB" w:rsidRPr="006B30FE" w:rsidRDefault="00077FCB" w:rsidP="00777FCA">
      <w:pPr>
        <w:pStyle w:val="ListParagraph"/>
        <w:numPr>
          <w:ilvl w:val="2"/>
          <w:numId w:val="9"/>
        </w:numPr>
        <w:tabs>
          <w:tab w:val="left" w:pos="1640"/>
        </w:tabs>
        <w:kinsoku w:val="0"/>
        <w:overflowPunct w:val="0"/>
        <w:ind w:right="632"/>
      </w:pPr>
      <w:r w:rsidRPr="006B30FE">
        <w:t xml:space="preserve">seventy-five percent (75%) of the </w:t>
      </w:r>
      <w:r>
        <w:t>Agreement</w:t>
      </w:r>
      <w:r w:rsidRPr="006B30FE">
        <w:t xml:space="preserve"> Period.</w:t>
      </w:r>
    </w:p>
    <w:p w14:paraId="2AA6EB67" w14:textId="77777777" w:rsidR="00077FCB" w:rsidRDefault="00077FCB" w:rsidP="00077FCB">
      <w:pPr>
        <w:ind w:left="1620" w:hanging="720"/>
        <w:rPr>
          <w:sz w:val="24"/>
          <w:szCs w:val="24"/>
        </w:rPr>
      </w:pPr>
    </w:p>
    <w:p w14:paraId="4F87988A" w14:textId="584CC7CC" w:rsidR="00077FCB" w:rsidRDefault="00077FCB" w:rsidP="00777FCA">
      <w:pPr>
        <w:pStyle w:val="ListParagraph"/>
        <w:numPr>
          <w:ilvl w:val="1"/>
          <w:numId w:val="9"/>
        </w:numPr>
        <w:tabs>
          <w:tab w:val="left" w:pos="1640"/>
        </w:tabs>
        <w:kinsoku w:val="0"/>
        <w:overflowPunct w:val="0"/>
        <w:ind w:left="1620" w:right="632" w:hanging="720"/>
      </w:pPr>
      <w:r w:rsidRPr="006B30FE">
        <w:t xml:space="preserve">TWC shall provide written notification to </w:t>
      </w:r>
      <w:r w:rsidRPr="002012A2">
        <w:rPr>
          <w:snapToGrid w:val="0"/>
          <w:color w:val="2E74B5" w:themeColor="accent5" w:themeShade="BF"/>
        </w:rPr>
        <w:t>[Name]</w:t>
      </w:r>
      <w:r w:rsidRPr="002012A2">
        <w:t xml:space="preserve"> in the form of either a letter of notification or a</w:t>
      </w:r>
      <w:r>
        <w:t>n</w:t>
      </w:r>
      <w:r w:rsidRPr="002012A2">
        <w:t xml:space="preserve"> </w:t>
      </w:r>
      <w:r>
        <w:t xml:space="preserve">Agreement </w:t>
      </w:r>
      <w:r w:rsidRPr="002012A2">
        <w:t>amendment in the case of an additional obligation or deobligation of funds at least ten (10) business days in advance of the revision taking effect.</w:t>
      </w:r>
    </w:p>
    <w:p w14:paraId="54810DD5" w14:textId="77777777" w:rsidR="00077FCB" w:rsidRPr="00077FCB" w:rsidRDefault="00077FCB" w:rsidP="002012A2"/>
    <w:p w14:paraId="57C7383E" w14:textId="57B5B2BC" w:rsidR="003334D4" w:rsidRDefault="003334D4" w:rsidP="003334D4">
      <w:pPr>
        <w:pStyle w:val="Heading1"/>
        <w:kinsoku w:val="0"/>
        <w:overflowPunct w:val="0"/>
        <w:spacing w:before="68"/>
        <w:ind w:left="920"/>
        <w:rPr>
          <w:spacing w:val="-2"/>
        </w:rPr>
      </w:pPr>
      <w:r>
        <w:t>SECTION</w:t>
      </w:r>
      <w:r>
        <w:rPr>
          <w:spacing w:val="-2"/>
        </w:rPr>
        <w:t xml:space="preserve"> </w:t>
      </w:r>
      <w:r w:rsidR="006129B1">
        <w:rPr>
          <w:spacing w:val="-2"/>
        </w:rPr>
        <w:t>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Reporting</w:t>
      </w:r>
    </w:p>
    <w:p w14:paraId="10C58E59" w14:textId="77777777" w:rsidR="003334D4" w:rsidRDefault="003334D4" w:rsidP="003334D4">
      <w:pPr>
        <w:pStyle w:val="BodyText"/>
        <w:kinsoku w:val="0"/>
        <w:overflowPunct w:val="0"/>
        <w:spacing w:before="5"/>
        <w:rPr>
          <w:b/>
          <w:bCs/>
          <w:sz w:val="20"/>
          <w:szCs w:val="20"/>
        </w:rPr>
      </w:pPr>
    </w:p>
    <w:p w14:paraId="4A1A20A7" w14:textId="658C9C4E" w:rsidR="003334D4" w:rsidRDefault="00585BCF" w:rsidP="007B29CE">
      <w:pPr>
        <w:pStyle w:val="ListParagraph"/>
        <w:numPr>
          <w:ilvl w:val="1"/>
          <w:numId w:val="10"/>
        </w:numPr>
        <w:tabs>
          <w:tab w:val="left" w:pos="1640"/>
        </w:tabs>
        <w:kinsoku w:val="0"/>
        <w:overflowPunct w:val="0"/>
        <w:ind w:right="632" w:hanging="660"/>
      </w:pPr>
      <w:r w:rsidRPr="007E73D3">
        <w:rPr>
          <w:color w:val="2E74B5" w:themeColor="accent5" w:themeShade="BF"/>
        </w:rPr>
        <w:t>[Name]</w:t>
      </w:r>
      <w:r w:rsidR="003334D4" w:rsidRPr="007E73D3">
        <w:rPr>
          <w:color w:val="2E74B5" w:themeColor="accent5" w:themeShade="BF"/>
        </w:rPr>
        <w:t xml:space="preserve"> </w:t>
      </w:r>
      <w:r w:rsidR="003334D4" w:rsidRPr="002D2BCA">
        <w:rPr>
          <w:snapToGrid w:val="0"/>
        </w:rPr>
        <w:t>shall</w:t>
      </w:r>
      <w:r w:rsidR="003334D4">
        <w:t xml:space="preserve"> electronically submit an accurate monthly financial report, including accrued expenditures and obligations, no later than 11:59 p.m. Central Time on the 20</w:t>
      </w:r>
      <w:r w:rsidR="003334D4">
        <w:rPr>
          <w:vertAlign w:val="superscript"/>
        </w:rPr>
        <w:t>th</w:t>
      </w:r>
      <w:r w:rsidR="003334D4">
        <w:t xml:space="preserve"> day of each month through TWC’s on-line Cash Draw and Expenditure Reporting (CDER) system. To the extent applicable, </w:t>
      </w:r>
      <w:r w:rsidRPr="007E73D3">
        <w:rPr>
          <w:color w:val="2E74B5" w:themeColor="accent5" w:themeShade="BF"/>
        </w:rPr>
        <w:t>[name]</w:t>
      </w:r>
      <w:r w:rsidR="003334D4">
        <w:t xml:space="preserve"> will comply with the instructions specified in 40 TAC</w:t>
      </w:r>
      <w:r w:rsidR="003334D4">
        <w:rPr>
          <w:spacing w:val="-3"/>
        </w:rPr>
        <w:t xml:space="preserve"> </w:t>
      </w:r>
      <w:r w:rsidR="003334D4">
        <w:t>§§</w:t>
      </w:r>
      <w:r w:rsidR="003334D4">
        <w:rPr>
          <w:spacing w:val="-3"/>
        </w:rPr>
        <w:t xml:space="preserve"> </w:t>
      </w:r>
      <w:r w:rsidR="003334D4">
        <w:t>800.52</w:t>
      </w:r>
      <w:r w:rsidR="003334D4">
        <w:rPr>
          <w:spacing w:val="-3"/>
        </w:rPr>
        <w:t xml:space="preserve"> </w:t>
      </w:r>
      <w:r w:rsidR="003334D4">
        <w:t>and</w:t>
      </w:r>
      <w:r w:rsidR="003334D4">
        <w:rPr>
          <w:spacing w:val="-3"/>
        </w:rPr>
        <w:t xml:space="preserve"> </w:t>
      </w:r>
      <w:r w:rsidR="003334D4">
        <w:t>800.72;</w:t>
      </w:r>
      <w:r w:rsidR="003334D4">
        <w:rPr>
          <w:spacing w:val="-3"/>
        </w:rPr>
        <w:t xml:space="preserve"> </w:t>
      </w:r>
      <w:r w:rsidR="003334D4">
        <w:t>TWC’s</w:t>
      </w:r>
      <w:r w:rsidR="003334D4">
        <w:rPr>
          <w:spacing w:val="-3"/>
        </w:rPr>
        <w:t xml:space="preserve"> </w:t>
      </w:r>
      <w:r w:rsidR="003334D4">
        <w:t>FMGC;</w:t>
      </w:r>
      <w:r w:rsidR="003334D4">
        <w:rPr>
          <w:spacing w:val="-3"/>
        </w:rPr>
        <w:t xml:space="preserve"> </w:t>
      </w:r>
      <w:r w:rsidR="003334D4">
        <w:t>WD</w:t>
      </w:r>
      <w:r w:rsidR="003334D4">
        <w:rPr>
          <w:spacing w:val="-2"/>
        </w:rPr>
        <w:t xml:space="preserve"> </w:t>
      </w:r>
      <w:r w:rsidR="003334D4">
        <w:t>Letter</w:t>
      </w:r>
      <w:r w:rsidR="003334D4">
        <w:rPr>
          <w:spacing w:val="-4"/>
        </w:rPr>
        <w:t xml:space="preserve"> </w:t>
      </w:r>
      <w:r w:rsidR="003334D4">
        <w:t>04-15,</w:t>
      </w:r>
      <w:r w:rsidR="003334D4">
        <w:rPr>
          <w:spacing w:val="-3"/>
        </w:rPr>
        <w:t xml:space="preserve"> </w:t>
      </w:r>
      <w:r w:rsidR="003334D4">
        <w:t>Change</w:t>
      </w:r>
      <w:r w:rsidR="003334D4">
        <w:rPr>
          <w:spacing w:val="-4"/>
        </w:rPr>
        <w:t xml:space="preserve"> </w:t>
      </w:r>
      <w:r w:rsidR="003334D4">
        <w:t>2</w:t>
      </w:r>
      <w:r w:rsidR="003334D4">
        <w:rPr>
          <w:sz w:val="23"/>
          <w:szCs w:val="23"/>
        </w:rPr>
        <w:t xml:space="preserve">, </w:t>
      </w:r>
      <w:r w:rsidR="003334D4">
        <w:t xml:space="preserve">including subsequent issuances; and additional </w:t>
      </w:r>
      <w:r w:rsidR="007E2483">
        <w:t>TWC</w:t>
      </w:r>
      <w:r w:rsidR="003334D4">
        <w:t xml:space="preserve"> issuances.</w:t>
      </w:r>
    </w:p>
    <w:p w14:paraId="67638214" w14:textId="77777777" w:rsidR="003334D4" w:rsidRDefault="003334D4" w:rsidP="003334D4">
      <w:pPr>
        <w:pStyle w:val="BodyText"/>
        <w:kinsoku w:val="0"/>
        <w:overflowPunct w:val="0"/>
      </w:pPr>
    </w:p>
    <w:p w14:paraId="6F822A2E" w14:textId="410DC952" w:rsidR="003334D4" w:rsidRDefault="003334D4" w:rsidP="003334D4">
      <w:pPr>
        <w:pStyle w:val="BodyText"/>
        <w:kinsoku w:val="0"/>
        <w:overflowPunct w:val="0"/>
        <w:ind w:left="1639"/>
      </w:pPr>
      <w:r>
        <w:t>If</w:t>
      </w:r>
      <w:r>
        <w:rPr>
          <w:spacing w:val="-4"/>
        </w:rPr>
        <w:t xml:space="preserve"> </w:t>
      </w:r>
      <w:r w:rsidR="00585BCF" w:rsidRPr="007E73D3">
        <w:rPr>
          <w:color w:val="2E74B5" w:themeColor="accent5" w:themeShade="BF"/>
          <w:spacing w:val="-4"/>
        </w:rPr>
        <w:t>[name]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deadlines,</w:t>
      </w:r>
      <w:r>
        <w:rPr>
          <w:spacing w:val="-3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notifications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 xml:space="preserve">and access to funds may be disabled as </w:t>
      </w:r>
      <w:r w:rsidR="00FB6361">
        <w:t>specified in those issuances.</w:t>
      </w:r>
    </w:p>
    <w:p w14:paraId="12DF1C1F" w14:textId="1446857D" w:rsidR="00070C80" w:rsidRDefault="00070C80" w:rsidP="003334D4">
      <w:pPr>
        <w:pStyle w:val="BodyText"/>
        <w:kinsoku w:val="0"/>
        <w:overflowPunct w:val="0"/>
        <w:ind w:left="1640" w:right="953"/>
        <w:jc w:val="both"/>
      </w:pPr>
    </w:p>
    <w:p w14:paraId="707BD709" w14:textId="7E2138F3" w:rsidR="00070C80" w:rsidRDefault="00070C80" w:rsidP="007B29CE">
      <w:pPr>
        <w:pStyle w:val="ListParagraph"/>
        <w:numPr>
          <w:ilvl w:val="1"/>
          <w:numId w:val="10"/>
        </w:numPr>
        <w:tabs>
          <w:tab w:val="left" w:pos="1640"/>
        </w:tabs>
        <w:kinsoku w:val="0"/>
        <w:overflowPunct w:val="0"/>
        <w:ind w:right="632" w:hanging="660"/>
      </w:pPr>
      <w:r w:rsidRPr="007E73D3">
        <w:rPr>
          <w:color w:val="2E74B5" w:themeColor="accent5" w:themeShade="BF"/>
        </w:rPr>
        <w:t>[Name]</w:t>
      </w:r>
      <w:r>
        <w:t xml:space="preserve"> shall electronically submit a financial closeout package through the closeout module of the CDER system no later than 11:59 p.m. Central Time on the 60</w:t>
      </w:r>
      <w:r w:rsidRPr="007E73D3">
        <w:rPr>
          <w:vertAlign w:val="superscript"/>
        </w:rPr>
        <w:t>th</w:t>
      </w:r>
      <w:r>
        <w:t xml:space="preserve"> </w:t>
      </w:r>
      <w:r w:rsidRPr="007B29CE">
        <w:rPr>
          <w:snapToGrid w:val="0"/>
        </w:rPr>
        <w:t>calendar</w:t>
      </w:r>
      <w:r>
        <w:t xml:space="preserve"> day from the grant end date. </w:t>
      </w:r>
      <w:r w:rsidR="00FB6361" w:rsidRPr="007E73D3">
        <w:rPr>
          <w:color w:val="2E74B5" w:themeColor="accent5" w:themeShade="BF"/>
        </w:rPr>
        <w:t>[Name]</w:t>
      </w:r>
      <w:r w:rsidR="00FB6361">
        <w:t xml:space="preserve"> </w:t>
      </w:r>
      <w:r>
        <w:t xml:space="preserve">shall submit the financial closeout package according to the </w:t>
      </w:r>
      <w:r w:rsidR="00FB6361">
        <w:t>instructions specified in 40 TAC §§ 800.52 and 800.72; TWC’s FMGC; WD Letter 44-05 and 04-15, Change 2, including subsequent issuances; and additional TWC issuances.</w:t>
      </w:r>
    </w:p>
    <w:p w14:paraId="34C8EDDF" w14:textId="77777777" w:rsidR="003334D4" w:rsidRDefault="003334D4" w:rsidP="003334D4">
      <w:pPr>
        <w:pStyle w:val="BodyText"/>
        <w:kinsoku w:val="0"/>
        <w:overflowPunct w:val="0"/>
        <w:rPr>
          <w:sz w:val="26"/>
          <w:szCs w:val="26"/>
        </w:rPr>
      </w:pPr>
    </w:p>
    <w:p w14:paraId="1B5A44C1" w14:textId="6AC4239C" w:rsidR="003334D4" w:rsidRDefault="003334D4" w:rsidP="003334D4">
      <w:pPr>
        <w:pStyle w:val="Heading1"/>
        <w:kinsoku w:val="0"/>
        <w:overflowPunct w:val="0"/>
        <w:spacing w:before="222"/>
        <w:ind w:left="920"/>
        <w:rPr>
          <w:spacing w:val="-2"/>
        </w:rPr>
      </w:pPr>
      <w:bookmarkStart w:id="3" w:name="SECTION_3_–_Administrative_Requirements"/>
      <w:bookmarkEnd w:id="3"/>
      <w:r>
        <w:t>SECTION</w:t>
      </w:r>
      <w:r>
        <w:rPr>
          <w:spacing w:val="-3"/>
        </w:rPr>
        <w:t xml:space="preserve"> </w:t>
      </w:r>
      <w:r w:rsidR="007B29CE">
        <w:rPr>
          <w:spacing w:val="-3"/>
        </w:rPr>
        <w:t>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Administrative</w:t>
      </w:r>
      <w:r>
        <w:rPr>
          <w:spacing w:val="-2"/>
        </w:rPr>
        <w:t xml:space="preserve"> Requirements</w:t>
      </w:r>
    </w:p>
    <w:p w14:paraId="710C5130" w14:textId="77777777" w:rsidR="003334D4" w:rsidRDefault="003334D4" w:rsidP="003334D4">
      <w:pPr>
        <w:pStyle w:val="BodyText"/>
        <w:kinsoku w:val="0"/>
        <w:overflowPunct w:val="0"/>
        <w:spacing w:before="6"/>
        <w:rPr>
          <w:b/>
          <w:bCs/>
          <w:sz w:val="23"/>
          <w:szCs w:val="23"/>
        </w:rPr>
      </w:pPr>
    </w:p>
    <w:p w14:paraId="00939DAC" w14:textId="12F00191" w:rsidR="003334D4" w:rsidRPr="00E52A4B" w:rsidRDefault="003334D4" w:rsidP="00B248CD">
      <w:pPr>
        <w:pStyle w:val="ListParagraph"/>
        <w:numPr>
          <w:ilvl w:val="1"/>
          <w:numId w:val="5"/>
        </w:numPr>
        <w:tabs>
          <w:tab w:val="left" w:pos="1640"/>
        </w:tabs>
        <w:kinsoku w:val="0"/>
        <w:overflowPunct w:val="0"/>
        <w:spacing w:before="1"/>
        <w:ind w:left="1620" w:right="759" w:hanging="720"/>
      </w:pPr>
      <w:r w:rsidRPr="00E52A4B">
        <w:t>All</w:t>
      </w:r>
      <w:r w:rsidRPr="00E52A4B">
        <w:rPr>
          <w:spacing w:val="-4"/>
        </w:rPr>
        <w:t xml:space="preserve"> </w:t>
      </w:r>
      <w:r w:rsidRPr="00E52A4B">
        <w:t>business</w:t>
      </w:r>
      <w:r w:rsidRPr="00F50EEF">
        <w:rPr>
          <w:spacing w:val="-4"/>
        </w:rPr>
        <w:t xml:space="preserve"> </w:t>
      </w:r>
      <w:r w:rsidRPr="00F50EEF">
        <w:t>relationships</w:t>
      </w:r>
      <w:r w:rsidRPr="00F50EEF">
        <w:rPr>
          <w:spacing w:val="-4"/>
        </w:rPr>
        <w:t xml:space="preserve"> </w:t>
      </w:r>
      <w:r w:rsidRPr="00F50EEF">
        <w:t>(grants</w:t>
      </w:r>
      <w:r w:rsidRPr="00113F1A">
        <w:rPr>
          <w:spacing w:val="-4"/>
        </w:rPr>
        <w:t xml:space="preserve"> </w:t>
      </w:r>
      <w:r w:rsidRPr="00113F1A">
        <w:t>and</w:t>
      </w:r>
      <w:r w:rsidRPr="00113F1A">
        <w:rPr>
          <w:spacing w:val="-4"/>
        </w:rPr>
        <w:t xml:space="preserve"> </w:t>
      </w:r>
      <w:r w:rsidRPr="00113F1A">
        <w:t>program</w:t>
      </w:r>
      <w:r w:rsidRPr="00113F1A">
        <w:rPr>
          <w:spacing w:val="-4"/>
        </w:rPr>
        <w:t xml:space="preserve"> </w:t>
      </w:r>
      <w:r w:rsidRPr="00113F1A">
        <w:t>contracts)</w:t>
      </w:r>
      <w:r w:rsidRPr="00113F1A">
        <w:rPr>
          <w:spacing w:val="-5"/>
        </w:rPr>
        <w:t xml:space="preserve"> </w:t>
      </w:r>
      <w:r w:rsidRPr="00113F1A">
        <w:t>between</w:t>
      </w:r>
      <w:r w:rsidRPr="00113F1A">
        <w:rPr>
          <w:spacing w:val="-4"/>
        </w:rPr>
        <w:t xml:space="preserve"> </w:t>
      </w:r>
      <w:r w:rsidRPr="00113F1A">
        <w:t>TWC</w:t>
      </w:r>
      <w:r w:rsidRPr="00113F1A">
        <w:rPr>
          <w:spacing w:val="-4"/>
        </w:rPr>
        <w:t xml:space="preserve"> </w:t>
      </w:r>
      <w:r w:rsidRPr="00113F1A">
        <w:t>and</w:t>
      </w:r>
      <w:r w:rsidRPr="00113F1A">
        <w:rPr>
          <w:spacing w:val="-4"/>
        </w:rPr>
        <w:t xml:space="preserve"> </w:t>
      </w:r>
      <w:r w:rsidR="00194585" w:rsidRPr="007E73D3">
        <w:rPr>
          <w:color w:val="2E74B5" w:themeColor="accent5" w:themeShade="BF"/>
          <w:spacing w:val="-4"/>
        </w:rPr>
        <w:t>[name]</w:t>
      </w:r>
      <w:r w:rsidRPr="005D7B4D">
        <w:rPr>
          <w:spacing w:val="-5"/>
        </w:rPr>
        <w:t xml:space="preserve"> </w:t>
      </w:r>
      <w:r w:rsidRPr="00BB50B3">
        <w:t xml:space="preserve">shall </w:t>
      </w:r>
      <w:r w:rsidR="00E52A4B">
        <w:t xml:space="preserve">conform to the </w:t>
      </w:r>
      <w:r w:rsidRPr="00E52A4B">
        <w:t>administrative requirements</w:t>
      </w:r>
      <w:r w:rsidR="005E676B" w:rsidRPr="007B29CE">
        <w:t xml:space="preserve">, </w:t>
      </w:r>
      <w:r w:rsidRPr="007B29CE">
        <w:t>cost principles</w:t>
      </w:r>
      <w:r w:rsidR="005E676B" w:rsidRPr="007B29CE">
        <w:t>, and requirements</w:t>
      </w:r>
      <w:r w:rsidRPr="00E52A4B">
        <w:t xml:space="preserve"> found in:</w:t>
      </w:r>
    </w:p>
    <w:p w14:paraId="1A1A4045" w14:textId="3D01E4E9" w:rsidR="00C31495" w:rsidRDefault="00C31495" w:rsidP="00B248CD">
      <w:pPr>
        <w:pStyle w:val="ListParagraph"/>
        <w:numPr>
          <w:ilvl w:val="2"/>
          <w:numId w:val="11"/>
        </w:numPr>
        <w:tabs>
          <w:tab w:val="left" w:pos="1640"/>
        </w:tabs>
        <w:kinsoku w:val="0"/>
        <w:overflowPunct w:val="0"/>
        <w:spacing w:before="1"/>
        <w:ind w:right="759"/>
      </w:pPr>
      <w:r w:rsidRPr="000C791E">
        <w:t xml:space="preserve">Special Federal Award Terms and Conditions, </w:t>
      </w:r>
      <w:r w:rsidR="00F4211D" w:rsidRPr="00F4211D">
        <w:t xml:space="preserve">Preschool Development Grant Birth to Five (PDG B-5) Renewal </w:t>
      </w:r>
      <w:proofErr w:type="gramStart"/>
      <w:r w:rsidR="00F4211D" w:rsidRPr="00F4211D">
        <w:t>Grant</w:t>
      </w:r>
      <w:r>
        <w:t>;</w:t>
      </w:r>
      <w:proofErr w:type="gramEnd"/>
    </w:p>
    <w:p w14:paraId="3A146D15" w14:textId="4667E072" w:rsidR="003334D4" w:rsidRPr="00E52A4B" w:rsidRDefault="003334D4" w:rsidP="00B248CD">
      <w:pPr>
        <w:pStyle w:val="ListParagraph"/>
        <w:numPr>
          <w:ilvl w:val="2"/>
          <w:numId w:val="11"/>
        </w:numPr>
        <w:tabs>
          <w:tab w:val="left" w:pos="1640"/>
        </w:tabs>
        <w:kinsoku w:val="0"/>
        <w:overflowPunct w:val="0"/>
        <w:spacing w:before="1"/>
        <w:ind w:right="759"/>
      </w:pPr>
      <w:r w:rsidRPr="00E52A4B">
        <w:t>the</w:t>
      </w:r>
      <w:r w:rsidRPr="00E52A4B">
        <w:rPr>
          <w:spacing w:val="-5"/>
        </w:rPr>
        <w:t xml:space="preserve"> </w:t>
      </w:r>
      <w:r w:rsidRPr="00E52A4B">
        <w:t>Office</w:t>
      </w:r>
      <w:r w:rsidRPr="00E52A4B">
        <w:rPr>
          <w:spacing w:val="-5"/>
        </w:rPr>
        <w:t xml:space="preserve"> </w:t>
      </w:r>
      <w:r w:rsidRPr="00E52A4B">
        <w:t>of</w:t>
      </w:r>
      <w:r w:rsidRPr="00F50EEF">
        <w:rPr>
          <w:spacing w:val="-5"/>
        </w:rPr>
        <w:t xml:space="preserve"> </w:t>
      </w:r>
      <w:r w:rsidRPr="00F50EEF">
        <w:t>Management</w:t>
      </w:r>
      <w:r w:rsidRPr="00113F1A">
        <w:rPr>
          <w:spacing w:val="-4"/>
        </w:rPr>
        <w:t xml:space="preserve"> </w:t>
      </w:r>
      <w:r w:rsidRPr="00113F1A">
        <w:t>and</w:t>
      </w:r>
      <w:r w:rsidRPr="005D7B4D">
        <w:rPr>
          <w:spacing w:val="-4"/>
        </w:rPr>
        <w:t xml:space="preserve"> </w:t>
      </w:r>
      <w:r w:rsidRPr="005D7B4D">
        <w:t>Budget</w:t>
      </w:r>
      <w:r w:rsidRPr="00BB50B3">
        <w:rPr>
          <w:spacing w:val="-4"/>
        </w:rPr>
        <w:t xml:space="preserve"> </w:t>
      </w:r>
      <w:r w:rsidRPr="00BB50B3">
        <w:t>(OMB)</w:t>
      </w:r>
      <w:r w:rsidRPr="00BB50B3">
        <w:rPr>
          <w:spacing w:val="-5"/>
        </w:rPr>
        <w:t xml:space="preserve"> </w:t>
      </w:r>
      <w:r w:rsidRPr="00BB50B3">
        <w:t>Uniform</w:t>
      </w:r>
      <w:r w:rsidRPr="00BB50B3">
        <w:rPr>
          <w:spacing w:val="-4"/>
        </w:rPr>
        <w:t xml:space="preserve"> </w:t>
      </w:r>
      <w:r w:rsidRPr="00BB50B3">
        <w:t>Guidance</w:t>
      </w:r>
      <w:r w:rsidRPr="00BB50B3">
        <w:rPr>
          <w:spacing w:val="-3"/>
        </w:rPr>
        <w:t xml:space="preserve"> </w:t>
      </w:r>
      <w:r w:rsidRPr="00BB50B3">
        <w:t>(UG),</w:t>
      </w:r>
      <w:r w:rsidRPr="00585BCF">
        <w:rPr>
          <w:spacing w:val="-4"/>
        </w:rPr>
        <w:t xml:space="preserve"> </w:t>
      </w:r>
      <w:r w:rsidRPr="00585BCF">
        <w:t>2</w:t>
      </w:r>
      <w:r w:rsidRPr="00585BCF">
        <w:rPr>
          <w:spacing w:val="-2"/>
        </w:rPr>
        <w:t xml:space="preserve"> </w:t>
      </w:r>
      <w:r w:rsidRPr="00E52A4B">
        <w:t>C.F.R.</w:t>
      </w:r>
      <w:r w:rsidRPr="00E52A4B">
        <w:rPr>
          <w:spacing w:val="-5"/>
        </w:rPr>
        <w:t xml:space="preserve"> </w:t>
      </w:r>
      <w:r w:rsidRPr="00E52A4B">
        <w:t>Part</w:t>
      </w:r>
      <w:r w:rsidRPr="00E52A4B">
        <w:rPr>
          <w:spacing w:val="-4"/>
        </w:rPr>
        <w:t xml:space="preserve"> </w:t>
      </w:r>
      <w:r w:rsidRPr="00E52A4B">
        <w:t>200</w:t>
      </w:r>
      <w:r w:rsidRPr="00E52A4B">
        <w:rPr>
          <w:spacing w:val="-4"/>
        </w:rPr>
        <w:t xml:space="preserve"> </w:t>
      </w:r>
      <w:r w:rsidRPr="00E52A4B">
        <w:t>as</w:t>
      </w:r>
      <w:r w:rsidRPr="00E52A4B">
        <w:rPr>
          <w:spacing w:val="-4"/>
        </w:rPr>
        <w:t xml:space="preserve"> </w:t>
      </w:r>
      <w:r w:rsidR="009A7B2C">
        <w:rPr>
          <w:spacing w:val="-4"/>
        </w:rPr>
        <w:t xml:space="preserve">adopted at 2 C.F.R. Part 300 and 45 C.F.R. Part 75, and </w:t>
      </w:r>
      <w:r w:rsidRPr="00E52A4B">
        <w:t>supplemented</w:t>
      </w:r>
      <w:r w:rsidRPr="00E52A4B">
        <w:rPr>
          <w:spacing w:val="-4"/>
        </w:rPr>
        <w:t xml:space="preserve"> </w:t>
      </w:r>
      <w:r w:rsidRPr="00E52A4B">
        <w:t>by</w:t>
      </w:r>
      <w:r w:rsidRPr="00E52A4B">
        <w:rPr>
          <w:spacing w:val="-4"/>
        </w:rPr>
        <w:t xml:space="preserve"> </w:t>
      </w:r>
      <w:r w:rsidRPr="00E52A4B">
        <w:t>the</w:t>
      </w:r>
      <w:r w:rsidRPr="00E52A4B">
        <w:rPr>
          <w:spacing w:val="-5"/>
        </w:rPr>
        <w:t xml:space="preserve"> </w:t>
      </w:r>
      <w:r w:rsidRPr="00DF48D5">
        <w:rPr>
          <w:spacing w:val="-4"/>
        </w:rPr>
        <w:t xml:space="preserve">Texas </w:t>
      </w:r>
      <w:r w:rsidRPr="00DF48D5">
        <w:t>Grant</w:t>
      </w:r>
      <w:r w:rsidRPr="00E52A4B">
        <w:t xml:space="preserve"> </w:t>
      </w:r>
      <w:r w:rsidRPr="00DF48D5">
        <w:t>Management Standards</w:t>
      </w:r>
      <w:r w:rsidRPr="00E52A4B">
        <w:t xml:space="preserve"> (TxGMS)</w:t>
      </w:r>
      <w:r w:rsidR="00E52A4B">
        <w:t xml:space="preserve"> as promulgated by the Texas Comptroller of Public Accounts</w:t>
      </w:r>
      <w:r w:rsidRPr="00E52A4B">
        <w:t>;</w:t>
      </w:r>
    </w:p>
    <w:p w14:paraId="3CA98ECE" w14:textId="77777777" w:rsidR="003334D4" w:rsidRPr="00113F1A" w:rsidRDefault="003334D4" w:rsidP="00B248CD">
      <w:pPr>
        <w:pStyle w:val="ListParagraph"/>
        <w:numPr>
          <w:ilvl w:val="2"/>
          <w:numId w:val="11"/>
        </w:numPr>
        <w:tabs>
          <w:tab w:val="left" w:pos="1640"/>
        </w:tabs>
        <w:kinsoku w:val="0"/>
        <w:overflowPunct w:val="0"/>
        <w:spacing w:before="1"/>
        <w:ind w:right="759"/>
        <w:rPr>
          <w:spacing w:val="-5"/>
        </w:rPr>
      </w:pPr>
      <w:r w:rsidRPr="00E52A4B">
        <w:t>TWC's</w:t>
      </w:r>
      <w:r w:rsidRPr="00E52A4B">
        <w:rPr>
          <w:spacing w:val="-3"/>
        </w:rPr>
        <w:t xml:space="preserve"> </w:t>
      </w:r>
      <w:r w:rsidRPr="00E52A4B">
        <w:t>FMGC;</w:t>
      </w:r>
      <w:r w:rsidRPr="00F50EEF">
        <w:rPr>
          <w:spacing w:val="-3"/>
        </w:rPr>
        <w:t xml:space="preserve"> </w:t>
      </w:r>
      <w:r w:rsidRPr="00F50EEF">
        <w:rPr>
          <w:spacing w:val="-5"/>
        </w:rPr>
        <w:t>and</w:t>
      </w:r>
    </w:p>
    <w:p w14:paraId="4FD84169" w14:textId="511F0C44" w:rsidR="003334D4" w:rsidRPr="00E52A4B" w:rsidRDefault="003334D4" w:rsidP="00B248CD">
      <w:pPr>
        <w:pStyle w:val="ListParagraph"/>
        <w:numPr>
          <w:ilvl w:val="2"/>
          <w:numId w:val="11"/>
        </w:numPr>
        <w:tabs>
          <w:tab w:val="left" w:pos="1640"/>
        </w:tabs>
        <w:kinsoku w:val="0"/>
        <w:overflowPunct w:val="0"/>
        <w:spacing w:before="1"/>
        <w:ind w:right="759"/>
      </w:pPr>
      <w:r w:rsidRPr="00113F1A">
        <w:t>any</w:t>
      </w:r>
      <w:r w:rsidRPr="00113F1A">
        <w:rPr>
          <w:spacing w:val="-5"/>
        </w:rPr>
        <w:t xml:space="preserve"> </w:t>
      </w:r>
      <w:r w:rsidRPr="00113F1A">
        <w:t>directives</w:t>
      </w:r>
      <w:r w:rsidRPr="00113F1A">
        <w:rPr>
          <w:spacing w:val="-5"/>
        </w:rPr>
        <w:t xml:space="preserve"> </w:t>
      </w:r>
      <w:r w:rsidRPr="005D7B4D">
        <w:t>specified</w:t>
      </w:r>
      <w:r w:rsidRPr="005D7B4D">
        <w:rPr>
          <w:spacing w:val="-5"/>
        </w:rPr>
        <w:t xml:space="preserve"> </w:t>
      </w:r>
      <w:r w:rsidRPr="005D7B4D">
        <w:t>by</w:t>
      </w:r>
      <w:r w:rsidRPr="005D7B4D">
        <w:rPr>
          <w:spacing w:val="-5"/>
        </w:rPr>
        <w:t xml:space="preserve"> </w:t>
      </w:r>
      <w:r w:rsidRPr="005D7B4D">
        <w:t>TWC</w:t>
      </w:r>
      <w:r w:rsidRPr="005D7B4D">
        <w:rPr>
          <w:spacing w:val="-5"/>
        </w:rPr>
        <w:t xml:space="preserve"> </w:t>
      </w:r>
      <w:r w:rsidRPr="005D7B4D">
        <w:t>issuances</w:t>
      </w:r>
      <w:r w:rsidR="00E52A4B">
        <w:t>, including, but not limited to, directives issued by WD Letters,</w:t>
      </w:r>
      <w:r w:rsidRPr="00E52A4B">
        <w:rPr>
          <w:spacing w:val="-5"/>
        </w:rPr>
        <w:t xml:space="preserve"> </w:t>
      </w:r>
      <w:r w:rsidRPr="00E52A4B">
        <w:t>except</w:t>
      </w:r>
      <w:r w:rsidRPr="00E52A4B">
        <w:rPr>
          <w:spacing w:val="-3"/>
        </w:rPr>
        <w:t xml:space="preserve"> </w:t>
      </w:r>
      <w:r w:rsidRPr="00E52A4B">
        <w:t>as</w:t>
      </w:r>
      <w:r w:rsidRPr="00E52A4B">
        <w:rPr>
          <w:spacing w:val="-5"/>
        </w:rPr>
        <w:t xml:space="preserve"> </w:t>
      </w:r>
      <w:r w:rsidRPr="00E52A4B">
        <w:t>otherwise</w:t>
      </w:r>
      <w:r w:rsidRPr="00E52A4B">
        <w:rPr>
          <w:spacing w:val="-6"/>
        </w:rPr>
        <w:t xml:space="preserve"> </w:t>
      </w:r>
      <w:r w:rsidRPr="00E52A4B">
        <w:t>specifically authorized by TWC in writing.</w:t>
      </w:r>
    </w:p>
    <w:p w14:paraId="36524B69" w14:textId="409242FC" w:rsidR="003334D4" w:rsidRPr="00E52A4B" w:rsidRDefault="003334D4" w:rsidP="00B248CD">
      <w:pPr>
        <w:pStyle w:val="ListParagraph"/>
        <w:numPr>
          <w:ilvl w:val="1"/>
          <w:numId w:val="5"/>
        </w:numPr>
        <w:tabs>
          <w:tab w:val="left" w:pos="1640"/>
        </w:tabs>
        <w:kinsoku w:val="0"/>
        <w:overflowPunct w:val="0"/>
        <w:spacing w:before="1"/>
        <w:ind w:left="1620" w:right="759" w:hanging="720"/>
      </w:pPr>
      <w:r w:rsidRPr="00E52A4B">
        <w:t>In</w:t>
      </w:r>
      <w:r w:rsidRPr="00E52A4B">
        <w:rPr>
          <w:spacing w:val="-3"/>
        </w:rPr>
        <w:t xml:space="preserve"> </w:t>
      </w:r>
      <w:r w:rsidRPr="00E52A4B">
        <w:t>the</w:t>
      </w:r>
      <w:r w:rsidRPr="00E52A4B">
        <w:rPr>
          <w:spacing w:val="-2"/>
        </w:rPr>
        <w:t xml:space="preserve"> </w:t>
      </w:r>
      <w:r w:rsidRPr="00E52A4B">
        <w:t>event</w:t>
      </w:r>
      <w:r w:rsidRPr="00E52A4B">
        <w:rPr>
          <w:spacing w:val="-3"/>
        </w:rPr>
        <w:t xml:space="preserve"> </w:t>
      </w:r>
      <w:r w:rsidRPr="00E52A4B">
        <w:t>of</w:t>
      </w:r>
      <w:r w:rsidRPr="00E52A4B">
        <w:rPr>
          <w:spacing w:val="-2"/>
        </w:rPr>
        <w:t xml:space="preserve"> </w:t>
      </w:r>
      <w:r w:rsidRPr="00E52A4B">
        <w:t>a</w:t>
      </w:r>
      <w:r w:rsidRPr="00E52A4B">
        <w:rPr>
          <w:spacing w:val="-4"/>
        </w:rPr>
        <w:t xml:space="preserve"> </w:t>
      </w:r>
      <w:r w:rsidRPr="00E52A4B">
        <w:t>conflict</w:t>
      </w:r>
      <w:r w:rsidRPr="00E52A4B">
        <w:rPr>
          <w:spacing w:val="-1"/>
        </w:rPr>
        <w:t xml:space="preserve"> </w:t>
      </w:r>
      <w:r w:rsidRPr="00E52A4B">
        <w:t>between</w:t>
      </w:r>
      <w:r w:rsidRPr="00E52A4B">
        <w:rPr>
          <w:spacing w:val="-3"/>
        </w:rPr>
        <w:t xml:space="preserve"> </w:t>
      </w:r>
      <w:r w:rsidRPr="00E52A4B">
        <w:t>such</w:t>
      </w:r>
      <w:r w:rsidRPr="00E52A4B">
        <w:rPr>
          <w:spacing w:val="-3"/>
        </w:rPr>
        <w:t xml:space="preserve"> </w:t>
      </w:r>
      <w:r w:rsidR="00E52A4B">
        <w:rPr>
          <w:spacing w:val="-3"/>
        </w:rPr>
        <w:t xml:space="preserve">administrative requirements and cost principles </w:t>
      </w:r>
      <w:r w:rsidRPr="00E52A4B">
        <w:t>and</w:t>
      </w:r>
      <w:r w:rsidRPr="00E52A4B">
        <w:rPr>
          <w:spacing w:val="-3"/>
        </w:rPr>
        <w:t xml:space="preserve"> </w:t>
      </w:r>
      <w:r w:rsidRPr="00E52A4B">
        <w:t>the</w:t>
      </w:r>
      <w:r w:rsidRPr="00E52A4B">
        <w:rPr>
          <w:spacing w:val="-4"/>
        </w:rPr>
        <w:t xml:space="preserve"> </w:t>
      </w:r>
      <w:r w:rsidR="00B936A2">
        <w:rPr>
          <w:spacing w:val="-4"/>
        </w:rPr>
        <w:t xml:space="preserve">Interagency Contract </w:t>
      </w:r>
      <w:r w:rsidR="00B936A2">
        <w:t>T</w:t>
      </w:r>
      <w:r w:rsidRPr="00E52A4B">
        <w:t>erms</w:t>
      </w:r>
      <w:r w:rsidRPr="00E52A4B">
        <w:rPr>
          <w:spacing w:val="-3"/>
        </w:rPr>
        <w:t xml:space="preserve"> </w:t>
      </w:r>
      <w:r w:rsidRPr="00E52A4B">
        <w:t>and</w:t>
      </w:r>
      <w:r w:rsidRPr="00E52A4B">
        <w:rPr>
          <w:spacing w:val="-3"/>
        </w:rPr>
        <w:t xml:space="preserve"> </w:t>
      </w:r>
      <w:r w:rsidR="00B936A2">
        <w:t>C</w:t>
      </w:r>
      <w:r w:rsidRPr="00E52A4B">
        <w:t xml:space="preserve">onditions of this Agreement, precedence shall be given to </w:t>
      </w:r>
      <w:r w:rsidR="00E52A4B">
        <w:t>such administrative requirements and cost principles</w:t>
      </w:r>
      <w:r w:rsidRPr="00E52A4B">
        <w:t>.</w:t>
      </w:r>
    </w:p>
    <w:p w14:paraId="4BA56E01" w14:textId="77777777" w:rsidR="00543C0E" w:rsidRDefault="00543C0E"/>
    <w:sectPr w:rsidR="00543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164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640" w:hanging="7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4231" w:hanging="720"/>
      </w:pPr>
    </w:lvl>
    <w:lvl w:ilvl="4">
      <w:numFmt w:val="bullet"/>
      <w:lvlText w:val="•"/>
      <w:lvlJc w:val="left"/>
      <w:pPr>
        <w:ind w:left="5166" w:hanging="720"/>
      </w:pPr>
    </w:lvl>
    <w:lvl w:ilvl="5">
      <w:numFmt w:val="bullet"/>
      <w:lvlText w:val="•"/>
      <w:lvlJc w:val="left"/>
      <w:pPr>
        <w:ind w:left="6102" w:hanging="720"/>
      </w:pPr>
    </w:lvl>
    <w:lvl w:ilvl="6">
      <w:numFmt w:val="bullet"/>
      <w:lvlText w:val="•"/>
      <w:lvlJc w:val="left"/>
      <w:pPr>
        <w:ind w:left="7037" w:hanging="720"/>
      </w:pPr>
    </w:lvl>
    <w:lvl w:ilvl="7">
      <w:numFmt w:val="bullet"/>
      <w:lvlText w:val="•"/>
      <w:lvlJc w:val="left"/>
      <w:pPr>
        <w:ind w:left="7973" w:hanging="720"/>
      </w:pPr>
    </w:lvl>
    <w:lvl w:ilvl="8">
      <w:numFmt w:val="bullet"/>
      <w:lvlText w:val="•"/>
      <w:lvlJc w:val="left"/>
      <w:pPr>
        <w:ind w:left="8908" w:hanging="720"/>
      </w:pPr>
    </w:lvl>
  </w:abstractNum>
  <w:abstractNum w:abstractNumId="1" w15:restartNumberingAfterBreak="0">
    <w:nsid w:val="00000408"/>
    <w:multiLevelType w:val="multilevel"/>
    <w:tmpl w:val="2C72705A"/>
    <w:numStyleLink w:val="Style1"/>
  </w:abstractNum>
  <w:abstractNum w:abstractNumId="2" w15:restartNumberingAfterBreak="0">
    <w:nsid w:val="177F16CC"/>
    <w:multiLevelType w:val="multilevel"/>
    <w:tmpl w:val="ABBA8BEE"/>
    <w:lvl w:ilvl="0">
      <w:start w:val="3"/>
      <w:numFmt w:val="decimal"/>
      <w:lvlText w:val="%1"/>
      <w:lvlJc w:val="left"/>
      <w:pPr>
        <w:ind w:left="1560" w:hanging="720"/>
      </w:pPr>
      <w:rPr>
        <w:rFonts w:cs="Times New Roman"/>
      </w:rPr>
    </w:lvl>
    <w:lvl w:ilvl="1">
      <w:start w:val="1"/>
      <w:numFmt w:val="decimal"/>
      <w:lvlText w:val="4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180" w:hanging="90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5426" w:hanging="1080"/>
      </w:pPr>
    </w:lvl>
    <w:lvl w:ilvl="6">
      <w:numFmt w:val="bullet"/>
      <w:lvlText w:val="•"/>
      <w:lvlJc w:val="left"/>
      <w:pPr>
        <w:ind w:left="6593" w:hanging="1080"/>
      </w:pPr>
    </w:lvl>
    <w:lvl w:ilvl="7">
      <w:numFmt w:val="bullet"/>
      <w:lvlText w:val="•"/>
      <w:lvlJc w:val="left"/>
      <w:pPr>
        <w:ind w:left="7760" w:hanging="1080"/>
      </w:pPr>
    </w:lvl>
    <w:lvl w:ilvl="8">
      <w:numFmt w:val="bullet"/>
      <w:lvlText w:val="•"/>
      <w:lvlJc w:val="left"/>
      <w:pPr>
        <w:ind w:left="8926" w:hanging="1080"/>
      </w:pPr>
    </w:lvl>
  </w:abstractNum>
  <w:abstractNum w:abstractNumId="3" w15:restartNumberingAfterBreak="0">
    <w:nsid w:val="282C6CBE"/>
    <w:multiLevelType w:val="multilevel"/>
    <w:tmpl w:val="00000889"/>
    <w:lvl w:ilvl="0">
      <w:start w:val="3"/>
      <w:numFmt w:val="decimal"/>
      <w:lvlText w:val="%1"/>
      <w:lvlJc w:val="left"/>
      <w:pPr>
        <w:ind w:left="156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180" w:hanging="90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5426" w:hanging="1080"/>
      </w:pPr>
    </w:lvl>
    <w:lvl w:ilvl="6">
      <w:numFmt w:val="bullet"/>
      <w:lvlText w:val="•"/>
      <w:lvlJc w:val="left"/>
      <w:pPr>
        <w:ind w:left="6593" w:hanging="1080"/>
      </w:pPr>
    </w:lvl>
    <w:lvl w:ilvl="7">
      <w:numFmt w:val="bullet"/>
      <w:lvlText w:val="•"/>
      <w:lvlJc w:val="left"/>
      <w:pPr>
        <w:ind w:left="7760" w:hanging="1080"/>
      </w:pPr>
    </w:lvl>
    <w:lvl w:ilvl="8">
      <w:numFmt w:val="bullet"/>
      <w:lvlText w:val="•"/>
      <w:lvlJc w:val="left"/>
      <w:pPr>
        <w:ind w:left="8926" w:hanging="1080"/>
      </w:pPr>
    </w:lvl>
  </w:abstractNum>
  <w:abstractNum w:abstractNumId="4" w15:restartNumberingAfterBreak="0">
    <w:nsid w:val="32872125"/>
    <w:multiLevelType w:val="multilevel"/>
    <w:tmpl w:val="72746AD8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440"/>
      </w:pPr>
      <w:rPr>
        <w:rFonts w:hint="default"/>
      </w:rPr>
    </w:lvl>
  </w:abstractNum>
  <w:abstractNum w:abstractNumId="5" w15:restartNumberingAfterBreak="0">
    <w:nsid w:val="4BD03190"/>
    <w:multiLevelType w:val="multilevel"/>
    <w:tmpl w:val="2C72705A"/>
    <w:styleLink w:val="Style1"/>
    <w:lvl w:ilvl="0">
      <w:start w:val="3"/>
      <w:numFmt w:val="decimal"/>
      <w:lvlText w:val="%1"/>
      <w:lvlJc w:val="left"/>
      <w:pPr>
        <w:ind w:left="1640" w:hanging="72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1640" w:hanging="720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4.%2.%3"/>
      <w:lvlJc w:val="left"/>
      <w:pPr>
        <w:ind w:left="2540" w:hanging="900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4371" w:hanging="900"/>
      </w:pPr>
      <w:rPr>
        <w:rFonts w:hint="default"/>
      </w:rPr>
    </w:lvl>
    <w:lvl w:ilvl="4">
      <w:numFmt w:val="bullet"/>
      <w:lvlText w:val="•"/>
      <w:lvlJc w:val="left"/>
      <w:pPr>
        <w:ind w:left="5286" w:hanging="900"/>
      </w:pPr>
      <w:rPr>
        <w:rFonts w:hint="default"/>
      </w:rPr>
    </w:lvl>
    <w:lvl w:ilvl="5">
      <w:numFmt w:val="bullet"/>
      <w:lvlText w:val="•"/>
      <w:lvlJc w:val="left"/>
      <w:pPr>
        <w:ind w:left="6202" w:hanging="900"/>
      </w:pPr>
      <w:rPr>
        <w:rFonts w:hint="default"/>
      </w:rPr>
    </w:lvl>
    <w:lvl w:ilvl="6">
      <w:numFmt w:val="bullet"/>
      <w:lvlText w:val="•"/>
      <w:lvlJc w:val="left"/>
      <w:pPr>
        <w:ind w:left="7117" w:hanging="900"/>
      </w:pPr>
      <w:rPr>
        <w:rFonts w:hint="default"/>
      </w:rPr>
    </w:lvl>
    <w:lvl w:ilvl="7">
      <w:numFmt w:val="bullet"/>
      <w:lvlText w:val="•"/>
      <w:lvlJc w:val="left"/>
      <w:pPr>
        <w:ind w:left="8033" w:hanging="900"/>
      </w:pPr>
      <w:rPr>
        <w:rFonts w:hint="default"/>
      </w:rPr>
    </w:lvl>
    <w:lvl w:ilvl="8">
      <w:numFmt w:val="bullet"/>
      <w:lvlText w:val="•"/>
      <w:lvlJc w:val="left"/>
      <w:pPr>
        <w:ind w:left="8948" w:hanging="900"/>
      </w:pPr>
      <w:rPr>
        <w:rFonts w:hint="default"/>
      </w:rPr>
    </w:lvl>
  </w:abstractNum>
  <w:abstractNum w:abstractNumId="6" w15:restartNumberingAfterBreak="0">
    <w:nsid w:val="52F24C42"/>
    <w:multiLevelType w:val="multilevel"/>
    <w:tmpl w:val="A40A7BBC"/>
    <w:lvl w:ilvl="0">
      <w:start w:val="1"/>
      <w:numFmt w:val="decimal"/>
      <w:lvlText w:val="%1"/>
      <w:lvlJc w:val="left"/>
      <w:pPr>
        <w:ind w:left="1640" w:hanging="72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1280" w:hanging="360"/>
      </w:pPr>
      <w:rPr>
        <w:rFonts w:hint="default"/>
      </w:rPr>
    </w:lvl>
    <w:lvl w:ilvl="2">
      <w:start w:val="1"/>
      <w:numFmt w:val="decimal"/>
      <w:lvlText w:val="2.%3.1"/>
      <w:lvlJc w:val="left"/>
      <w:pPr>
        <w:ind w:left="2000" w:hanging="360"/>
      </w:pPr>
      <w:rPr>
        <w:rFonts w:hint="default"/>
      </w:rPr>
    </w:lvl>
    <w:lvl w:ilvl="3">
      <w:numFmt w:val="bullet"/>
      <w:lvlText w:val="•"/>
      <w:lvlJc w:val="left"/>
      <w:pPr>
        <w:ind w:left="4231" w:hanging="720"/>
      </w:pPr>
    </w:lvl>
    <w:lvl w:ilvl="4">
      <w:numFmt w:val="bullet"/>
      <w:lvlText w:val="•"/>
      <w:lvlJc w:val="left"/>
      <w:pPr>
        <w:ind w:left="5166" w:hanging="720"/>
      </w:pPr>
    </w:lvl>
    <w:lvl w:ilvl="5">
      <w:numFmt w:val="bullet"/>
      <w:lvlText w:val="•"/>
      <w:lvlJc w:val="left"/>
      <w:pPr>
        <w:ind w:left="6102" w:hanging="720"/>
      </w:pPr>
    </w:lvl>
    <w:lvl w:ilvl="6">
      <w:numFmt w:val="bullet"/>
      <w:lvlText w:val="•"/>
      <w:lvlJc w:val="left"/>
      <w:pPr>
        <w:ind w:left="7037" w:hanging="720"/>
      </w:pPr>
    </w:lvl>
    <w:lvl w:ilvl="7">
      <w:numFmt w:val="bullet"/>
      <w:lvlText w:val="•"/>
      <w:lvlJc w:val="left"/>
      <w:pPr>
        <w:ind w:left="7973" w:hanging="720"/>
      </w:pPr>
    </w:lvl>
    <w:lvl w:ilvl="8">
      <w:numFmt w:val="bullet"/>
      <w:lvlText w:val="•"/>
      <w:lvlJc w:val="left"/>
      <w:pPr>
        <w:ind w:left="8908" w:hanging="720"/>
      </w:pPr>
    </w:lvl>
  </w:abstractNum>
  <w:abstractNum w:abstractNumId="7" w15:restartNumberingAfterBreak="0">
    <w:nsid w:val="547B31BE"/>
    <w:multiLevelType w:val="multilevel"/>
    <w:tmpl w:val="03FE6A82"/>
    <w:styleLink w:val="Style2"/>
    <w:lvl w:ilvl="0">
      <w:start w:val="2"/>
      <w:numFmt w:val="decimal"/>
      <w:lvlText w:val="%1"/>
      <w:lvlJc w:val="left"/>
      <w:pPr>
        <w:ind w:left="1640" w:hanging="72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1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4231" w:hanging="720"/>
      </w:pPr>
    </w:lvl>
    <w:lvl w:ilvl="4">
      <w:numFmt w:val="bullet"/>
      <w:lvlText w:val="•"/>
      <w:lvlJc w:val="left"/>
      <w:pPr>
        <w:ind w:left="5166" w:hanging="720"/>
      </w:pPr>
    </w:lvl>
    <w:lvl w:ilvl="5">
      <w:numFmt w:val="bullet"/>
      <w:lvlText w:val="•"/>
      <w:lvlJc w:val="left"/>
      <w:pPr>
        <w:ind w:left="6102" w:hanging="720"/>
      </w:pPr>
    </w:lvl>
    <w:lvl w:ilvl="6">
      <w:numFmt w:val="bullet"/>
      <w:lvlText w:val="•"/>
      <w:lvlJc w:val="left"/>
      <w:pPr>
        <w:ind w:left="7037" w:hanging="720"/>
      </w:pPr>
    </w:lvl>
    <w:lvl w:ilvl="7">
      <w:numFmt w:val="bullet"/>
      <w:lvlText w:val="•"/>
      <w:lvlJc w:val="left"/>
      <w:pPr>
        <w:ind w:left="7973" w:hanging="720"/>
      </w:pPr>
    </w:lvl>
    <w:lvl w:ilvl="8">
      <w:numFmt w:val="bullet"/>
      <w:lvlText w:val="•"/>
      <w:lvlJc w:val="left"/>
      <w:pPr>
        <w:ind w:left="8908" w:hanging="720"/>
      </w:pPr>
    </w:lvl>
  </w:abstractNum>
  <w:abstractNum w:abstractNumId="8" w15:restartNumberingAfterBreak="0">
    <w:nsid w:val="66BA3EDC"/>
    <w:multiLevelType w:val="multilevel"/>
    <w:tmpl w:val="03FE6A82"/>
    <w:numStyleLink w:val="Style2"/>
  </w:abstractNum>
  <w:abstractNum w:abstractNumId="9" w15:restartNumberingAfterBreak="0">
    <w:nsid w:val="703C020C"/>
    <w:multiLevelType w:val="multilevel"/>
    <w:tmpl w:val="03FE6A82"/>
    <w:lvl w:ilvl="0">
      <w:start w:val="1"/>
      <w:numFmt w:val="decimal"/>
      <w:lvlText w:val="%1"/>
      <w:lvlJc w:val="left"/>
      <w:pPr>
        <w:ind w:left="1640" w:hanging="72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1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4231" w:hanging="720"/>
      </w:pPr>
    </w:lvl>
    <w:lvl w:ilvl="4">
      <w:numFmt w:val="bullet"/>
      <w:lvlText w:val="•"/>
      <w:lvlJc w:val="left"/>
      <w:pPr>
        <w:ind w:left="5166" w:hanging="720"/>
      </w:pPr>
    </w:lvl>
    <w:lvl w:ilvl="5">
      <w:numFmt w:val="bullet"/>
      <w:lvlText w:val="•"/>
      <w:lvlJc w:val="left"/>
      <w:pPr>
        <w:ind w:left="6102" w:hanging="720"/>
      </w:pPr>
    </w:lvl>
    <w:lvl w:ilvl="6">
      <w:numFmt w:val="bullet"/>
      <w:lvlText w:val="•"/>
      <w:lvlJc w:val="left"/>
      <w:pPr>
        <w:ind w:left="7037" w:hanging="720"/>
      </w:pPr>
    </w:lvl>
    <w:lvl w:ilvl="7">
      <w:numFmt w:val="bullet"/>
      <w:lvlText w:val="•"/>
      <w:lvlJc w:val="left"/>
      <w:pPr>
        <w:ind w:left="7973" w:hanging="720"/>
      </w:pPr>
    </w:lvl>
    <w:lvl w:ilvl="8">
      <w:numFmt w:val="bullet"/>
      <w:lvlText w:val="•"/>
      <w:lvlJc w:val="left"/>
      <w:pPr>
        <w:ind w:left="8908" w:hanging="720"/>
      </w:pPr>
    </w:lvl>
  </w:abstractNum>
  <w:num w:numId="1" w16cid:durableId="1671517030">
    <w:abstractNumId w:val="1"/>
  </w:num>
  <w:num w:numId="2" w16cid:durableId="362289232">
    <w:abstractNumId w:val="0"/>
  </w:num>
  <w:num w:numId="3" w16cid:durableId="964891735">
    <w:abstractNumId w:val="9"/>
  </w:num>
  <w:num w:numId="4" w16cid:durableId="314771053">
    <w:abstractNumId w:val="5"/>
  </w:num>
  <w:num w:numId="5" w16cid:durableId="512763059">
    <w:abstractNumId w:val="2"/>
  </w:num>
  <w:num w:numId="6" w16cid:durableId="279068728">
    <w:abstractNumId w:val="7"/>
  </w:num>
  <w:num w:numId="7" w16cid:durableId="815610088">
    <w:abstractNumId w:val="8"/>
  </w:num>
  <w:num w:numId="8" w16cid:durableId="1443068619">
    <w:abstractNumId w:val="6"/>
  </w:num>
  <w:num w:numId="9" w16cid:durableId="1039938048">
    <w:abstractNumId w:val="4"/>
  </w:num>
  <w:num w:numId="10" w16cid:durableId="2049136950">
    <w:abstractNumId w:val="3"/>
  </w:num>
  <w:num w:numId="11" w16cid:durableId="1751736950">
    <w:abstractNumId w:val="2"/>
    <w:lvlOverride w:ilvl="0">
      <w:lvl w:ilvl="0">
        <w:start w:val="3"/>
        <w:numFmt w:val="decimal"/>
        <w:lvlText w:val="%1"/>
        <w:lvlJc w:val="left"/>
        <w:pPr>
          <w:ind w:left="1560" w:hanging="72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4.%2"/>
        <w:lvlJc w:val="left"/>
        <w:pPr>
          <w:ind w:left="120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"/>
        <w:lvlJc w:val="left"/>
        <w:pPr>
          <w:ind w:left="2280" w:hanging="720"/>
        </w:pPr>
        <w:rPr>
          <w:rFonts w:ascii="Times New Roman" w:hAnsi="Times New Roman" w:cs="Times New Roman" w:hint="default"/>
          <w:b w:val="0"/>
          <w:bCs w:val="0"/>
          <w:i w:val="0"/>
          <w:iCs w:val="0"/>
          <w:w w:val="100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180" w:hanging="900"/>
        </w:pPr>
        <w:rPr>
          <w:rFonts w:ascii="Times New Roman" w:hAnsi="Times New Roman" w:cs="Times New Roman" w:hint="default"/>
          <w:b w:val="0"/>
          <w:bCs w:val="0"/>
          <w:i w:val="0"/>
          <w:iCs w:val="0"/>
          <w:w w:val="100"/>
          <w:sz w:val="24"/>
          <w:szCs w:val="24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260" w:hanging="1080"/>
        </w:pPr>
        <w:rPr>
          <w:rFonts w:ascii="Times New Roman" w:hAnsi="Times New Roman" w:cs="Times New Roman" w:hint="default"/>
          <w:b w:val="0"/>
          <w:bCs w:val="0"/>
          <w:i w:val="0"/>
          <w:iCs w:val="0"/>
          <w:w w:val="100"/>
          <w:sz w:val="24"/>
          <w:szCs w:val="24"/>
        </w:rPr>
      </w:lvl>
    </w:lvlOverride>
    <w:lvlOverride w:ilvl="5">
      <w:lvl w:ilvl="5">
        <w:numFmt w:val="bullet"/>
        <w:lvlText w:val="•"/>
        <w:lvlJc w:val="left"/>
        <w:pPr>
          <w:ind w:left="5426" w:hanging="108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593" w:hanging="108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760" w:hanging="108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926" w:hanging="10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D4"/>
    <w:rsid w:val="00031ADA"/>
    <w:rsid w:val="00070C80"/>
    <w:rsid w:val="00074B20"/>
    <w:rsid w:val="00077FCB"/>
    <w:rsid w:val="000D586C"/>
    <w:rsid w:val="000F7A01"/>
    <w:rsid w:val="00100629"/>
    <w:rsid w:val="00113F1A"/>
    <w:rsid w:val="00124D01"/>
    <w:rsid w:val="00194585"/>
    <w:rsid w:val="001D17AF"/>
    <w:rsid w:val="001E1D11"/>
    <w:rsid w:val="00200698"/>
    <w:rsid w:val="002012A2"/>
    <w:rsid w:val="00265DA6"/>
    <w:rsid w:val="002A0C42"/>
    <w:rsid w:val="002B1B48"/>
    <w:rsid w:val="002C5E7F"/>
    <w:rsid w:val="002F2950"/>
    <w:rsid w:val="00300526"/>
    <w:rsid w:val="00302D0E"/>
    <w:rsid w:val="0031799D"/>
    <w:rsid w:val="003334D4"/>
    <w:rsid w:val="003737DC"/>
    <w:rsid w:val="00382392"/>
    <w:rsid w:val="003974D3"/>
    <w:rsid w:val="00397EFC"/>
    <w:rsid w:val="003A0AC5"/>
    <w:rsid w:val="003D7421"/>
    <w:rsid w:val="003E537C"/>
    <w:rsid w:val="003F4ABB"/>
    <w:rsid w:val="004B3762"/>
    <w:rsid w:val="00516367"/>
    <w:rsid w:val="00517252"/>
    <w:rsid w:val="00530ADF"/>
    <w:rsid w:val="00543C0E"/>
    <w:rsid w:val="00554EB8"/>
    <w:rsid w:val="00565716"/>
    <w:rsid w:val="005731F6"/>
    <w:rsid w:val="00585BCF"/>
    <w:rsid w:val="00590982"/>
    <w:rsid w:val="005A4BBC"/>
    <w:rsid w:val="005B4EBD"/>
    <w:rsid w:val="005C5A5F"/>
    <w:rsid w:val="005D4F04"/>
    <w:rsid w:val="005D7B4D"/>
    <w:rsid w:val="005E2BBB"/>
    <w:rsid w:val="005E4CE1"/>
    <w:rsid w:val="005E676B"/>
    <w:rsid w:val="006129B1"/>
    <w:rsid w:val="00641CA2"/>
    <w:rsid w:val="0066733E"/>
    <w:rsid w:val="006B30FE"/>
    <w:rsid w:val="00706F3E"/>
    <w:rsid w:val="007546C6"/>
    <w:rsid w:val="007717D4"/>
    <w:rsid w:val="007719B7"/>
    <w:rsid w:val="0077635E"/>
    <w:rsid w:val="00776FDD"/>
    <w:rsid w:val="0077780A"/>
    <w:rsid w:val="00777FCA"/>
    <w:rsid w:val="00796361"/>
    <w:rsid w:val="007B02BA"/>
    <w:rsid w:val="007B0D0C"/>
    <w:rsid w:val="007B29CE"/>
    <w:rsid w:val="007D3EBC"/>
    <w:rsid w:val="007E2483"/>
    <w:rsid w:val="007E73D3"/>
    <w:rsid w:val="008339A9"/>
    <w:rsid w:val="00854BCA"/>
    <w:rsid w:val="00902199"/>
    <w:rsid w:val="00941C77"/>
    <w:rsid w:val="00973A3A"/>
    <w:rsid w:val="009A16DF"/>
    <w:rsid w:val="009A2882"/>
    <w:rsid w:val="009A7B2C"/>
    <w:rsid w:val="00A142CB"/>
    <w:rsid w:val="00A71D81"/>
    <w:rsid w:val="00AA1F56"/>
    <w:rsid w:val="00AA5846"/>
    <w:rsid w:val="00AE2E25"/>
    <w:rsid w:val="00AF5755"/>
    <w:rsid w:val="00B11090"/>
    <w:rsid w:val="00B13C51"/>
    <w:rsid w:val="00B248CD"/>
    <w:rsid w:val="00B33889"/>
    <w:rsid w:val="00B936A2"/>
    <w:rsid w:val="00BA373A"/>
    <w:rsid w:val="00BA4276"/>
    <w:rsid w:val="00BB50B3"/>
    <w:rsid w:val="00BC23B2"/>
    <w:rsid w:val="00BC34C0"/>
    <w:rsid w:val="00BC53B8"/>
    <w:rsid w:val="00BD0293"/>
    <w:rsid w:val="00BE5325"/>
    <w:rsid w:val="00BF2C6D"/>
    <w:rsid w:val="00C14D57"/>
    <w:rsid w:val="00C2112E"/>
    <w:rsid w:val="00C23B88"/>
    <w:rsid w:val="00C31495"/>
    <w:rsid w:val="00C3659D"/>
    <w:rsid w:val="00CA2ED7"/>
    <w:rsid w:val="00CB26CD"/>
    <w:rsid w:val="00CD305C"/>
    <w:rsid w:val="00CE3469"/>
    <w:rsid w:val="00D14EA5"/>
    <w:rsid w:val="00D30151"/>
    <w:rsid w:val="00D564F9"/>
    <w:rsid w:val="00D613A1"/>
    <w:rsid w:val="00DD1BC2"/>
    <w:rsid w:val="00DD216B"/>
    <w:rsid w:val="00DE3F63"/>
    <w:rsid w:val="00DF48D5"/>
    <w:rsid w:val="00E15E19"/>
    <w:rsid w:val="00E52A4B"/>
    <w:rsid w:val="00E73414"/>
    <w:rsid w:val="00E82A19"/>
    <w:rsid w:val="00EB4C48"/>
    <w:rsid w:val="00EC17A4"/>
    <w:rsid w:val="00EC6F06"/>
    <w:rsid w:val="00EC75CE"/>
    <w:rsid w:val="00EE7F62"/>
    <w:rsid w:val="00EF4BF1"/>
    <w:rsid w:val="00F1080A"/>
    <w:rsid w:val="00F240CE"/>
    <w:rsid w:val="00F365B2"/>
    <w:rsid w:val="00F4211D"/>
    <w:rsid w:val="00F4234C"/>
    <w:rsid w:val="00F50EEF"/>
    <w:rsid w:val="00F82ACA"/>
    <w:rsid w:val="00FA722D"/>
    <w:rsid w:val="00FB08B4"/>
    <w:rsid w:val="00FB6361"/>
    <w:rsid w:val="00FC3ECA"/>
    <w:rsid w:val="00F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DD97"/>
  <w15:chartTrackingRefBased/>
  <w15:docId w15:val="{3571F6C0-C855-465F-BD52-5C3EB62A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33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3334D4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334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334D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34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4D4"/>
    <w:pPr>
      <w:ind w:left="3179" w:hanging="9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334D4"/>
    <w:rPr>
      <w:rFonts w:ascii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3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4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4D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13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7B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88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2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2199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31799D"/>
    <w:pPr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Style1">
    <w:name w:val="Style1"/>
    <w:uiPriority w:val="99"/>
    <w:rsid w:val="0077780A"/>
    <w:pPr>
      <w:numPr>
        <w:numId w:val="4"/>
      </w:numPr>
    </w:pPr>
  </w:style>
  <w:style w:type="numbering" w:customStyle="1" w:styleId="Style2">
    <w:name w:val="Style2"/>
    <w:uiPriority w:val="99"/>
    <w:rsid w:val="0079636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75cc3ea-6d34-48b9-955f-209672471296" xsi:nil="true"/>
    <lcf76f155ced4ddcb4097134ff3c332f xmlns="474a6763-ac05-4e28-9ae1-4058cad3e94b">
      <Terms xmlns="http://schemas.microsoft.com/office/infopath/2007/PartnerControls"/>
    </lcf76f155ced4ddcb4097134ff3c332f>
    <Other_x0020_URL_x0020_Web_x0020_Page xmlns="474a6763-ac05-4e28-9ae1-4058cad3e94b" xsi:nil="true"/>
    <Web_x0020_Page xmlns="474a6763-ac05-4e28-9ae1-4058cad3e94b" xsi:nil="true"/>
    <Notes0 xmlns="474a6763-ac05-4e28-9ae1-4058cad3e94b" xsi:nil="true"/>
    <Remove_x0020_from_x0020_Web xmlns="474a6763-ac05-4e28-9ae1-4058cad3e94b">false</Remove_x0020_from_x0020_Web>
    <URL_x0020_Web_x0020_Page xmlns="474a6763-ac05-4e28-9ae1-4058cad3e94b" xsi:nil="true"/>
    <Document_x0020_Name xmlns="474a6763-ac05-4e28-9ae1-4058cad3e94b" xsi:nil="true"/>
    <CCEL_x0020_Home_x0020_Page_x0020_Section xmlns="474a6763-ac05-4e28-9ae1-4058cad3e94b" xsi:nil="true"/>
    <URL_x0020_Node xmlns="474a6763-ac05-4e28-9ae1-4058cad3e94b" xsi:nil="true"/>
    <Folder xmlns="474a6763-ac05-4e28-9ae1-4058cad3e9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33" ma:contentTypeDescription="Create a new document." ma:contentTypeScope="" ma:versionID="7ae85a6553a7588aa572ee3f34cdb34a">
  <xsd:schema xmlns:xsd="http://www.w3.org/2001/XMLSchema" xmlns:xs="http://www.w3.org/2001/XMLSchema" xmlns:p="http://schemas.microsoft.com/office/2006/metadata/properties" xmlns:ns1="474a6763-ac05-4e28-9ae1-4058cad3e94b" xmlns:ns2="http://schemas.microsoft.com/sharepoint/v3" xmlns:ns3="d75cc3ea-6d34-48b9-955f-209672471296" targetNamespace="http://schemas.microsoft.com/office/2006/metadata/properties" ma:root="true" ma:fieldsID="c9934313f942d14bd24d0391a9bb3285" ns1:_="" ns2:_="" ns3:_="">
    <xsd:import namespace="474a6763-ac05-4e28-9ae1-4058cad3e94b"/>
    <xsd:import namespace="http://schemas.microsoft.com/sharepoint/v3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  <xsd:element ref="ns1:lcf76f155ced4ddcb4097134ff3c332f" minOccurs="0"/>
                <xsd:element ref="ns3:TaxCatchAll" minOccurs="0"/>
                <xsd:element ref="ns1:MediaServiceDateTaken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Web_x0020_Page" minOccurs="0"/>
                <xsd:element ref="ns1:MediaServiceSearchProperties" minOccurs="0"/>
                <xsd:element ref="ns2:_ip_UnifiedCompliancePolicyProperties" minOccurs="0"/>
                <xsd:element ref="ns2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Image"/>
          <xsd:enumeration value="Pages"/>
        </xsd:restriction>
      </xsd:simpleType>
    </xsd:element>
    <xsd:element name="URL_x0020_Node" ma:index="3" nillable="true" ma:displayName="URL Node (Old)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 (Old)" ma:format="Dropdown" ma:internalName="URL_x0020_Web_x0020_Page">
      <xsd:simpleType>
        <xsd:restriction base="dms:Choice">
          <xsd:enumeration value="Unknown"/>
        </xsd:restriction>
      </xsd:simpleType>
    </xsd:element>
    <xsd:element name="Other_x0020_URL_x0020_Web_x0020_Page" ma:index="5" nillable="true" ma:displayName="Other URL Web Page (Old)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d from Web" ma:default="0" ma:format="Dropdown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 (Old)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Web_x0020_Page" ma:index="26" nillable="true" ma:displayName="Web Page" ma:format="Dropdown" ma:internalName="Web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ld Care &amp; Early Learning Program"/>
                    <xsd:enumeration value="Child Care by the Numbers"/>
                    <xsd:enumeration value="Child Care Data, Reports &amp; Plans"/>
                    <xsd:enumeration value="Child Care Guide"/>
                    <xsd:enumeration value="Child Care Information for Parents"/>
                    <xsd:enumeration value="Child Care Information for Providers"/>
                    <xsd:enumeration value="Child Care Investments Partnership"/>
                    <xsd:enumeration value="Child Care Relief Funding 2022"/>
                    <xsd:enumeration value="Child Care Services &amp; Children with Disabilities"/>
                    <xsd:enumeration value="Child Care Stimulus Resources"/>
                    <xsd:enumeration value="Find Child Care"/>
                    <xsd:enumeration value="Free Child Care Business Resources"/>
                    <xsd:enumeration value="Shared Services Alliances"/>
                    <xsd:enumeration value="Texas Preschool Development Grant Birth Through 5 (PDG B-5)"/>
                    <xsd:enumeration value="Texas Rising Star Program"/>
                    <xsd:enumeration value="Texas Rising Star Workgroup - 2019"/>
                    <xsd:enumeration value="Texas Rising Star Workgroup - 2023"/>
                    <xsd:enumeration value="TWC Prekindergarten Partnerships"/>
                    <xsd:enumeration value="Work-Based Learning Staffing Initiatives"/>
                    <xsd:enumeration value="Unknown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c2949c-22a8-4d1d-9a8c-b3c5bd09e7e6}" ma:internalName="TaxCatchAll" ma:showField="CatchAllData" ma:web="d75cc3ea-6d34-48b9-955f-209672471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9E45D-1C8C-4805-9645-07AFA365CE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21c764-d523-4c94-a9a7-da162356749f"/>
    <ds:schemaRef ds:uri="d75cc3ea-6d34-48b9-955f-209672471296"/>
  </ds:schemaRefs>
</ds:datastoreItem>
</file>

<file path=customXml/itemProps2.xml><?xml version="1.0" encoding="utf-8"?>
<ds:datastoreItem xmlns:ds="http://schemas.openxmlformats.org/officeDocument/2006/customXml" ds:itemID="{64B75CAE-88B9-4344-9356-98AC6D5EF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4C8E1-C8A8-4B94-9F9E-CFEF26836B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874</Words>
  <Characters>4986</Characters>
  <Application>Microsoft Office Word</Application>
  <DocSecurity>6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Fu-An Lin</dc:creator>
  <cp:keywords/>
  <dc:description/>
  <cp:lastModifiedBy>Tonche,Crystal</cp:lastModifiedBy>
  <cp:revision>2</cp:revision>
  <dcterms:created xsi:type="dcterms:W3CDTF">2025-04-21T14:23:00Z</dcterms:created>
  <dcterms:modified xsi:type="dcterms:W3CDTF">2025-04-21T14:23:00Z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0x010100E9EA837411ED864B94278B26830B74D5</vt:lpwstr>
  </property>
  <property fmtid="{D5CDD505-2E9C-101B-9397-08002B2CF9AE}" pid="3" name="MediaServiceImageTags">
    <vt:lpwstr/>
  </property>
</Properties>
</file>