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83F8" w14:textId="516C14FD" w:rsidR="006209C9" w:rsidRPr="000A3870" w:rsidRDefault="00A824A8" w:rsidP="000A3870">
      <w:pPr>
        <w:pStyle w:val="Title"/>
      </w:pPr>
      <w:r w:rsidRPr="006209C9">
        <w:t>Special</w:t>
      </w:r>
      <w:r w:rsidRPr="006209C9">
        <w:rPr>
          <w:spacing w:val="-4"/>
        </w:rPr>
        <w:t xml:space="preserve"> </w:t>
      </w:r>
      <w:r w:rsidRPr="006209C9">
        <w:t>Federal</w:t>
      </w:r>
      <w:r w:rsidRPr="006209C9">
        <w:rPr>
          <w:spacing w:val="-8"/>
        </w:rPr>
        <w:t xml:space="preserve"> </w:t>
      </w:r>
      <w:r w:rsidRPr="006209C9">
        <w:t>Award</w:t>
      </w:r>
      <w:r w:rsidRPr="006209C9">
        <w:rPr>
          <w:spacing w:val="-10"/>
        </w:rPr>
        <w:t xml:space="preserve"> </w:t>
      </w:r>
      <w:r w:rsidRPr="006209C9">
        <w:t>Terms</w:t>
      </w:r>
      <w:r w:rsidRPr="006209C9">
        <w:rPr>
          <w:spacing w:val="-6"/>
        </w:rPr>
        <w:t xml:space="preserve"> </w:t>
      </w:r>
      <w:r w:rsidRPr="006209C9">
        <w:t>and</w:t>
      </w:r>
      <w:r w:rsidRPr="006209C9">
        <w:rPr>
          <w:spacing w:val="-6"/>
        </w:rPr>
        <w:t xml:space="preserve"> </w:t>
      </w:r>
      <w:r w:rsidRPr="006209C9">
        <w:t>Conditions</w:t>
      </w:r>
    </w:p>
    <w:p w14:paraId="746B02CF" w14:textId="0839B5A2" w:rsidR="00A65AAF" w:rsidRDefault="00E52E41" w:rsidP="009C3965">
      <w:pPr>
        <w:pStyle w:val="Title"/>
        <w:spacing w:after="480"/>
        <w:ind w:right="14"/>
      </w:pPr>
      <w:r>
        <w:t>Preschool Development Grant Birth to Five (PDG</w:t>
      </w:r>
      <w:r w:rsidR="00A51162">
        <w:t xml:space="preserve"> </w:t>
      </w:r>
      <w:r>
        <w:t>B-5) Renewal Grant</w:t>
      </w:r>
    </w:p>
    <w:p w14:paraId="4857C71E" w14:textId="7FB7F217" w:rsidR="00A65AAF" w:rsidRPr="006209C9" w:rsidRDefault="00A824A8" w:rsidP="00C81294">
      <w:pPr>
        <w:pStyle w:val="BodyText"/>
        <w:tabs>
          <w:tab w:val="left" w:pos="9810"/>
        </w:tabs>
        <w:spacing w:after="240" w:line="360" w:lineRule="auto"/>
        <w:ind w:right="14"/>
        <w:rPr>
          <w:rFonts w:ascii="Verdana" w:hAnsi="Verdana"/>
        </w:rPr>
      </w:pPr>
      <w:r w:rsidRPr="006209C9">
        <w:rPr>
          <w:rFonts w:ascii="Verdana" w:hAnsi="Verdana"/>
        </w:rPr>
        <w:t>Pursuant</w:t>
      </w:r>
      <w:r w:rsidRPr="006209C9">
        <w:rPr>
          <w:rFonts w:ascii="Verdana" w:hAnsi="Verdana"/>
          <w:spacing w:val="-1"/>
        </w:rPr>
        <w:t xml:space="preserve"> </w:t>
      </w:r>
      <w:r w:rsidRPr="006209C9">
        <w:rPr>
          <w:rFonts w:ascii="Verdana" w:hAnsi="Verdana"/>
        </w:rPr>
        <w:t>to</w:t>
      </w:r>
      <w:r w:rsidRPr="006209C9">
        <w:rPr>
          <w:rFonts w:ascii="Verdana" w:hAnsi="Verdana"/>
          <w:spacing w:val="-2"/>
        </w:rPr>
        <w:t xml:space="preserve"> </w:t>
      </w:r>
      <w:r w:rsidRPr="006209C9">
        <w:rPr>
          <w:rFonts w:ascii="Verdana" w:hAnsi="Verdana"/>
        </w:rPr>
        <w:t>OMB</w:t>
      </w:r>
      <w:r w:rsidRPr="006209C9">
        <w:rPr>
          <w:rFonts w:ascii="Verdana" w:hAnsi="Verdana"/>
          <w:spacing w:val="-1"/>
        </w:rPr>
        <w:t xml:space="preserve"> </w:t>
      </w:r>
      <w:r w:rsidRPr="006209C9">
        <w:rPr>
          <w:rFonts w:ascii="Verdana" w:hAnsi="Verdana"/>
        </w:rPr>
        <w:t>Uniform Guidance (2</w:t>
      </w:r>
      <w:r w:rsidRPr="006209C9">
        <w:rPr>
          <w:rFonts w:ascii="Verdana" w:hAnsi="Verdana"/>
          <w:spacing w:val="-2"/>
        </w:rPr>
        <w:t xml:space="preserve"> </w:t>
      </w:r>
      <w:r w:rsidRPr="006209C9">
        <w:rPr>
          <w:rFonts w:ascii="Verdana" w:hAnsi="Verdana"/>
        </w:rPr>
        <w:t>C.F.R.</w:t>
      </w:r>
      <w:r w:rsidRPr="006209C9">
        <w:rPr>
          <w:rFonts w:ascii="Verdana" w:hAnsi="Verdana"/>
          <w:spacing w:val="-1"/>
        </w:rPr>
        <w:t xml:space="preserve"> </w:t>
      </w:r>
      <w:r w:rsidRPr="006209C9">
        <w:rPr>
          <w:rFonts w:ascii="Verdana" w:hAnsi="Verdana"/>
        </w:rPr>
        <w:t>Part 200)</w:t>
      </w:r>
      <w:r w:rsidRPr="006209C9">
        <w:rPr>
          <w:rFonts w:ascii="Verdana" w:hAnsi="Verdana"/>
          <w:spacing w:val="-1"/>
        </w:rPr>
        <w:t xml:space="preserve"> </w:t>
      </w:r>
      <w:r w:rsidRPr="006209C9">
        <w:rPr>
          <w:rFonts w:ascii="Verdana" w:hAnsi="Verdana"/>
        </w:rPr>
        <w:t>provisions</w:t>
      </w:r>
      <w:r w:rsidRPr="006209C9">
        <w:rPr>
          <w:rFonts w:ascii="Verdana" w:hAnsi="Verdana"/>
          <w:spacing w:val="-3"/>
        </w:rPr>
        <w:t xml:space="preserve"> </w:t>
      </w:r>
      <w:r w:rsidRPr="006209C9">
        <w:rPr>
          <w:rFonts w:ascii="Verdana" w:hAnsi="Verdana"/>
        </w:rPr>
        <w:t>at</w:t>
      </w:r>
      <w:r w:rsidRPr="006209C9">
        <w:rPr>
          <w:rFonts w:ascii="Verdana" w:hAnsi="Verdana"/>
          <w:spacing w:val="-2"/>
        </w:rPr>
        <w:t xml:space="preserve"> </w:t>
      </w:r>
      <w:r w:rsidRPr="006209C9">
        <w:rPr>
          <w:rFonts w:ascii="Verdana" w:hAnsi="Verdana"/>
        </w:rPr>
        <w:t>2 C.F.R.</w:t>
      </w:r>
      <w:r w:rsidRPr="006209C9">
        <w:rPr>
          <w:rFonts w:ascii="Verdana" w:hAnsi="Verdana"/>
          <w:spacing w:val="-1"/>
        </w:rPr>
        <w:t xml:space="preserve"> </w:t>
      </w:r>
      <w:r w:rsidRPr="006209C9">
        <w:rPr>
          <w:rFonts w:ascii="Verdana" w:hAnsi="Verdana"/>
        </w:rPr>
        <w:t>§§ 200.101(b)(2)</w:t>
      </w:r>
      <w:r w:rsidRPr="006209C9">
        <w:rPr>
          <w:rFonts w:ascii="Verdana" w:hAnsi="Verdana"/>
          <w:spacing w:val="-1"/>
        </w:rPr>
        <w:t xml:space="preserve"> </w:t>
      </w:r>
      <w:r w:rsidRPr="006209C9">
        <w:rPr>
          <w:rFonts w:ascii="Verdana" w:hAnsi="Verdana"/>
        </w:rPr>
        <w:t>and 200.332(a)(2),</w:t>
      </w:r>
      <w:r w:rsidRPr="006209C9">
        <w:rPr>
          <w:rFonts w:ascii="Verdana" w:hAnsi="Verdana"/>
          <w:spacing w:val="-4"/>
        </w:rPr>
        <w:t xml:space="preserve"> </w:t>
      </w:r>
      <w:r w:rsidRPr="006209C9">
        <w:rPr>
          <w:rFonts w:ascii="Verdana" w:hAnsi="Verdana"/>
        </w:rPr>
        <w:t>these</w:t>
      </w:r>
      <w:r w:rsidRPr="006209C9">
        <w:rPr>
          <w:rFonts w:ascii="Verdana" w:hAnsi="Verdana"/>
          <w:spacing w:val="-3"/>
        </w:rPr>
        <w:t xml:space="preserve"> </w:t>
      </w:r>
      <w:r w:rsidRPr="006209C9">
        <w:rPr>
          <w:rFonts w:ascii="Verdana" w:hAnsi="Verdana"/>
        </w:rPr>
        <w:t>Special</w:t>
      </w:r>
      <w:r w:rsidRPr="006209C9">
        <w:rPr>
          <w:rFonts w:ascii="Verdana" w:hAnsi="Verdana"/>
          <w:spacing w:val="-4"/>
        </w:rPr>
        <w:t xml:space="preserve"> </w:t>
      </w:r>
      <w:r w:rsidRPr="006209C9">
        <w:rPr>
          <w:rFonts w:ascii="Verdana" w:hAnsi="Verdana"/>
        </w:rPr>
        <w:t>Federal</w:t>
      </w:r>
      <w:r w:rsidRPr="006209C9">
        <w:rPr>
          <w:rFonts w:ascii="Verdana" w:hAnsi="Verdana"/>
          <w:spacing w:val="-3"/>
        </w:rPr>
        <w:t xml:space="preserve"> </w:t>
      </w:r>
      <w:r w:rsidRPr="006209C9">
        <w:rPr>
          <w:rFonts w:ascii="Verdana" w:hAnsi="Verdana"/>
        </w:rPr>
        <w:t>Award</w:t>
      </w:r>
      <w:r w:rsidRPr="006209C9">
        <w:rPr>
          <w:rFonts w:ascii="Verdana" w:hAnsi="Verdana"/>
          <w:spacing w:val="-4"/>
        </w:rPr>
        <w:t xml:space="preserve"> </w:t>
      </w:r>
      <w:r w:rsidRPr="006209C9">
        <w:rPr>
          <w:rFonts w:ascii="Verdana" w:hAnsi="Verdana"/>
        </w:rPr>
        <w:t>Terms</w:t>
      </w:r>
      <w:r w:rsidRPr="006209C9">
        <w:rPr>
          <w:rFonts w:ascii="Verdana" w:hAnsi="Verdana"/>
          <w:spacing w:val="-4"/>
        </w:rPr>
        <w:t xml:space="preserve"> </w:t>
      </w:r>
      <w:r w:rsidRPr="006209C9">
        <w:rPr>
          <w:rFonts w:ascii="Verdana" w:hAnsi="Verdana"/>
        </w:rPr>
        <w:t>and</w:t>
      </w:r>
      <w:r w:rsidRPr="006209C9">
        <w:rPr>
          <w:rFonts w:ascii="Verdana" w:hAnsi="Verdana"/>
          <w:spacing w:val="-4"/>
        </w:rPr>
        <w:t xml:space="preserve"> </w:t>
      </w:r>
      <w:r w:rsidRPr="006209C9">
        <w:rPr>
          <w:rFonts w:ascii="Verdana" w:hAnsi="Verdana"/>
        </w:rPr>
        <w:t>Conditions</w:t>
      </w:r>
      <w:r w:rsidRPr="006209C9">
        <w:rPr>
          <w:rFonts w:ascii="Verdana" w:hAnsi="Verdana"/>
          <w:spacing w:val="-5"/>
        </w:rPr>
        <w:t xml:space="preserve"> </w:t>
      </w:r>
      <w:r w:rsidRPr="006209C9">
        <w:rPr>
          <w:rFonts w:ascii="Verdana" w:hAnsi="Verdana"/>
        </w:rPr>
        <w:t>for</w:t>
      </w:r>
      <w:r w:rsidRPr="006209C9">
        <w:rPr>
          <w:rFonts w:ascii="Verdana" w:hAnsi="Verdana"/>
          <w:spacing w:val="-3"/>
        </w:rPr>
        <w:t xml:space="preserve"> </w:t>
      </w:r>
      <w:r w:rsidR="00DD2A16">
        <w:rPr>
          <w:rFonts w:ascii="Verdana" w:hAnsi="Verdana"/>
        </w:rPr>
        <w:t>PDG</w:t>
      </w:r>
      <w:r w:rsidR="00A51162">
        <w:rPr>
          <w:rFonts w:ascii="Verdana" w:hAnsi="Verdana"/>
        </w:rPr>
        <w:t xml:space="preserve"> </w:t>
      </w:r>
      <w:r w:rsidR="00DD2A16">
        <w:rPr>
          <w:rFonts w:ascii="Verdana" w:hAnsi="Verdana"/>
        </w:rPr>
        <w:t>B-5</w:t>
      </w:r>
      <w:r w:rsidRPr="006209C9">
        <w:rPr>
          <w:rFonts w:ascii="Verdana" w:hAnsi="Verdana"/>
        </w:rPr>
        <w:t xml:space="preserve"> </w:t>
      </w:r>
      <w:r w:rsidR="00DD2A16">
        <w:rPr>
          <w:rFonts w:ascii="Verdana" w:hAnsi="Verdana"/>
        </w:rPr>
        <w:t xml:space="preserve">Renewal </w:t>
      </w:r>
      <w:r w:rsidRPr="006209C9">
        <w:rPr>
          <w:rFonts w:ascii="Verdana" w:hAnsi="Verdana"/>
        </w:rPr>
        <w:t>Grant pass through Terms and Conditions specific to the Federal award, which are not set forth elsewhere in this TWC grant award. These grant funds awarded by TWC must be used in compliance</w:t>
      </w:r>
      <w:r w:rsidRPr="006209C9">
        <w:rPr>
          <w:rFonts w:ascii="Verdana" w:hAnsi="Verdana"/>
          <w:spacing w:val="-3"/>
        </w:rPr>
        <w:t xml:space="preserve"> </w:t>
      </w:r>
      <w:r w:rsidRPr="006209C9">
        <w:rPr>
          <w:rFonts w:ascii="Verdana" w:hAnsi="Verdana"/>
        </w:rPr>
        <w:t>with</w:t>
      </w:r>
      <w:r w:rsidRPr="006209C9">
        <w:rPr>
          <w:rFonts w:ascii="Verdana" w:hAnsi="Verdana"/>
          <w:spacing w:val="-3"/>
        </w:rPr>
        <w:t xml:space="preserve"> </w:t>
      </w:r>
      <w:r w:rsidRPr="006209C9">
        <w:rPr>
          <w:rFonts w:ascii="Verdana" w:hAnsi="Verdana"/>
        </w:rPr>
        <w:t>the</w:t>
      </w:r>
      <w:r w:rsidRPr="006209C9">
        <w:rPr>
          <w:rFonts w:ascii="Verdana" w:hAnsi="Verdana"/>
          <w:spacing w:val="-3"/>
        </w:rPr>
        <w:t xml:space="preserve"> </w:t>
      </w:r>
      <w:r w:rsidRPr="006209C9">
        <w:rPr>
          <w:rFonts w:ascii="Verdana" w:hAnsi="Verdana"/>
        </w:rPr>
        <w:t>following</w:t>
      </w:r>
      <w:r w:rsidRPr="006209C9">
        <w:rPr>
          <w:rFonts w:ascii="Verdana" w:hAnsi="Verdana"/>
          <w:spacing w:val="-4"/>
        </w:rPr>
        <w:t xml:space="preserve"> </w:t>
      </w:r>
      <w:r w:rsidRPr="006209C9">
        <w:rPr>
          <w:rFonts w:ascii="Verdana" w:hAnsi="Verdana"/>
        </w:rPr>
        <w:t>Federal</w:t>
      </w:r>
      <w:r w:rsidRPr="006209C9">
        <w:rPr>
          <w:rFonts w:ascii="Verdana" w:hAnsi="Verdana"/>
          <w:spacing w:val="-4"/>
        </w:rPr>
        <w:t xml:space="preserve"> </w:t>
      </w:r>
      <w:r w:rsidRPr="006209C9">
        <w:rPr>
          <w:rFonts w:ascii="Verdana" w:hAnsi="Verdana"/>
        </w:rPr>
        <w:t>Terms</w:t>
      </w:r>
      <w:r w:rsidRPr="006209C9">
        <w:rPr>
          <w:rFonts w:ascii="Verdana" w:hAnsi="Verdana"/>
          <w:spacing w:val="-2"/>
        </w:rPr>
        <w:t xml:space="preserve"> </w:t>
      </w:r>
      <w:r w:rsidRPr="006209C9">
        <w:rPr>
          <w:rFonts w:ascii="Verdana" w:hAnsi="Verdana"/>
        </w:rPr>
        <w:t>and</w:t>
      </w:r>
      <w:r w:rsidRPr="006209C9">
        <w:rPr>
          <w:rFonts w:ascii="Verdana" w:hAnsi="Verdana"/>
          <w:spacing w:val="-1"/>
        </w:rPr>
        <w:t xml:space="preserve"> </w:t>
      </w:r>
      <w:r w:rsidRPr="006209C9">
        <w:rPr>
          <w:rFonts w:ascii="Verdana" w:hAnsi="Verdana"/>
        </w:rPr>
        <w:t>Conditions</w:t>
      </w:r>
      <w:r w:rsidRPr="006209C9">
        <w:rPr>
          <w:rFonts w:ascii="Verdana" w:hAnsi="Verdana"/>
          <w:spacing w:val="-2"/>
        </w:rPr>
        <w:t xml:space="preserve"> </w:t>
      </w:r>
      <w:r w:rsidRPr="006209C9">
        <w:rPr>
          <w:rFonts w:ascii="Verdana" w:hAnsi="Verdana"/>
        </w:rPr>
        <w:t>in</w:t>
      </w:r>
      <w:r w:rsidRPr="006209C9">
        <w:rPr>
          <w:rFonts w:ascii="Verdana" w:hAnsi="Verdana"/>
          <w:spacing w:val="-1"/>
        </w:rPr>
        <w:t xml:space="preserve"> </w:t>
      </w:r>
      <w:r w:rsidRPr="006209C9">
        <w:rPr>
          <w:rFonts w:ascii="Verdana" w:hAnsi="Verdana"/>
        </w:rPr>
        <w:t>addition</w:t>
      </w:r>
      <w:r w:rsidRPr="006209C9">
        <w:rPr>
          <w:rFonts w:ascii="Verdana" w:hAnsi="Verdana"/>
          <w:spacing w:val="-3"/>
        </w:rPr>
        <w:t xml:space="preserve"> </w:t>
      </w:r>
      <w:r w:rsidRPr="006209C9">
        <w:rPr>
          <w:rFonts w:ascii="Verdana" w:hAnsi="Verdana"/>
        </w:rPr>
        <w:t>to</w:t>
      </w:r>
      <w:r w:rsidRPr="006209C9">
        <w:rPr>
          <w:rFonts w:ascii="Verdana" w:hAnsi="Verdana"/>
          <w:spacing w:val="-3"/>
        </w:rPr>
        <w:t xml:space="preserve"> </w:t>
      </w:r>
      <w:r w:rsidRPr="006209C9">
        <w:rPr>
          <w:rFonts w:ascii="Verdana" w:hAnsi="Verdana"/>
        </w:rPr>
        <w:t>the</w:t>
      </w:r>
      <w:r w:rsidRPr="006209C9">
        <w:rPr>
          <w:rFonts w:ascii="Verdana" w:hAnsi="Verdana"/>
          <w:spacing w:val="-3"/>
        </w:rPr>
        <w:t xml:space="preserve"> </w:t>
      </w:r>
      <w:r w:rsidRPr="006209C9">
        <w:rPr>
          <w:rFonts w:ascii="Verdana" w:hAnsi="Verdana"/>
        </w:rPr>
        <w:t>other</w:t>
      </w:r>
      <w:r w:rsidRPr="006209C9">
        <w:rPr>
          <w:rFonts w:ascii="Verdana" w:hAnsi="Verdana"/>
          <w:spacing w:val="-4"/>
        </w:rPr>
        <w:t xml:space="preserve"> </w:t>
      </w:r>
      <w:r w:rsidRPr="006209C9">
        <w:rPr>
          <w:rFonts w:ascii="Verdana" w:hAnsi="Verdana"/>
        </w:rPr>
        <w:t>provisions</w:t>
      </w:r>
      <w:r w:rsidRPr="006209C9">
        <w:rPr>
          <w:rFonts w:ascii="Verdana" w:hAnsi="Verdana"/>
          <w:spacing w:val="-4"/>
        </w:rPr>
        <w:t xml:space="preserve"> </w:t>
      </w:r>
      <w:r w:rsidRPr="006209C9">
        <w:rPr>
          <w:rFonts w:ascii="Verdana" w:hAnsi="Verdana"/>
        </w:rPr>
        <w:t>of this TWC grant award.</w:t>
      </w:r>
    </w:p>
    <w:p w14:paraId="1A3C3A3A" w14:textId="28BBB996" w:rsidR="00A65AAF" w:rsidRPr="006209C9" w:rsidRDefault="00A824A8" w:rsidP="00C81294">
      <w:pPr>
        <w:pStyle w:val="BodyText"/>
        <w:spacing w:after="240" w:line="360" w:lineRule="auto"/>
        <w:ind w:right="14"/>
        <w:rPr>
          <w:rFonts w:ascii="Verdana" w:hAnsi="Verdana"/>
        </w:rPr>
      </w:pPr>
      <w:r w:rsidRPr="006209C9">
        <w:rPr>
          <w:rFonts w:ascii="Verdana" w:hAnsi="Verdana"/>
        </w:rPr>
        <w:t>Effective December 2014, the US Department of Health and Human Services (HHS) specific implementing regulations of Uniform Administrative Requirements, Cost Principles, and Audit Regulations</w:t>
      </w:r>
      <w:r w:rsidRPr="006209C9">
        <w:rPr>
          <w:rFonts w:ascii="Verdana" w:hAnsi="Verdana"/>
          <w:spacing w:val="-3"/>
        </w:rPr>
        <w:t xml:space="preserve"> </w:t>
      </w:r>
      <w:r w:rsidRPr="006209C9">
        <w:rPr>
          <w:rFonts w:ascii="Verdana" w:hAnsi="Verdana"/>
        </w:rPr>
        <w:t>for</w:t>
      </w:r>
      <w:r w:rsidRPr="006209C9">
        <w:rPr>
          <w:rFonts w:ascii="Verdana" w:hAnsi="Verdana"/>
          <w:spacing w:val="-2"/>
        </w:rPr>
        <w:t xml:space="preserve"> </w:t>
      </w:r>
      <w:r w:rsidRPr="006209C9">
        <w:rPr>
          <w:rFonts w:ascii="Verdana" w:hAnsi="Verdana"/>
        </w:rPr>
        <w:t>HHS</w:t>
      </w:r>
      <w:r w:rsidRPr="006209C9">
        <w:rPr>
          <w:rFonts w:ascii="Verdana" w:hAnsi="Verdana"/>
          <w:spacing w:val="-2"/>
        </w:rPr>
        <w:t xml:space="preserve"> </w:t>
      </w:r>
      <w:r w:rsidRPr="006209C9">
        <w:rPr>
          <w:rFonts w:ascii="Verdana" w:hAnsi="Verdana"/>
        </w:rPr>
        <w:t>Awards</w:t>
      </w:r>
      <w:r w:rsidRPr="006209C9">
        <w:rPr>
          <w:rFonts w:ascii="Verdana" w:hAnsi="Verdana"/>
          <w:spacing w:val="-3"/>
        </w:rPr>
        <w:t xml:space="preserve"> </w:t>
      </w:r>
      <w:r w:rsidRPr="006209C9">
        <w:rPr>
          <w:rFonts w:ascii="Verdana" w:hAnsi="Verdana"/>
        </w:rPr>
        <w:t>is</w:t>
      </w:r>
      <w:r w:rsidRPr="006209C9">
        <w:rPr>
          <w:rFonts w:ascii="Verdana" w:hAnsi="Verdana"/>
          <w:spacing w:val="-3"/>
        </w:rPr>
        <w:t xml:space="preserve"> </w:t>
      </w:r>
      <w:r w:rsidRPr="006209C9">
        <w:rPr>
          <w:rFonts w:ascii="Verdana" w:hAnsi="Verdana"/>
        </w:rPr>
        <w:t>codified</w:t>
      </w:r>
      <w:r w:rsidRPr="006209C9">
        <w:rPr>
          <w:rFonts w:ascii="Verdana" w:hAnsi="Verdana"/>
          <w:spacing w:val="-2"/>
        </w:rPr>
        <w:t xml:space="preserve"> </w:t>
      </w:r>
      <w:r w:rsidRPr="006209C9">
        <w:rPr>
          <w:rFonts w:ascii="Verdana" w:hAnsi="Verdana"/>
        </w:rPr>
        <w:t>at</w:t>
      </w:r>
      <w:r w:rsidRPr="006209C9">
        <w:rPr>
          <w:rFonts w:ascii="Verdana" w:hAnsi="Verdana"/>
          <w:spacing w:val="-4"/>
        </w:rPr>
        <w:t xml:space="preserve"> </w:t>
      </w:r>
      <w:r w:rsidRPr="006209C9">
        <w:rPr>
          <w:rFonts w:ascii="Verdana" w:hAnsi="Verdana"/>
        </w:rPr>
        <w:t>45</w:t>
      </w:r>
      <w:r w:rsidRPr="006209C9">
        <w:rPr>
          <w:rFonts w:ascii="Verdana" w:hAnsi="Verdana"/>
          <w:spacing w:val="-2"/>
        </w:rPr>
        <w:t xml:space="preserve"> </w:t>
      </w:r>
      <w:r w:rsidR="00CD1C97">
        <w:rPr>
          <w:rFonts w:ascii="Verdana" w:hAnsi="Verdana"/>
        </w:rPr>
        <w:t>C.F.R.</w:t>
      </w:r>
      <w:r w:rsidRPr="006209C9">
        <w:rPr>
          <w:rFonts w:ascii="Verdana" w:hAnsi="Verdana"/>
          <w:spacing w:val="-6"/>
        </w:rPr>
        <w:t xml:space="preserve"> </w:t>
      </w:r>
      <w:r w:rsidRPr="006209C9">
        <w:rPr>
          <w:rFonts w:ascii="Verdana" w:hAnsi="Verdana"/>
        </w:rPr>
        <w:t>Part</w:t>
      </w:r>
      <w:r w:rsidRPr="006209C9">
        <w:rPr>
          <w:rFonts w:ascii="Verdana" w:hAnsi="Verdana"/>
          <w:spacing w:val="-4"/>
        </w:rPr>
        <w:t xml:space="preserve"> </w:t>
      </w:r>
      <w:r w:rsidRPr="006209C9">
        <w:rPr>
          <w:rFonts w:ascii="Verdana" w:hAnsi="Verdana"/>
        </w:rPr>
        <w:t>75.</w:t>
      </w:r>
      <w:r w:rsidRPr="006209C9">
        <w:rPr>
          <w:rFonts w:ascii="Verdana" w:hAnsi="Verdana"/>
          <w:spacing w:val="-3"/>
        </w:rPr>
        <w:t xml:space="preserve"> </w:t>
      </w:r>
      <w:r w:rsidRPr="006209C9">
        <w:rPr>
          <w:rFonts w:ascii="Verdana" w:hAnsi="Verdana"/>
        </w:rPr>
        <w:t>Unless</w:t>
      </w:r>
      <w:r w:rsidRPr="006209C9">
        <w:rPr>
          <w:rFonts w:ascii="Verdana" w:hAnsi="Verdana"/>
          <w:spacing w:val="-3"/>
        </w:rPr>
        <w:t xml:space="preserve"> </w:t>
      </w:r>
      <w:r w:rsidRPr="006209C9">
        <w:rPr>
          <w:rFonts w:ascii="Verdana" w:hAnsi="Verdana"/>
        </w:rPr>
        <w:t>otherwise</w:t>
      </w:r>
      <w:r w:rsidRPr="006209C9">
        <w:rPr>
          <w:rFonts w:ascii="Verdana" w:hAnsi="Verdana"/>
          <w:spacing w:val="-2"/>
        </w:rPr>
        <w:t xml:space="preserve"> </w:t>
      </w:r>
      <w:r w:rsidRPr="006209C9">
        <w:rPr>
          <w:rFonts w:ascii="Verdana" w:hAnsi="Verdana"/>
        </w:rPr>
        <w:t>stated,</w:t>
      </w:r>
      <w:r w:rsidRPr="006209C9">
        <w:rPr>
          <w:rFonts w:ascii="Verdana" w:hAnsi="Verdana"/>
          <w:spacing w:val="-5"/>
        </w:rPr>
        <w:t xml:space="preserve"> </w:t>
      </w:r>
      <w:r w:rsidRPr="006209C9">
        <w:rPr>
          <w:rFonts w:ascii="Verdana" w:hAnsi="Verdana"/>
        </w:rPr>
        <w:t>grantees</w:t>
      </w:r>
      <w:r w:rsidRPr="006209C9">
        <w:rPr>
          <w:rFonts w:ascii="Verdana" w:hAnsi="Verdana"/>
          <w:spacing w:val="-5"/>
        </w:rPr>
        <w:t xml:space="preserve"> </w:t>
      </w:r>
      <w:r w:rsidRPr="006209C9">
        <w:rPr>
          <w:rFonts w:ascii="Verdana" w:hAnsi="Verdana"/>
        </w:rPr>
        <w:t xml:space="preserve">must refer to HHS-specific language in 45 </w:t>
      </w:r>
      <w:r w:rsidR="00CD1C97">
        <w:rPr>
          <w:rFonts w:ascii="Verdana" w:hAnsi="Verdana"/>
        </w:rPr>
        <w:t>C.F.R.</w:t>
      </w:r>
      <w:r w:rsidRPr="006209C9">
        <w:rPr>
          <w:rFonts w:ascii="Verdana" w:hAnsi="Verdana"/>
        </w:rPr>
        <w:t xml:space="preserve"> Part 75 rather than 2 </w:t>
      </w:r>
      <w:r w:rsidR="00CD1C97">
        <w:rPr>
          <w:rFonts w:ascii="Verdana" w:hAnsi="Verdana"/>
        </w:rPr>
        <w:t>C.F.R.</w:t>
      </w:r>
      <w:r w:rsidRPr="006209C9">
        <w:rPr>
          <w:rFonts w:ascii="Verdana" w:hAnsi="Verdana"/>
        </w:rPr>
        <w:t xml:space="preserve"> Part 200.</w:t>
      </w:r>
    </w:p>
    <w:p w14:paraId="0EF81EEA" w14:textId="77777777" w:rsidR="00A65AAF" w:rsidRPr="006209C9" w:rsidRDefault="00A824A8" w:rsidP="00EE6BC1">
      <w:pPr>
        <w:pStyle w:val="Heading1"/>
        <w:numPr>
          <w:ilvl w:val="0"/>
          <w:numId w:val="2"/>
        </w:numPr>
        <w:tabs>
          <w:tab w:val="left" w:pos="720"/>
        </w:tabs>
        <w:spacing w:after="240" w:line="360" w:lineRule="auto"/>
        <w:ind w:left="720"/>
        <w:rPr>
          <w:rFonts w:ascii="Verdana" w:hAnsi="Verdana"/>
        </w:rPr>
      </w:pPr>
      <w:r w:rsidRPr="006209C9">
        <w:rPr>
          <w:rFonts w:ascii="Verdana" w:hAnsi="Verdana"/>
        </w:rPr>
        <w:t>Salary</w:t>
      </w:r>
      <w:r w:rsidRPr="006209C9">
        <w:rPr>
          <w:rFonts w:ascii="Verdana" w:hAnsi="Verdana"/>
          <w:spacing w:val="-1"/>
        </w:rPr>
        <w:t xml:space="preserve"> </w:t>
      </w:r>
      <w:r w:rsidRPr="006209C9">
        <w:rPr>
          <w:rFonts w:ascii="Verdana" w:hAnsi="Verdana"/>
          <w:spacing w:val="-2"/>
        </w:rPr>
        <w:t>Limitation</w:t>
      </w:r>
    </w:p>
    <w:p w14:paraId="62D7D09B" w14:textId="453F7CFA" w:rsidR="00A65AAF" w:rsidRPr="006209C9" w:rsidRDefault="00775B8C" w:rsidP="00F81EB3">
      <w:pPr>
        <w:pStyle w:val="BodyText"/>
        <w:tabs>
          <w:tab w:val="left" w:pos="0"/>
        </w:tabs>
        <w:spacing w:after="240" w:line="360" w:lineRule="auto"/>
        <w:ind w:right="14"/>
        <w:rPr>
          <w:rFonts w:ascii="Verdana" w:hAnsi="Verdana"/>
        </w:rPr>
      </w:pPr>
      <w:r w:rsidRPr="00775B8C">
        <w:rPr>
          <w:rFonts w:ascii="Verdana" w:hAnsi="Verdana"/>
        </w:rPr>
        <w:t xml:space="preserve">None of the funds shall </w:t>
      </w:r>
      <w:r w:rsidR="00A824A8" w:rsidRPr="006209C9">
        <w:rPr>
          <w:rFonts w:ascii="Verdana" w:hAnsi="Verdana"/>
        </w:rPr>
        <w:t>be used to pay the salary of an individual</w:t>
      </w:r>
      <w:r w:rsidR="009E2FD6">
        <w:rPr>
          <w:rFonts w:ascii="Verdana" w:hAnsi="Verdana"/>
        </w:rPr>
        <w:t xml:space="preserve">, </w:t>
      </w:r>
      <w:r w:rsidR="009E2FD6" w:rsidRPr="009E2FD6">
        <w:rPr>
          <w:rFonts w:ascii="Verdana" w:hAnsi="Verdana"/>
        </w:rPr>
        <w:t>through a grant or other extramural mechanism, which includes non-federal share,</w:t>
      </w:r>
      <w:r w:rsidR="00A824A8" w:rsidRPr="006209C9">
        <w:rPr>
          <w:rFonts w:ascii="Verdana" w:hAnsi="Verdana"/>
        </w:rPr>
        <w:t xml:space="preserve"> at a rate</w:t>
      </w:r>
      <w:r w:rsidR="00A824A8" w:rsidRPr="006209C9">
        <w:rPr>
          <w:rFonts w:ascii="Verdana" w:hAnsi="Verdana"/>
          <w:spacing w:val="-1"/>
        </w:rPr>
        <w:t xml:space="preserve"> </w:t>
      </w:r>
      <w:r w:rsidR="00A824A8" w:rsidRPr="006209C9">
        <w:rPr>
          <w:rFonts w:ascii="Verdana" w:hAnsi="Verdana"/>
        </w:rPr>
        <w:t>in excess</w:t>
      </w:r>
      <w:r w:rsidR="00A824A8" w:rsidRPr="006209C9">
        <w:rPr>
          <w:rFonts w:ascii="Verdana" w:hAnsi="Verdana"/>
          <w:spacing w:val="-4"/>
        </w:rPr>
        <w:t xml:space="preserve"> </w:t>
      </w:r>
      <w:r w:rsidR="00A824A8" w:rsidRPr="006209C9">
        <w:rPr>
          <w:rFonts w:ascii="Verdana" w:hAnsi="Verdana"/>
        </w:rPr>
        <w:t>of Federal</w:t>
      </w:r>
      <w:r w:rsidR="00A824A8" w:rsidRPr="006209C9">
        <w:rPr>
          <w:rFonts w:ascii="Verdana" w:hAnsi="Verdana"/>
          <w:spacing w:val="-8"/>
        </w:rPr>
        <w:t xml:space="preserve"> </w:t>
      </w:r>
      <w:r w:rsidR="00A824A8" w:rsidRPr="006209C9">
        <w:rPr>
          <w:rFonts w:ascii="Verdana" w:hAnsi="Verdana"/>
        </w:rPr>
        <w:t>Executive</w:t>
      </w:r>
      <w:r w:rsidR="00A824A8" w:rsidRPr="006209C9">
        <w:rPr>
          <w:rFonts w:ascii="Verdana" w:hAnsi="Verdana"/>
          <w:spacing w:val="-1"/>
        </w:rPr>
        <w:t xml:space="preserve"> </w:t>
      </w:r>
      <w:r w:rsidR="00A824A8" w:rsidRPr="006209C9">
        <w:rPr>
          <w:rFonts w:ascii="Verdana" w:hAnsi="Verdana"/>
        </w:rPr>
        <w:t>Level</w:t>
      </w:r>
      <w:r w:rsidR="00A824A8" w:rsidRPr="006209C9">
        <w:rPr>
          <w:rFonts w:ascii="Verdana" w:hAnsi="Verdana"/>
          <w:spacing w:val="-1"/>
        </w:rPr>
        <w:t xml:space="preserve"> </w:t>
      </w:r>
      <w:r w:rsidR="00A824A8" w:rsidRPr="006209C9">
        <w:rPr>
          <w:rFonts w:ascii="Verdana" w:hAnsi="Verdana"/>
        </w:rPr>
        <w:t>II.</w:t>
      </w:r>
      <w:r w:rsidR="00A824A8" w:rsidRPr="006209C9">
        <w:rPr>
          <w:rFonts w:ascii="Verdana" w:hAnsi="Verdana"/>
          <w:spacing w:val="-2"/>
        </w:rPr>
        <w:t xml:space="preserve"> </w:t>
      </w:r>
      <w:r w:rsidR="00A824A8" w:rsidRPr="006209C9">
        <w:rPr>
          <w:rFonts w:ascii="Verdana" w:hAnsi="Verdana"/>
        </w:rPr>
        <w:t>The</w:t>
      </w:r>
      <w:r w:rsidR="00A824A8" w:rsidRPr="006209C9">
        <w:rPr>
          <w:rFonts w:ascii="Verdana" w:hAnsi="Verdana"/>
          <w:spacing w:val="-1"/>
        </w:rPr>
        <w:t xml:space="preserve"> </w:t>
      </w:r>
      <w:r w:rsidR="00A824A8" w:rsidRPr="006209C9">
        <w:rPr>
          <w:rFonts w:ascii="Verdana" w:hAnsi="Verdana"/>
        </w:rPr>
        <w:t>Federal</w:t>
      </w:r>
      <w:r w:rsidR="00A824A8" w:rsidRPr="006209C9">
        <w:rPr>
          <w:rFonts w:ascii="Verdana" w:hAnsi="Verdana"/>
          <w:spacing w:val="-4"/>
        </w:rPr>
        <w:t xml:space="preserve"> </w:t>
      </w:r>
      <w:r w:rsidR="00A824A8" w:rsidRPr="006209C9">
        <w:rPr>
          <w:rFonts w:ascii="Verdana" w:hAnsi="Verdana"/>
        </w:rPr>
        <w:t>Executive</w:t>
      </w:r>
      <w:r w:rsidR="00A824A8" w:rsidRPr="006209C9">
        <w:rPr>
          <w:rFonts w:ascii="Verdana" w:hAnsi="Verdana"/>
          <w:spacing w:val="-3"/>
        </w:rPr>
        <w:t xml:space="preserve"> </w:t>
      </w:r>
      <w:r w:rsidR="00A824A8" w:rsidRPr="006209C9">
        <w:rPr>
          <w:rFonts w:ascii="Verdana" w:hAnsi="Verdana"/>
        </w:rPr>
        <w:t>Level</w:t>
      </w:r>
      <w:r w:rsidR="00A824A8" w:rsidRPr="006209C9">
        <w:rPr>
          <w:rFonts w:ascii="Verdana" w:hAnsi="Verdana"/>
          <w:spacing w:val="-4"/>
        </w:rPr>
        <w:t xml:space="preserve"> </w:t>
      </w:r>
      <w:r w:rsidR="00A824A8" w:rsidRPr="006209C9">
        <w:rPr>
          <w:rFonts w:ascii="Verdana" w:hAnsi="Verdana"/>
        </w:rPr>
        <w:t>II</w:t>
      </w:r>
      <w:r w:rsidR="00A824A8" w:rsidRPr="006209C9">
        <w:rPr>
          <w:rFonts w:ascii="Verdana" w:hAnsi="Verdana"/>
          <w:spacing w:val="-2"/>
        </w:rPr>
        <w:t xml:space="preserve"> </w:t>
      </w:r>
      <w:r w:rsidR="00A824A8" w:rsidRPr="006209C9">
        <w:rPr>
          <w:rFonts w:ascii="Verdana" w:hAnsi="Verdana"/>
        </w:rPr>
        <w:t>salary</w:t>
      </w:r>
      <w:r w:rsidR="00A824A8" w:rsidRPr="006209C9">
        <w:rPr>
          <w:rFonts w:ascii="Verdana" w:hAnsi="Verdana"/>
          <w:spacing w:val="-2"/>
        </w:rPr>
        <w:t xml:space="preserve"> </w:t>
      </w:r>
      <w:r w:rsidR="00A824A8" w:rsidRPr="006209C9">
        <w:rPr>
          <w:rFonts w:ascii="Verdana" w:hAnsi="Verdana"/>
        </w:rPr>
        <w:t>can</w:t>
      </w:r>
      <w:r w:rsidR="00A824A8" w:rsidRPr="006209C9">
        <w:rPr>
          <w:rFonts w:ascii="Verdana" w:hAnsi="Verdana"/>
          <w:spacing w:val="-3"/>
        </w:rPr>
        <w:t xml:space="preserve"> </w:t>
      </w:r>
      <w:r w:rsidR="00A824A8" w:rsidRPr="006209C9">
        <w:rPr>
          <w:rFonts w:ascii="Verdana" w:hAnsi="Verdana"/>
        </w:rPr>
        <w:t>be</w:t>
      </w:r>
      <w:r w:rsidR="00A824A8" w:rsidRPr="006209C9">
        <w:rPr>
          <w:rFonts w:ascii="Verdana" w:hAnsi="Verdana"/>
          <w:spacing w:val="-6"/>
        </w:rPr>
        <w:t xml:space="preserve"> </w:t>
      </w:r>
      <w:r w:rsidR="00A824A8" w:rsidRPr="006209C9">
        <w:rPr>
          <w:rFonts w:ascii="Verdana" w:hAnsi="Verdana"/>
        </w:rPr>
        <w:t>found</w:t>
      </w:r>
      <w:r w:rsidR="00A824A8" w:rsidRPr="006209C9">
        <w:rPr>
          <w:rFonts w:ascii="Verdana" w:hAnsi="Verdana"/>
          <w:spacing w:val="-3"/>
        </w:rPr>
        <w:t xml:space="preserve"> </w:t>
      </w:r>
      <w:r w:rsidR="00A824A8" w:rsidRPr="006209C9">
        <w:rPr>
          <w:rFonts w:ascii="Verdana" w:hAnsi="Verdana"/>
        </w:rPr>
        <w:t xml:space="preserve">in the Salaries &amp; Wages tables on the U.S. Office of Personnel Management Web site at </w:t>
      </w:r>
      <w:hyperlink r:id="rId11" w:history="1">
        <w:r w:rsidR="00B530CC" w:rsidRPr="00756585">
          <w:rPr>
            <w:rStyle w:val="Hyperlink"/>
          </w:rPr>
          <w:t xml:space="preserve"> </w:t>
        </w:r>
        <w:r w:rsidR="00B530CC" w:rsidRPr="00756585">
          <w:rPr>
            <w:rStyle w:val="Hyperlink"/>
            <w:rFonts w:ascii="Verdana" w:hAnsi="Verdana"/>
          </w:rPr>
          <w:t>https://www.opm.gov/policy-data-oversight/pay-leave/salaries-wages/.</w:t>
        </w:r>
      </w:hyperlink>
      <w:r w:rsidR="00A824A8" w:rsidRPr="006209C9">
        <w:rPr>
          <w:rFonts w:ascii="Verdana" w:hAnsi="Verdana"/>
        </w:rPr>
        <w:t xml:space="preserve"> This amount reflects an individual’s base salary exclusive of fringe and any income that an individual may be permitted to earn outside of the duties </w:t>
      </w:r>
      <w:r w:rsidR="009E2FD6">
        <w:rPr>
          <w:rFonts w:ascii="Verdana" w:hAnsi="Verdana"/>
        </w:rPr>
        <w:t>of the non-Federal entities’</w:t>
      </w:r>
      <w:r w:rsidR="009E2FD6" w:rsidRPr="006209C9">
        <w:rPr>
          <w:rFonts w:ascii="Verdana" w:hAnsi="Verdana"/>
        </w:rPr>
        <w:t xml:space="preserve"> </w:t>
      </w:r>
      <w:r w:rsidR="00A824A8" w:rsidRPr="006209C9">
        <w:rPr>
          <w:rFonts w:ascii="Verdana" w:hAnsi="Verdana"/>
        </w:rPr>
        <w:t>organization. This salary limitation also applies to subawards, contracts, and subcontracts</w:t>
      </w:r>
      <w:r w:rsidR="00CD7865">
        <w:rPr>
          <w:rFonts w:ascii="Verdana" w:hAnsi="Verdana"/>
        </w:rPr>
        <w:t xml:space="preserve"> </w:t>
      </w:r>
      <w:r w:rsidR="00CD7865" w:rsidRPr="00CD7865">
        <w:rPr>
          <w:rFonts w:ascii="Verdana" w:hAnsi="Verdana"/>
        </w:rPr>
        <w:t xml:space="preserve">under an </w:t>
      </w:r>
      <w:r w:rsidR="00F62863">
        <w:rPr>
          <w:rFonts w:ascii="Verdana" w:hAnsi="Verdana"/>
        </w:rPr>
        <w:t>Administration for Children and Families (</w:t>
      </w:r>
      <w:r w:rsidR="00CD7865" w:rsidRPr="00CD7865">
        <w:rPr>
          <w:rFonts w:ascii="Verdana" w:hAnsi="Verdana"/>
        </w:rPr>
        <w:t>ACF</w:t>
      </w:r>
      <w:r w:rsidR="00F62863">
        <w:rPr>
          <w:rFonts w:ascii="Verdana" w:hAnsi="Verdana"/>
        </w:rPr>
        <w:t>)</w:t>
      </w:r>
      <w:r w:rsidR="00CD7865" w:rsidRPr="00CD7865">
        <w:rPr>
          <w:rFonts w:ascii="Verdana" w:hAnsi="Verdana"/>
        </w:rPr>
        <w:t xml:space="preserve"> grant or cooperative agreement</w:t>
      </w:r>
      <w:r w:rsidR="00A824A8" w:rsidRPr="006209C9">
        <w:rPr>
          <w:rFonts w:ascii="Verdana" w:hAnsi="Verdana"/>
        </w:rPr>
        <w:t>.</w:t>
      </w:r>
    </w:p>
    <w:p w14:paraId="754453A6" w14:textId="77777777" w:rsidR="00A65AAF" w:rsidRPr="006209C9" w:rsidRDefault="00A824A8" w:rsidP="00EE6BC1">
      <w:pPr>
        <w:pStyle w:val="Heading1"/>
        <w:numPr>
          <w:ilvl w:val="0"/>
          <w:numId w:val="2"/>
        </w:numPr>
        <w:tabs>
          <w:tab w:val="left" w:pos="720"/>
        </w:tabs>
        <w:spacing w:after="240" w:line="360" w:lineRule="auto"/>
        <w:ind w:left="720"/>
        <w:rPr>
          <w:rFonts w:ascii="Verdana" w:hAnsi="Verdana"/>
        </w:rPr>
      </w:pPr>
      <w:r w:rsidRPr="006209C9">
        <w:rPr>
          <w:rFonts w:ascii="Verdana" w:hAnsi="Verdana"/>
        </w:rPr>
        <w:lastRenderedPageBreak/>
        <w:t>Federal</w:t>
      </w:r>
      <w:r w:rsidRPr="006209C9">
        <w:rPr>
          <w:rFonts w:ascii="Verdana" w:hAnsi="Verdana"/>
          <w:spacing w:val="-2"/>
        </w:rPr>
        <w:t xml:space="preserve"> </w:t>
      </w:r>
      <w:r w:rsidRPr="006209C9">
        <w:rPr>
          <w:rFonts w:ascii="Verdana" w:hAnsi="Verdana"/>
        </w:rPr>
        <w:t>Funding</w:t>
      </w:r>
      <w:r w:rsidRPr="006209C9">
        <w:rPr>
          <w:rFonts w:ascii="Verdana" w:hAnsi="Verdana"/>
          <w:spacing w:val="-4"/>
        </w:rPr>
        <w:t xml:space="preserve"> </w:t>
      </w:r>
      <w:r w:rsidRPr="006209C9">
        <w:rPr>
          <w:rFonts w:ascii="Verdana" w:hAnsi="Verdana"/>
        </w:rPr>
        <w:t>Disclosure</w:t>
      </w:r>
      <w:r w:rsidRPr="006209C9">
        <w:rPr>
          <w:rFonts w:ascii="Verdana" w:hAnsi="Verdana"/>
          <w:spacing w:val="-4"/>
        </w:rPr>
        <w:t xml:space="preserve"> </w:t>
      </w:r>
      <w:r w:rsidRPr="006209C9">
        <w:rPr>
          <w:rFonts w:ascii="Verdana" w:hAnsi="Verdana"/>
        </w:rPr>
        <w:t>Statement</w:t>
      </w:r>
      <w:r w:rsidRPr="006209C9">
        <w:rPr>
          <w:rFonts w:ascii="Verdana" w:hAnsi="Verdana"/>
          <w:spacing w:val="-3"/>
        </w:rPr>
        <w:t xml:space="preserve"> </w:t>
      </w:r>
      <w:r w:rsidRPr="006209C9">
        <w:rPr>
          <w:rFonts w:ascii="Verdana" w:hAnsi="Verdana"/>
        </w:rPr>
        <w:t>(Requirement</w:t>
      </w:r>
      <w:r w:rsidRPr="006209C9">
        <w:rPr>
          <w:rFonts w:ascii="Verdana" w:hAnsi="Verdana"/>
          <w:spacing w:val="-3"/>
        </w:rPr>
        <w:t xml:space="preserve"> </w:t>
      </w:r>
      <w:r w:rsidRPr="006209C9">
        <w:rPr>
          <w:rFonts w:ascii="Verdana" w:hAnsi="Verdana"/>
        </w:rPr>
        <w:t>to</w:t>
      </w:r>
      <w:r w:rsidRPr="006209C9">
        <w:rPr>
          <w:rFonts w:ascii="Verdana" w:hAnsi="Verdana"/>
          <w:spacing w:val="-3"/>
        </w:rPr>
        <w:t xml:space="preserve"> </w:t>
      </w:r>
      <w:r w:rsidRPr="006209C9">
        <w:rPr>
          <w:rFonts w:ascii="Verdana" w:hAnsi="Verdana"/>
        </w:rPr>
        <w:t>Provide</w:t>
      </w:r>
      <w:r w:rsidRPr="006209C9">
        <w:rPr>
          <w:rFonts w:ascii="Verdana" w:hAnsi="Verdana"/>
          <w:spacing w:val="-4"/>
        </w:rPr>
        <w:t xml:space="preserve"> </w:t>
      </w:r>
      <w:r w:rsidRPr="006209C9">
        <w:rPr>
          <w:rFonts w:ascii="Verdana" w:hAnsi="Verdana"/>
        </w:rPr>
        <w:t>Certain</w:t>
      </w:r>
      <w:r w:rsidRPr="006209C9">
        <w:rPr>
          <w:rFonts w:ascii="Verdana" w:hAnsi="Verdana"/>
          <w:spacing w:val="-8"/>
        </w:rPr>
        <w:t xml:space="preserve"> </w:t>
      </w:r>
      <w:r w:rsidRPr="006209C9">
        <w:rPr>
          <w:rFonts w:ascii="Verdana" w:hAnsi="Verdana"/>
        </w:rPr>
        <w:t>Information</w:t>
      </w:r>
      <w:r w:rsidRPr="006209C9">
        <w:rPr>
          <w:rFonts w:ascii="Verdana" w:hAnsi="Verdana"/>
          <w:spacing w:val="-5"/>
        </w:rPr>
        <w:t xml:space="preserve"> </w:t>
      </w:r>
      <w:r w:rsidRPr="006209C9">
        <w:rPr>
          <w:rFonts w:ascii="Verdana" w:hAnsi="Verdana"/>
        </w:rPr>
        <w:t>in Public Communications)</w:t>
      </w:r>
    </w:p>
    <w:p w14:paraId="17A90D0D" w14:textId="2C879326" w:rsidR="00A65AAF" w:rsidRDefault="00A824A8" w:rsidP="00155F10">
      <w:pPr>
        <w:pStyle w:val="BodyText"/>
        <w:spacing w:after="240" w:line="360" w:lineRule="auto"/>
        <w:ind w:right="14"/>
        <w:rPr>
          <w:rFonts w:ascii="Verdana" w:hAnsi="Verdana"/>
        </w:rPr>
      </w:pPr>
      <w:r w:rsidRPr="006209C9">
        <w:rPr>
          <w:rFonts w:ascii="Verdana" w:hAnsi="Verdana"/>
        </w:rPr>
        <w:t>When issuing statements, press releases, requests for proposals, bid solicitations and other documents</w:t>
      </w:r>
      <w:r w:rsidRPr="006209C9">
        <w:rPr>
          <w:rFonts w:ascii="Verdana" w:hAnsi="Verdana"/>
          <w:spacing w:val="-7"/>
        </w:rPr>
        <w:t xml:space="preserve"> </w:t>
      </w:r>
      <w:r w:rsidRPr="006209C9">
        <w:rPr>
          <w:rFonts w:ascii="Verdana" w:hAnsi="Verdana"/>
        </w:rPr>
        <w:t>describing</w:t>
      </w:r>
      <w:r w:rsidRPr="006209C9">
        <w:rPr>
          <w:rFonts w:ascii="Verdana" w:hAnsi="Verdana"/>
          <w:spacing w:val="-5"/>
        </w:rPr>
        <w:t xml:space="preserve"> </w:t>
      </w:r>
      <w:r w:rsidRPr="006209C9">
        <w:rPr>
          <w:rFonts w:ascii="Verdana" w:hAnsi="Verdana"/>
        </w:rPr>
        <w:t>projects</w:t>
      </w:r>
      <w:r w:rsidRPr="006209C9">
        <w:rPr>
          <w:rFonts w:ascii="Verdana" w:hAnsi="Verdana"/>
          <w:spacing w:val="-3"/>
        </w:rPr>
        <w:t xml:space="preserve"> </w:t>
      </w:r>
      <w:r w:rsidRPr="006209C9">
        <w:rPr>
          <w:rFonts w:ascii="Verdana" w:hAnsi="Verdana"/>
        </w:rPr>
        <w:t>or</w:t>
      </w:r>
      <w:r w:rsidRPr="006209C9">
        <w:rPr>
          <w:rFonts w:ascii="Verdana" w:hAnsi="Verdana"/>
          <w:spacing w:val="-6"/>
        </w:rPr>
        <w:t xml:space="preserve"> </w:t>
      </w:r>
      <w:r w:rsidRPr="006209C9">
        <w:rPr>
          <w:rFonts w:ascii="Verdana" w:hAnsi="Verdana"/>
        </w:rPr>
        <w:t>programs</w:t>
      </w:r>
      <w:r w:rsidRPr="006209C9">
        <w:rPr>
          <w:rFonts w:ascii="Verdana" w:hAnsi="Verdana"/>
          <w:spacing w:val="-5"/>
        </w:rPr>
        <w:t xml:space="preserve"> </w:t>
      </w:r>
      <w:r w:rsidRPr="006209C9">
        <w:rPr>
          <w:rFonts w:ascii="Verdana" w:hAnsi="Verdana"/>
        </w:rPr>
        <w:t>funded</w:t>
      </w:r>
      <w:r w:rsidRPr="006209C9">
        <w:rPr>
          <w:rFonts w:ascii="Verdana" w:hAnsi="Verdana"/>
          <w:spacing w:val="-1"/>
        </w:rPr>
        <w:t xml:space="preserve"> </w:t>
      </w:r>
      <w:r w:rsidRPr="006209C9">
        <w:rPr>
          <w:rFonts w:ascii="Verdana" w:hAnsi="Verdana"/>
        </w:rPr>
        <w:t>in</w:t>
      </w:r>
      <w:r w:rsidRPr="006209C9">
        <w:rPr>
          <w:rFonts w:ascii="Verdana" w:hAnsi="Verdana"/>
          <w:spacing w:val="-1"/>
        </w:rPr>
        <w:t xml:space="preserve"> </w:t>
      </w:r>
      <w:r w:rsidRPr="006209C9">
        <w:rPr>
          <w:rFonts w:ascii="Verdana" w:hAnsi="Verdana"/>
        </w:rPr>
        <w:t>whole</w:t>
      </w:r>
      <w:r w:rsidRPr="006209C9">
        <w:rPr>
          <w:rFonts w:ascii="Verdana" w:hAnsi="Verdana"/>
          <w:spacing w:val="-4"/>
        </w:rPr>
        <w:t xml:space="preserve"> </w:t>
      </w:r>
      <w:r w:rsidRPr="006209C9">
        <w:rPr>
          <w:rFonts w:ascii="Verdana" w:hAnsi="Verdana"/>
        </w:rPr>
        <w:t>or</w:t>
      </w:r>
      <w:r w:rsidRPr="006209C9">
        <w:rPr>
          <w:rFonts w:ascii="Verdana" w:hAnsi="Verdana"/>
          <w:spacing w:val="-5"/>
        </w:rPr>
        <w:t xml:space="preserve"> </w:t>
      </w:r>
      <w:r w:rsidRPr="006209C9">
        <w:rPr>
          <w:rFonts w:ascii="Verdana" w:hAnsi="Verdana"/>
        </w:rPr>
        <w:t>in</w:t>
      </w:r>
      <w:r w:rsidRPr="006209C9">
        <w:rPr>
          <w:rFonts w:ascii="Verdana" w:hAnsi="Verdana"/>
          <w:spacing w:val="-4"/>
        </w:rPr>
        <w:t xml:space="preserve"> </w:t>
      </w:r>
      <w:r w:rsidRPr="006209C9">
        <w:rPr>
          <w:rFonts w:ascii="Verdana" w:hAnsi="Verdana"/>
        </w:rPr>
        <w:t>part</w:t>
      </w:r>
      <w:r w:rsidRPr="006209C9">
        <w:rPr>
          <w:rFonts w:ascii="Verdana" w:hAnsi="Verdana"/>
          <w:spacing w:val="-1"/>
        </w:rPr>
        <w:t xml:space="preserve"> </w:t>
      </w:r>
      <w:r w:rsidRPr="006209C9">
        <w:rPr>
          <w:rFonts w:ascii="Verdana" w:hAnsi="Verdana"/>
        </w:rPr>
        <w:t>with</w:t>
      </w:r>
      <w:r w:rsidRPr="006209C9">
        <w:rPr>
          <w:rFonts w:ascii="Verdana" w:hAnsi="Verdana"/>
          <w:spacing w:val="-1"/>
        </w:rPr>
        <w:t xml:space="preserve"> </w:t>
      </w:r>
      <w:r w:rsidRPr="006209C9">
        <w:rPr>
          <w:rFonts w:ascii="Verdana" w:hAnsi="Verdana"/>
        </w:rPr>
        <w:t>Federal</w:t>
      </w:r>
      <w:r w:rsidRPr="006209C9">
        <w:rPr>
          <w:rFonts w:ascii="Verdana" w:hAnsi="Verdana"/>
          <w:spacing w:val="-5"/>
        </w:rPr>
        <w:t xml:space="preserve"> </w:t>
      </w:r>
      <w:r w:rsidRPr="006209C9">
        <w:rPr>
          <w:rFonts w:ascii="Verdana" w:hAnsi="Verdana"/>
        </w:rPr>
        <w:t>money,</w:t>
      </w:r>
      <w:r w:rsidRPr="006209C9">
        <w:rPr>
          <w:rFonts w:ascii="Verdana" w:hAnsi="Verdana"/>
          <w:spacing w:val="-1"/>
        </w:rPr>
        <w:t xml:space="preserve"> </w:t>
      </w:r>
      <w:r w:rsidRPr="006209C9">
        <w:rPr>
          <w:rFonts w:ascii="Verdana" w:hAnsi="Verdana"/>
        </w:rPr>
        <w:t>all recipients receiving Federal funds, including in this Act, including but not limited to State and local governments and recipients of Federal research grants, shall clearly state:</w:t>
      </w:r>
    </w:p>
    <w:p w14:paraId="4B667B39" w14:textId="54D80A27" w:rsidR="00A65AAF" w:rsidRDefault="00A824A8" w:rsidP="00EE6BC1">
      <w:pPr>
        <w:pStyle w:val="Heading2"/>
        <w:spacing w:line="240" w:lineRule="auto"/>
      </w:pPr>
      <w:r w:rsidRPr="006209C9">
        <w:t>the</w:t>
      </w:r>
      <w:r w:rsidRPr="006209C9">
        <w:rPr>
          <w:spacing w:val="-3"/>
        </w:rPr>
        <w:t xml:space="preserve"> </w:t>
      </w:r>
      <w:r w:rsidRPr="006209C9">
        <w:t>percentage</w:t>
      </w:r>
      <w:r w:rsidRPr="006209C9">
        <w:rPr>
          <w:spacing w:val="-1"/>
        </w:rPr>
        <w:t xml:space="preserve"> </w:t>
      </w:r>
      <w:r w:rsidR="00DC10C5">
        <w:rPr>
          <w:spacing w:val="-1"/>
        </w:rPr>
        <w:t xml:space="preserve">and dollar amount </w:t>
      </w:r>
      <w:r w:rsidRPr="006209C9">
        <w:t>of</w:t>
      </w:r>
      <w:r w:rsidRPr="006209C9">
        <w:rPr>
          <w:spacing w:val="-3"/>
        </w:rPr>
        <w:t xml:space="preserve"> </w:t>
      </w:r>
      <w:r w:rsidRPr="006209C9">
        <w:t>the</w:t>
      </w:r>
      <w:r w:rsidRPr="006209C9">
        <w:rPr>
          <w:spacing w:val="-3"/>
        </w:rPr>
        <w:t xml:space="preserve"> </w:t>
      </w:r>
      <w:r w:rsidRPr="006209C9">
        <w:t>total</w:t>
      </w:r>
      <w:r w:rsidRPr="006209C9">
        <w:rPr>
          <w:spacing w:val="-2"/>
        </w:rPr>
        <w:t xml:space="preserve"> </w:t>
      </w:r>
      <w:r w:rsidRPr="006209C9">
        <w:t>costs</w:t>
      </w:r>
      <w:r w:rsidRPr="006209C9">
        <w:rPr>
          <w:spacing w:val="-4"/>
        </w:rPr>
        <w:t xml:space="preserve"> </w:t>
      </w:r>
      <w:r w:rsidRPr="006209C9">
        <w:t>of</w:t>
      </w:r>
      <w:r w:rsidRPr="006209C9">
        <w:rPr>
          <w:spacing w:val="-3"/>
        </w:rPr>
        <w:t xml:space="preserve"> </w:t>
      </w:r>
      <w:r w:rsidRPr="006209C9">
        <w:t>the</w:t>
      </w:r>
      <w:r w:rsidRPr="006209C9">
        <w:rPr>
          <w:spacing w:val="-6"/>
        </w:rPr>
        <w:t xml:space="preserve"> </w:t>
      </w:r>
      <w:r w:rsidRPr="006209C9">
        <w:t>program</w:t>
      </w:r>
      <w:r w:rsidRPr="006209C9">
        <w:rPr>
          <w:spacing w:val="-6"/>
        </w:rPr>
        <w:t xml:space="preserve"> </w:t>
      </w:r>
      <w:r w:rsidRPr="006209C9">
        <w:t>or</w:t>
      </w:r>
      <w:r w:rsidRPr="006209C9">
        <w:rPr>
          <w:spacing w:val="-1"/>
        </w:rPr>
        <w:t xml:space="preserve"> </w:t>
      </w:r>
      <w:r w:rsidRPr="006209C9">
        <w:t>project</w:t>
      </w:r>
      <w:r w:rsidRPr="006209C9">
        <w:rPr>
          <w:spacing w:val="-3"/>
        </w:rPr>
        <w:t xml:space="preserve"> </w:t>
      </w:r>
      <w:r w:rsidRPr="006209C9">
        <w:t>which</w:t>
      </w:r>
      <w:r w:rsidRPr="006209C9">
        <w:rPr>
          <w:spacing w:val="-1"/>
        </w:rPr>
        <w:t xml:space="preserve"> </w:t>
      </w:r>
      <w:r w:rsidRPr="006209C9">
        <w:t>will</w:t>
      </w:r>
      <w:r w:rsidRPr="006209C9">
        <w:rPr>
          <w:spacing w:val="-6"/>
        </w:rPr>
        <w:t xml:space="preserve"> </w:t>
      </w:r>
      <w:r w:rsidRPr="006209C9">
        <w:t>be</w:t>
      </w:r>
      <w:r w:rsidRPr="006209C9">
        <w:rPr>
          <w:spacing w:val="-6"/>
        </w:rPr>
        <w:t xml:space="preserve"> </w:t>
      </w:r>
      <w:r w:rsidRPr="006209C9">
        <w:t>financed</w:t>
      </w:r>
      <w:r w:rsidRPr="006209C9">
        <w:rPr>
          <w:spacing w:val="-5"/>
        </w:rPr>
        <w:t xml:space="preserve"> </w:t>
      </w:r>
      <w:r w:rsidRPr="006209C9">
        <w:t>with Federal money,</w:t>
      </w:r>
      <w:r w:rsidR="005839BB">
        <w:br/>
      </w:r>
      <w:r w:rsidR="005839BB">
        <w:br/>
        <w:t>and</w:t>
      </w:r>
    </w:p>
    <w:p w14:paraId="76131B6E" w14:textId="6824D9B1" w:rsidR="00A65AAF" w:rsidRDefault="00A824A8" w:rsidP="00BA152E">
      <w:pPr>
        <w:pStyle w:val="Heading2"/>
      </w:pPr>
      <w:r w:rsidRPr="006209C9">
        <w:t>percentage</w:t>
      </w:r>
      <w:r w:rsidRPr="006209C9">
        <w:rPr>
          <w:spacing w:val="-1"/>
        </w:rPr>
        <w:t xml:space="preserve"> </w:t>
      </w:r>
      <w:r w:rsidRPr="006209C9">
        <w:t>and</w:t>
      </w:r>
      <w:r w:rsidRPr="006209C9">
        <w:rPr>
          <w:spacing w:val="-3"/>
        </w:rPr>
        <w:t xml:space="preserve"> </w:t>
      </w:r>
      <w:r w:rsidRPr="006209C9">
        <w:t>dollar</w:t>
      </w:r>
      <w:r w:rsidRPr="006209C9">
        <w:rPr>
          <w:spacing w:val="-1"/>
        </w:rPr>
        <w:t xml:space="preserve"> </w:t>
      </w:r>
      <w:r w:rsidRPr="006209C9">
        <w:t>amount of</w:t>
      </w:r>
      <w:r w:rsidRPr="006209C9">
        <w:rPr>
          <w:spacing w:val="-3"/>
        </w:rPr>
        <w:t xml:space="preserve"> </w:t>
      </w:r>
      <w:r w:rsidRPr="006209C9">
        <w:t>the</w:t>
      </w:r>
      <w:r w:rsidRPr="006209C9">
        <w:rPr>
          <w:spacing w:val="-3"/>
        </w:rPr>
        <w:t xml:space="preserve"> </w:t>
      </w:r>
      <w:r w:rsidRPr="006209C9">
        <w:t>total</w:t>
      </w:r>
      <w:r w:rsidRPr="006209C9">
        <w:rPr>
          <w:spacing w:val="-6"/>
        </w:rPr>
        <w:t xml:space="preserve"> </w:t>
      </w:r>
      <w:r w:rsidRPr="006209C9">
        <w:t>costs</w:t>
      </w:r>
      <w:r w:rsidRPr="006209C9">
        <w:rPr>
          <w:spacing w:val="-9"/>
        </w:rPr>
        <w:t xml:space="preserve"> </w:t>
      </w:r>
      <w:r w:rsidRPr="006209C9">
        <w:t>of</w:t>
      </w:r>
      <w:r w:rsidRPr="006209C9">
        <w:rPr>
          <w:spacing w:val="-3"/>
        </w:rPr>
        <w:t xml:space="preserve"> </w:t>
      </w:r>
      <w:r w:rsidRPr="006209C9">
        <w:t>the</w:t>
      </w:r>
      <w:r w:rsidRPr="006209C9">
        <w:rPr>
          <w:spacing w:val="-3"/>
        </w:rPr>
        <w:t xml:space="preserve"> </w:t>
      </w:r>
      <w:r w:rsidRPr="006209C9">
        <w:t>project</w:t>
      </w:r>
      <w:r w:rsidRPr="006209C9">
        <w:rPr>
          <w:spacing w:val="-3"/>
        </w:rPr>
        <w:t xml:space="preserve"> </w:t>
      </w:r>
      <w:r w:rsidRPr="006209C9">
        <w:t>or</w:t>
      </w:r>
      <w:r w:rsidRPr="006209C9">
        <w:rPr>
          <w:spacing w:val="-6"/>
        </w:rPr>
        <w:t xml:space="preserve"> </w:t>
      </w:r>
      <w:r w:rsidRPr="006209C9">
        <w:t>program</w:t>
      </w:r>
      <w:r w:rsidRPr="006209C9">
        <w:rPr>
          <w:spacing w:val="-2"/>
        </w:rPr>
        <w:t xml:space="preserve"> </w:t>
      </w:r>
      <w:r w:rsidRPr="006209C9">
        <w:t>that will</w:t>
      </w:r>
      <w:r w:rsidRPr="006209C9">
        <w:rPr>
          <w:spacing w:val="-6"/>
        </w:rPr>
        <w:t xml:space="preserve"> </w:t>
      </w:r>
      <w:r w:rsidRPr="006209C9">
        <w:t>be financed by nongovernmental sources.</w:t>
      </w:r>
    </w:p>
    <w:p w14:paraId="461B4A4E" w14:textId="5B9D1016" w:rsidR="00A65AAF" w:rsidRPr="006209C9" w:rsidRDefault="00A824A8" w:rsidP="00EE6BC1">
      <w:pPr>
        <w:pStyle w:val="Heading1"/>
        <w:numPr>
          <w:ilvl w:val="0"/>
          <w:numId w:val="2"/>
        </w:numPr>
        <w:tabs>
          <w:tab w:val="left" w:pos="720"/>
        </w:tabs>
        <w:spacing w:after="240" w:line="360" w:lineRule="auto"/>
        <w:ind w:left="720"/>
        <w:contextualSpacing/>
        <w:rPr>
          <w:rFonts w:ascii="Verdana" w:hAnsi="Verdana"/>
        </w:rPr>
      </w:pPr>
      <w:r w:rsidRPr="006209C9">
        <w:rPr>
          <w:rFonts w:ascii="Verdana" w:hAnsi="Verdana"/>
        </w:rPr>
        <w:t>Pro-</w:t>
      </w:r>
      <w:r w:rsidR="00093AFB">
        <w:rPr>
          <w:rFonts w:ascii="Verdana" w:hAnsi="Verdana"/>
        </w:rPr>
        <w:t>Children</w:t>
      </w:r>
      <w:r w:rsidRPr="006209C9">
        <w:rPr>
          <w:rFonts w:ascii="Verdana" w:hAnsi="Verdana"/>
          <w:spacing w:val="-5"/>
        </w:rPr>
        <w:t xml:space="preserve"> </w:t>
      </w:r>
      <w:r w:rsidRPr="006209C9">
        <w:rPr>
          <w:rFonts w:ascii="Verdana" w:hAnsi="Verdana"/>
        </w:rPr>
        <w:t>Act</w:t>
      </w:r>
      <w:r w:rsidRPr="006209C9">
        <w:rPr>
          <w:rFonts w:ascii="Verdana" w:hAnsi="Verdana"/>
          <w:spacing w:val="-2"/>
        </w:rPr>
        <w:t xml:space="preserve"> </w:t>
      </w:r>
      <w:r w:rsidRPr="006209C9">
        <w:rPr>
          <w:rFonts w:ascii="Verdana" w:hAnsi="Verdana"/>
        </w:rPr>
        <w:t>of</w:t>
      </w:r>
      <w:r w:rsidRPr="006209C9">
        <w:rPr>
          <w:rFonts w:ascii="Verdana" w:hAnsi="Verdana"/>
          <w:spacing w:val="-2"/>
        </w:rPr>
        <w:t xml:space="preserve"> </w:t>
      </w:r>
      <w:r w:rsidR="00093AFB">
        <w:rPr>
          <w:rFonts w:ascii="Verdana" w:hAnsi="Verdana"/>
        </w:rPr>
        <w:t>2001</w:t>
      </w:r>
      <w:r w:rsidRPr="006209C9">
        <w:rPr>
          <w:rFonts w:ascii="Verdana" w:hAnsi="Verdana"/>
        </w:rPr>
        <w:t xml:space="preserve"> Smoking</w:t>
      </w:r>
      <w:r w:rsidRPr="006209C9">
        <w:rPr>
          <w:rFonts w:ascii="Verdana" w:hAnsi="Verdana"/>
          <w:spacing w:val="-1"/>
        </w:rPr>
        <w:t xml:space="preserve"> </w:t>
      </w:r>
      <w:r w:rsidRPr="006209C9">
        <w:rPr>
          <w:rFonts w:ascii="Verdana" w:hAnsi="Verdana"/>
          <w:spacing w:val="-2"/>
        </w:rPr>
        <w:t>Prohibitions</w:t>
      </w:r>
    </w:p>
    <w:p w14:paraId="4D35700F" w14:textId="4BC9D391" w:rsidR="004127FC" w:rsidRPr="004127FC" w:rsidRDefault="004127FC" w:rsidP="004127FC">
      <w:pPr>
        <w:pStyle w:val="BodyText"/>
        <w:spacing w:after="240" w:line="360" w:lineRule="auto"/>
        <w:ind w:right="14"/>
        <w:rPr>
          <w:rFonts w:ascii="Verdana" w:hAnsi="Verdana"/>
        </w:rPr>
      </w:pPr>
      <w:r w:rsidRPr="004127FC">
        <w:rPr>
          <w:rFonts w:ascii="Verdana" w:hAnsi="Verdana"/>
        </w:rPr>
        <w:t>In accordance with the “Pro-Children Act of 2001,” (20 U.S.C. §</w:t>
      </w:r>
      <w:r w:rsidR="00175F39" w:rsidRPr="004127FC">
        <w:rPr>
          <w:rFonts w:ascii="Verdana" w:hAnsi="Verdana"/>
        </w:rPr>
        <w:t xml:space="preserve">§ </w:t>
      </w:r>
      <w:r w:rsidRPr="004127FC">
        <w:rPr>
          <w:rFonts w:ascii="Verdana" w:hAnsi="Verdana"/>
        </w:rPr>
        <w:t>7181</w:t>
      </w:r>
      <w:r w:rsidR="00F23CFB">
        <w:rPr>
          <w:rFonts w:ascii="Verdana" w:hAnsi="Verdana"/>
        </w:rPr>
        <w:t xml:space="preserve"> – </w:t>
      </w:r>
      <w:r w:rsidRPr="004127FC">
        <w:rPr>
          <w:rFonts w:ascii="Verdana" w:hAnsi="Verdana"/>
        </w:rPr>
        <w:t>7184), smoking is prohibited in any indoor facility (owned, leased, or contracted for) used for the routine or regular provision of kindergarten, elementary, or secondary education or library services to children under the age of 18. In addition, smoking is prohibited in any indoor facility or portion of a facility (owned, leased, or contracted for) used for the routine or regular provision of federally funded health care, day care, or early childhood development, including Head Start services to children under the age of 18. The statutory prohibition also applies if such facilities are constructed, operated, or maintained with federal funds. The law does not apply to</w:t>
      </w:r>
      <w:r w:rsidR="007F536C">
        <w:rPr>
          <w:rFonts w:ascii="Verdana" w:hAnsi="Verdana"/>
        </w:rPr>
        <w:t xml:space="preserve"> </w:t>
      </w:r>
      <w:r w:rsidRPr="004127FC">
        <w:rPr>
          <w:rFonts w:ascii="Verdana" w:hAnsi="Verdana"/>
        </w:rPr>
        <w:t>children’s services provided in private residences, facilities funded solely by Medicare or Medicaid funds, portions of facilities,</w:t>
      </w:r>
      <w:r w:rsidR="00C140D8">
        <w:rPr>
          <w:rFonts w:ascii="Verdana" w:hAnsi="Verdana"/>
        </w:rPr>
        <w:t xml:space="preserve"> </w:t>
      </w:r>
      <w:r w:rsidRPr="004127FC">
        <w:rPr>
          <w:rFonts w:ascii="Verdana" w:hAnsi="Verdana"/>
        </w:rPr>
        <w:t>used for inpatient drug or alcohol treatment</w:t>
      </w:r>
      <w:r w:rsidR="00BD7E67">
        <w:rPr>
          <w:rFonts w:ascii="Verdana" w:hAnsi="Verdana"/>
        </w:rPr>
        <w:t>,</w:t>
      </w:r>
      <w:r w:rsidR="0027368C">
        <w:rPr>
          <w:rFonts w:ascii="Verdana" w:hAnsi="Verdana"/>
        </w:rPr>
        <w:t xml:space="preserve"> or </w:t>
      </w:r>
      <w:r w:rsidR="00C140D8">
        <w:rPr>
          <w:rFonts w:ascii="Verdana" w:hAnsi="Verdana"/>
        </w:rPr>
        <w:t xml:space="preserve">facilities </w:t>
      </w:r>
      <w:r w:rsidR="0027368C">
        <w:rPr>
          <w:rFonts w:ascii="Verdana" w:hAnsi="Verdana"/>
        </w:rPr>
        <w:t>where WIC coupons are redeemed</w:t>
      </w:r>
      <w:r w:rsidR="00141404">
        <w:rPr>
          <w:rFonts w:ascii="Verdana" w:hAnsi="Verdana"/>
        </w:rPr>
        <w:t>.</w:t>
      </w:r>
    </w:p>
    <w:p w14:paraId="450E6B9F" w14:textId="27A55C1E" w:rsidR="00A65AAF" w:rsidRPr="006209C9" w:rsidRDefault="004127FC" w:rsidP="004127FC">
      <w:pPr>
        <w:pStyle w:val="BodyText"/>
        <w:spacing w:after="240" w:line="360" w:lineRule="auto"/>
        <w:ind w:right="14"/>
        <w:rPr>
          <w:rFonts w:ascii="Verdana" w:hAnsi="Verdana"/>
        </w:rPr>
      </w:pPr>
      <w:r w:rsidRPr="004127FC">
        <w:rPr>
          <w:rFonts w:ascii="Verdana" w:hAnsi="Verdana"/>
        </w:rPr>
        <w:lastRenderedPageBreak/>
        <w:t xml:space="preserve">The above language must be included in any subawards that contain provisions for children’s services and that all subawards shall certify compliance accordingly. Failure to comply with the provisions of this law may result in the imposition of a civil monetary penalty of up to $1,000 </w:t>
      </w:r>
      <w:r w:rsidR="0097238D">
        <w:rPr>
          <w:rFonts w:ascii="Verdana" w:hAnsi="Verdana"/>
        </w:rPr>
        <w:t xml:space="preserve">per violation and/or the imposition or an </w:t>
      </w:r>
      <w:r w:rsidR="00AF0817">
        <w:rPr>
          <w:rFonts w:ascii="Verdana" w:hAnsi="Verdana"/>
        </w:rPr>
        <w:t xml:space="preserve">administrative </w:t>
      </w:r>
      <w:r w:rsidR="0097238D">
        <w:rPr>
          <w:rFonts w:ascii="Verdana" w:hAnsi="Verdana"/>
        </w:rPr>
        <w:t>compliance order on the responsible entity</w:t>
      </w:r>
      <w:r w:rsidRPr="004127FC">
        <w:rPr>
          <w:rFonts w:ascii="Verdana" w:hAnsi="Verdana"/>
        </w:rPr>
        <w:t>.</w:t>
      </w:r>
    </w:p>
    <w:p w14:paraId="18BB410C" w14:textId="77777777" w:rsidR="00A65AAF" w:rsidRPr="006209C9" w:rsidRDefault="00A824A8" w:rsidP="00EE6BC1">
      <w:pPr>
        <w:pStyle w:val="Heading1"/>
        <w:numPr>
          <w:ilvl w:val="0"/>
          <w:numId w:val="2"/>
        </w:numPr>
        <w:tabs>
          <w:tab w:val="left" w:pos="720"/>
        </w:tabs>
        <w:spacing w:after="240" w:line="360" w:lineRule="auto"/>
        <w:ind w:left="720"/>
        <w:rPr>
          <w:rFonts w:ascii="Verdana" w:hAnsi="Verdana"/>
        </w:rPr>
      </w:pPr>
      <w:r w:rsidRPr="006209C9">
        <w:rPr>
          <w:rFonts w:ascii="Verdana" w:hAnsi="Verdana"/>
        </w:rPr>
        <w:t>Human</w:t>
      </w:r>
      <w:r w:rsidRPr="006209C9">
        <w:rPr>
          <w:rFonts w:ascii="Verdana" w:hAnsi="Verdana"/>
          <w:spacing w:val="-3"/>
        </w:rPr>
        <w:t xml:space="preserve"> </w:t>
      </w:r>
      <w:r w:rsidRPr="006209C9">
        <w:rPr>
          <w:rFonts w:ascii="Verdana" w:hAnsi="Verdana"/>
        </w:rPr>
        <w:t>Trafficking</w:t>
      </w:r>
      <w:r w:rsidRPr="006209C9">
        <w:rPr>
          <w:rFonts w:ascii="Verdana" w:hAnsi="Verdana"/>
          <w:spacing w:val="-2"/>
        </w:rPr>
        <w:t xml:space="preserve"> Provisions</w:t>
      </w:r>
    </w:p>
    <w:p w14:paraId="3FD52956" w14:textId="64DB40EA" w:rsidR="00A65AAF" w:rsidRPr="006209C9" w:rsidRDefault="00A824A8" w:rsidP="00FF6FF5">
      <w:pPr>
        <w:pStyle w:val="BodyText"/>
        <w:spacing w:after="240" w:line="360" w:lineRule="auto"/>
        <w:ind w:right="14"/>
        <w:rPr>
          <w:rFonts w:ascii="Verdana" w:hAnsi="Verdana"/>
        </w:rPr>
      </w:pPr>
      <w:r w:rsidRPr="006209C9">
        <w:rPr>
          <w:rFonts w:ascii="Verdana" w:hAnsi="Verdana"/>
        </w:rPr>
        <w:t>This</w:t>
      </w:r>
      <w:r w:rsidRPr="006209C9">
        <w:rPr>
          <w:rFonts w:ascii="Verdana" w:hAnsi="Verdana"/>
          <w:spacing w:val="-3"/>
        </w:rPr>
        <w:t xml:space="preserve"> </w:t>
      </w:r>
      <w:r w:rsidRPr="006209C9">
        <w:rPr>
          <w:rFonts w:ascii="Verdana" w:hAnsi="Verdana"/>
        </w:rPr>
        <w:t>TWC</w:t>
      </w:r>
      <w:r w:rsidRPr="006209C9">
        <w:rPr>
          <w:rFonts w:ascii="Verdana" w:hAnsi="Verdana"/>
          <w:spacing w:val="-3"/>
        </w:rPr>
        <w:t xml:space="preserve"> </w:t>
      </w:r>
      <w:r w:rsidRPr="006209C9">
        <w:rPr>
          <w:rFonts w:ascii="Verdana" w:hAnsi="Verdana"/>
        </w:rPr>
        <w:t>grant award</w:t>
      </w:r>
      <w:r w:rsidRPr="006209C9">
        <w:rPr>
          <w:rFonts w:ascii="Verdana" w:hAnsi="Verdana"/>
          <w:spacing w:val="-4"/>
        </w:rPr>
        <w:t xml:space="preserve"> </w:t>
      </w:r>
      <w:r w:rsidRPr="006209C9">
        <w:rPr>
          <w:rFonts w:ascii="Verdana" w:hAnsi="Verdana"/>
        </w:rPr>
        <w:t>is</w:t>
      </w:r>
      <w:r w:rsidRPr="006209C9">
        <w:rPr>
          <w:rFonts w:ascii="Verdana" w:hAnsi="Verdana"/>
          <w:spacing w:val="-7"/>
        </w:rPr>
        <w:t xml:space="preserve"> </w:t>
      </w:r>
      <w:r w:rsidRPr="006209C9">
        <w:rPr>
          <w:rFonts w:ascii="Verdana" w:hAnsi="Verdana"/>
        </w:rPr>
        <w:t>subject</w:t>
      </w:r>
      <w:r w:rsidRPr="006209C9">
        <w:rPr>
          <w:rFonts w:ascii="Verdana" w:hAnsi="Verdana"/>
          <w:spacing w:val="-5"/>
        </w:rPr>
        <w:t xml:space="preserve"> </w:t>
      </w:r>
      <w:r w:rsidRPr="006209C9">
        <w:rPr>
          <w:rFonts w:ascii="Verdana" w:hAnsi="Verdana"/>
        </w:rPr>
        <w:t>to</w:t>
      </w:r>
      <w:r w:rsidRPr="006209C9">
        <w:rPr>
          <w:rFonts w:ascii="Verdana" w:hAnsi="Verdana"/>
          <w:spacing w:val="-4"/>
        </w:rPr>
        <w:t xml:space="preserve"> </w:t>
      </w:r>
      <w:r w:rsidRPr="006209C9">
        <w:rPr>
          <w:rFonts w:ascii="Verdana" w:hAnsi="Verdana"/>
        </w:rPr>
        <w:t>the</w:t>
      </w:r>
      <w:r w:rsidRPr="006209C9">
        <w:rPr>
          <w:rFonts w:ascii="Verdana" w:hAnsi="Verdana"/>
          <w:spacing w:val="-4"/>
        </w:rPr>
        <w:t xml:space="preserve"> </w:t>
      </w:r>
      <w:r w:rsidRPr="006209C9">
        <w:rPr>
          <w:rFonts w:ascii="Verdana" w:hAnsi="Verdana"/>
        </w:rPr>
        <w:t>requirements</w:t>
      </w:r>
      <w:r w:rsidRPr="006209C9">
        <w:rPr>
          <w:rFonts w:ascii="Verdana" w:hAnsi="Verdana"/>
          <w:spacing w:val="-3"/>
        </w:rPr>
        <w:t xml:space="preserve"> </w:t>
      </w:r>
      <w:r w:rsidRPr="006209C9">
        <w:rPr>
          <w:rFonts w:ascii="Verdana" w:hAnsi="Verdana"/>
        </w:rPr>
        <w:t>in Section</w:t>
      </w:r>
      <w:r w:rsidRPr="006209C9">
        <w:rPr>
          <w:rFonts w:ascii="Verdana" w:hAnsi="Verdana"/>
          <w:spacing w:val="-4"/>
        </w:rPr>
        <w:t xml:space="preserve"> </w:t>
      </w:r>
      <w:r w:rsidRPr="006209C9">
        <w:rPr>
          <w:rFonts w:ascii="Verdana" w:hAnsi="Verdana"/>
        </w:rPr>
        <w:t>106(g)</w:t>
      </w:r>
      <w:r w:rsidRPr="006209C9">
        <w:rPr>
          <w:rFonts w:ascii="Verdana" w:hAnsi="Verdana"/>
          <w:spacing w:val="-3"/>
        </w:rPr>
        <w:t xml:space="preserve"> </w:t>
      </w:r>
      <w:r w:rsidRPr="006209C9">
        <w:rPr>
          <w:rFonts w:ascii="Verdana" w:hAnsi="Verdana"/>
        </w:rPr>
        <w:t>of</w:t>
      </w:r>
      <w:r w:rsidRPr="006209C9">
        <w:rPr>
          <w:rFonts w:ascii="Verdana" w:hAnsi="Verdana"/>
          <w:spacing w:val="-4"/>
        </w:rPr>
        <w:t xml:space="preserve"> </w:t>
      </w:r>
      <w:r w:rsidRPr="006209C9">
        <w:rPr>
          <w:rFonts w:ascii="Verdana" w:hAnsi="Verdana"/>
        </w:rPr>
        <w:t>the</w:t>
      </w:r>
      <w:r w:rsidRPr="006209C9">
        <w:rPr>
          <w:rFonts w:ascii="Verdana" w:hAnsi="Verdana"/>
          <w:spacing w:val="-2"/>
        </w:rPr>
        <w:t xml:space="preserve"> </w:t>
      </w:r>
      <w:r w:rsidRPr="006209C9">
        <w:rPr>
          <w:rFonts w:ascii="Verdana" w:hAnsi="Verdana"/>
        </w:rPr>
        <w:t>Trafficking</w:t>
      </w:r>
      <w:r w:rsidRPr="006209C9">
        <w:rPr>
          <w:rFonts w:ascii="Verdana" w:hAnsi="Verdana"/>
          <w:spacing w:val="-4"/>
        </w:rPr>
        <w:t xml:space="preserve"> </w:t>
      </w:r>
      <w:r w:rsidRPr="006209C9">
        <w:rPr>
          <w:rFonts w:ascii="Verdana" w:hAnsi="Verdana"/>
        </w:rPr>
        <w:t>Victims Protection Act of 2000, as a</w:t>
      </w:r>
      <w:hyperlink r:id="rId12">
        <w:r w:rsidRPr="006209C9">
          <w:rPr>
            <w:rFonts w:ascii="Verdana" w:hAnsi="Verdana"/>
          </w:rPr>
          <w:t>mended (22 U.S.C. § 7104). The full text of this requirement is</w:t>
        </w:r>
      </w:hyperlink>
      <w:r w:rsidRPr="006209C9">
        <w:rPr>
          <w:rFonts w:ascii="Verdana" w:hAnsi="Verdana"/>
        </w:rPr>
        <w:t xml:space="preserve"> </w:t>
      </w:r>
      <w:hyperlink r:id="rId13">
        <w:r w:rsidRPr="006209C9">
          <w:rPr>
            <w:rFonts w:ascii="Verdana" w:hAnsi="Verdana"/>
          </w:rPr>
          <w:t>found on</w:t>
        </w:r>
        <w:r w:rsidRPr="006209C9">
          <w:rPr>
            <w:rFonts w:ascii="Verdana" w:hAnsi="Verdana"/>
            <w:spacing w:val="-2"/>
          </w:rPr>
          <w:t xml:space="preserve"> </w:t>
        </w:r>
        <w:r w:rsidRPr="006209C9">
          <w:rPr>
            <w:rFonts w:ascii="Verdana" w:hAnsi="Verdana"/>
          </w:rPr>
          <w:t>the</w:t>
        </w:r>
        <w:r w:rsidRPr="006209C9">
          <w:rPr>
            <w:rFonts w:ascii="Verdana" w:hAnsi="Verdana"/>
            <w:spacing w:val="-2"/>
          </w:rPr>
          <w:t xml:space="preserve"> </w:t>
        </w:r>
        <w:r w:rsidRPr="006209C9">
          <w:rPr>
            <w:rFonts w:ascii="Verdana" w:hAnsi="Verdana"/>
          </w:rPr>
          <w:t>HHS ACF</w:t>
        </w:r>
      </w:hyperlink>
      <w:r w:rsidRPr="006209C9">
        <w:rPr>
          <w:rFonts w:ascii="Verdana" w:hAnsi="Verdana"/>
        </w:rPr>
        <w:t xml:space="preserve"> Web</w:t>
      </w:r>
      <w:r w:rsidRPr="006209C9">
        <w:rPr>
          <w:rFonts w:ascii="Verdana" w:hAnsi="Verdana"/>
          <w:spacing w:val="-2"/>
        </w:rPr>
        <w:t xml:space="preserve"> </w:t>
      </w:r>
      <w:r w:rsidRPr="006209C9">
        <w:rPr>
          <w:rFonts w:ascii="Verdana" w:hAnsi="Verdana"/>
        </w:rPr>
        <w:t>site</w:t>
      </w:r>
      <w:r w:rsidRPr="006209C9">
        <w:rPr>
          <w:rFonts w:ascii="Verdana" w:hAnsi="Verdana"/>
          <w:spacing w:val="-2"/>
        </w:rPr>
        <w:t xml:space="preserve"> </w:t>
      </w:r>
      <w:r w:rsidRPr="006209C9">
        <w:rPr>
          <w:rFonts w:ascii="Verdana" w:hAnsi="Verdana"/>
        </w:rPr>
        <w:t>at:</w:t>
      </w:r>
      <w:r w:rsidRPr="006209C9">
        <w:rPr>
          <w:rFonts w:ascii="Verdana" w:hAnsi="Verdana"/>
          <w:spacing w:val="-2"/>
        </w:rPr>
        <w:t xml:space="preserve"> </w:t>
      </w:r>
      <w:hyperlink r:id="rId14" w:history="1">
        <w:r w:rsidR="001E5DFA" w:rsidRPr="001E5DFA">
          <w:rPr>
            <w:rStyle w:val="Hyperlink"/>
            <w:rFonts w:ascii="Verdana" w:hAnsi="Verdana"/>
            <w:spacing w:val="-2"/>
          </w:rPr>
          <w:t>https://www.acf.hhs.gov/grants/award-term-and-condition-trafficking-persons</w:t>
        </w:r>
      </w:hyperlink>
      <w:r w:rsidR="004229B6">
        <w:rPr>
          <w:rFonts w:ascii="Verdana" w:hAnsi="Verdana"/>
          <w:spacing w:val="-2"/>
        </w:rPr>
        <w:t>.</w:t>
      </w:r>
    </w:p>
    <w:p w14:paraId="2D5CA48D" w14:textId="6D07833D" w:rsidR="00A65AAF" w:rsidRPr="00B2166D" w:rsidRDefault="000C7735" w:rsidP="00EE6BC1">
      <w:pPr>
        <w:pStyle w:val="Heading1"/>
        <w:numPr>
          <w:ilvl w:val="0"/>
          <w:numId w:val="2"/>
        </w:numPr>
        <w:tabs>
          <w:tab w:val="left" w:pos="720"/>
        </w:tabs>
        <w:spacing w:after="240" w:line="360" w:lineRule="auto"/>
        <w:ind w:left="720"/>
        <w:rPr>
          <w:rFonts w:ascii="Verdana" w:hAnsi="Verdana"/>
        </w:rPr>
      </w:pPr>
      <w:r w:rsidRPr="00B2166D">
        <w:rPr>
          <w:rFonts w:ascii="Verdana" w:hAnsi="Verdana"/>
        </w:rPr>
        <w:t>Reporting of Violations of Federal Criminal Law</w:t>
      </w:r>
    </w:p>
    <w:p w14:paraId="64CC7532" w14:textId="083668F4" w:rsidR="008017F5" w:rsidRPr="008017F5" w:rsidRDefault="00462131" w:rsidP="008017F5">
      <w:pPr>
        <w:pStyle w:val="BodyText"/>
        <w:tabs>
          <w:tab w:val="left" w:pos="0"/>
        </w:tabs>
        <w:spacing w:after="240" w:line="360" w:lineRule="auto"/>
        <w:rPr>
          <w:rFonts w:ascii="Verdana" w:hAnsi="Verdana"/>
        </w:rPr>
      </w:pPr>
      <w:r w:rsidRPr="00462131">
        <w:rPr>
          <w:rFonts w:ascii="Verdana" w:hAnsi="Verdana"/>
        </w:rPr>
        <w:t xml:space="preserve">Consistent with 45 </w:t>
      </w:r>
      <w:r w:rsidR="00CD1C97">
        <w:rPr>
          <w:rFonts w:ascii="Verdana" w:hAnsi="Verdana"/>
        </w:rPr>
        <w:t>C.F.R.</w:t>
      </w:r>
      <w:r w:rsidRPr="00462131">
        <w:rPr>
          <w:rFonts w:ascii="Verdana" w:hAnsi="Verdana"/>
        </w:rPr>
        <w:t xml:space="preserve"> </w:t>
      </w:r>
      <w:r w:rsidR="00CF1089" w:rsidRPr="006209C9">
        <w:rPr>
          <w:rFonts w:ascii="Verdana" w:hAnsi="Verdana"/>
        </w:rPr>
        <w:t>§</w:t>
      </w:r>
      <w:r w:rsidR="00175F39">
        <w:rPr>
          <w:rFonts w:ascii="Verdana" w:hAnsi="Verdana"/>
        </w:rPr>
        <w:t xml:space="preserve"> </w:t>
      </w:r>
      <w:r w:rsidRPr="00462131">
        <w:rPr>
          <w:rFonts w:ascii="Verdana" w:hAnsi="Verdana"/>
        </w:rPr>
        <w:t>75.113, applicants and recipients must disclose in a timely manner, in writing to the HHS awarding agency, with a copy to the HHS Office of Inspector General (OIG), all information related to violations of federal criminal law involving fraud, bribery, or gratuity violations potentially affecting the federal award. Subrecipients must disclose, in a timely manner, in writing to the prime recipient (pass through entity) and the HHS OIG, all information related to violations of federal criminal law involving fraud, bribery, or gratuity violations potentially affecting the federal award.</w:t>
      </w:r>
      <w:r w:rsidR="00684C62">
        <w:rPr>
          <w:rFonts w:ascii="Verdana" w:hAnsi="Verdana"/>
        </w:rPr>
        <w:t xml:space="preserve"> </w:t>
      </w:r>
      <w:r w:rsidR="008017F5" w:rsidRPr="008017F5">
        <w:rPr>
          <w:rFonts w:ascii="Verdana" w:hAnsi="Verdana"/>
        </w:rPr>
        <w:t>Disclosures must be sent in writing to the OGM and the HHS OIG at the following addresses:</w:t>
      </w:r>
    </w:p>
    <w:p w14:paraId="58B489AC"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The Administration for Children and Families</w:t>
      </w:r>
    </w:p>
    <w:p w14:paraId="5AE565E4"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U.S. Department of Health and Human Services</w:t>
      </w:r>
    </w:p>
    <w:p w14:paraId="0BEA6280"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Office of Grants Management</w:t>
      </w:r>
    </w:p>
    <w:p w14:paraId="3728D97D"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lastRenderedPageBreak/>
        <w:t>ATTN: [Insert Name of assigned Grants Management Specialist]</w:t>
      </w:r>
    </w:p>
    <w:p w14:paraId="0456A687"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330 C Street, SW., Switzer Building Corridor 3200</w:t>
      </w:r>
    </w:p>
    <w:p w14:paraId="15EFF5BF" w14:textId="77777777" w:rsidR="008017F5" w:rsidRPr="008017F5" w:rsidRDefault="008017F5" w:rsidP="005839BB">
      <w:pPr>
        <w:pStyle w:val="BodyText"/>
        <w:tabs>
          <w:tab w:val="left" w:pos="0"/>
        </w:tabs>
        <w:spacing w:line="360" w:lineRule="auto"/>
        <w:rPr>
          <w:rFonts w:ascii="Verdana" w:hAnsi="Verdana"/>
        </w:rPr>
      </w:pPr>
      <w:r w:rsidRPr="008017F5">
        <w:rPr>
          <w:rFonts w:ascii="Verdana" w:hAnsi="Verdana"/>
        </w:rPr>
        <w:t>Washington, DC 20201</w:t>
      </w:r>
    </w:p>
    <w:p w14:paraId="31B3677F" w14:textId="77777777" w:rsidR="008017F5" w:rsidRPr="008017F5" w:rsidRDefault="008017F5" w:rsidP="00EE6BC1">
      <w:pPr>
        <w:pStyle w:val="BodyText"/>
        <w:tabs>
          <w:tab w:val="left" w:pos="0"/>
        </w:tabs>
        <w:spacing w:after="240"/>
        <w:contextualSpacing/>
        <w:rPr>
          <w:rFonts w:ascii="Verdana" w:hAnsi="Verdana"/>
        </w:rPr>
      </w:pPr>
    </w:p>
    <w:p w14:paraId="4A963513" w14:textId="77777777" w:rsidR="008017F5" w:rsidRPr="008017F5" w:rsidRDefault="008017F5" w:rsidP="005839BB">
      <w:pPr>
        <w:pStyle w:val="BodyText"/>
        <w:tabs>
          <w:tab w:val="left" w:pos="0"/>
        </w:tabs>
        <w:spacing w:after="240" w:line="360" w:lineRule="auto"/>
        <w:contextualSpacing/>
        <w:rPr>
          <w:rFonts w:ascii="Verdana" w:hAnsi="Verdana"/>
        </w:rPr>
      </w:pPr>
      <w:r w:rsidRPr="008017F5">
        <w:rPr>
          <w:rFonts w:ascii="Verdana" w:hAnsi="Verdana"/>
        </w:rPr>
        <w:t>AND</w:t>
      </w:r>
    </w:p>
    <w:p w14:paraId="7F7EEDBE" w14:textId="77777777" w:rsidR="008017F5" w:rsidRPr="008017F5" w:rsidRDefault="008017F5" w:rsidP="00EE6BC1">
      <w:pPr>
        <w:pStyle w:val="BodyText"/>
        <w:tabs>
          <w:tab w:val="left" w:pos="0"/>
        </w:tabs>
        <w:spacing w:after="240"/>
        <w:contextualSpacing/>
        <w:rPr>
          <w:rFonts w:ascii="Verdana" w:hAnsi="Verdana"/>
        </w:rPr>
      </w:pPr>
    </w:p>
    <w:p w14:paraId="43739C0B"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U.S. Department of Health and Human Services</w:t>
      </w:r>
    </w:p>
    <w:p w14:paraId="47DB1DD5"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Office of Inspector General</w:t>
      </w:r>
    </w:p>
    <w:p w14:paraId="70AADBCA"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ATTN: Mandatory Grant Disclosures, Intake Coordinator</w:t>
      </w:r>
    </w:p>
    <w:p w14:paraId="65784A08"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330 Independence Avenue, SW., Cohen Building</w:t>
      </w:r>
    </w:p>
    <w:p w14:paraId="35340627"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Room 5527</w:t>
      </w:r>
    </w:p>
    <w:p w14:paraId="60E64EC0" w14:textId="77777777" w:rsidR="008017F5" w:rsidRPr="008017F5" w:rsidRDefault="008017F5" w:rsidP="005839BB">
      <w:pPr>
        <w:pStyle w:val="BodyText"/>
        <w:tabs>
          <w:tab w:val="left" w:pos="0"/>
        </w:tabs>
        <w:spacing w:after="120" w:line="360" w:lineRule="auto"/>
        <w:rPr>
          <w:rFonts w:ascii="Verdana" w:hAnsi="Verdana"/>
        </w:rPr>
      </w:pPr>
      <w:r w:rsidRPr="008017F5">
        <w:rPr>
          <w:rFonts w:ascii="Verdana" w:hAnsi="Verdana"/>
        </w:rPr>
        <w:t>Washington, DC 20201</w:t>
      </w:r>
    </w:p>
    <w:p w14:paraId="424805AC" w14:textId="77777777" w:rsidR="008017F5" w:rsidRDefault="008017F5" w:rsidP="005839BB">
      <w:pPr>
        <w:pStyle w:val="BodyText"/>
        <w:tabs>
          <w:tab w:val="left" w:pos="0"/>
        </w:tabs>
        <w:spacing w:after="120" w:line="360" w:lineRule="auto"/>
        <w:rPr>
          <w:rFonts w:ascii="Verdana" w:hAnsi="Verdana"/>
        </w:rPr>
      </w:pPr>
      <w:r w:rsidRPr="008017F5">
        <w:rPr>
          <w:rFonts w:ascii="Verdana" w:hAnsi="Verdana"/>
        </w:rPr>
        <w:t xml:space="preserve">Fax: (202) 205-0604 (Include “Mandatory Grant Disclosures” in subject line) </w:t>
      </w:r>
    </w:p>
    <w:p w14:paraId="7537142C" w14:textId="4A00012C" w:rsidR="008017F5" w:rsidRPr="008017F5" w:rsidRDefault="00EE6BC1" w:rsidP="005839BB">
      <w:pPr>
        <w:pStyle w:val="BodyText"/>
        <w:tabs>
          <w:tab w:val="left" w:pos="0"/>
        </w:tabs>
        <w:spacing w:after="120" w:line="360" w:lineRule="auto"/>
        <w:rPr>
          <w:rFonts w:ascii="Verdana" w:hAnsi="Verdana"/>
        </w:rPr>
      </w:pPr>
      <w:r>
        <w:rPr>
          <w:rFonts w:ascii="Verdana" w:hAnsi="Verdana"/>
        </w:rPr>
        <w:t>OR</w:t>
      </w:r>
    </w:p>
    <w:p w14:paraId="750D4E7A" w14:textId="77777777" w:rsidR="008017F5" w:rsidRPr="008017F5" w:rsidRDefault="008017F5" w:rsidP="00951685">
      <w:pPr>
        <w:pStyle w:val="BodyText"/>
        <w:tabs>
          <w:tab w:val="left" w:pos="0"/>
        </w:tabs>
        <w:spacing w:after="240" w:line="360" w:lineRule="auto"/>
        <w:rPr>
          <w:rFonts w:ascii="Verdana" w:hAnsi="Verdana"/>
        </w:rPr>
      </w:pPr>
      <w:r w:rsidRPr="008017F5">
        <w:rPr>
          <w:rFonts w:ascii="Verdana" w:hAnsi="Verdana"/>
        </w:rPr>
        <w:t>Email: MandatoryGranteeDisclosures@oig.hhs.gov</w:t>
      </w:r>
    </w:p>
    <w:p w14:paraId="7786EE30" w14:textId="79442683" w:rsidR="008017F5" w:rsidRDefault="008017F5" w:rsidP="008017F5">
      <w:pPr>
        <w:pStyle w:val="BodyText"/>
        <w:tabs>
          <w:tab w:val="left" w:pos="0"/>
        </w:tabs>
        <w:spacing w:after="240" w:line="360" w:lineRule="auto"/>
        <w:rPr>
          <w:rFonts w:ascii="Verdana" w:hAnsi="Verdana"/>
        </w:rPr>
      </w:pPr>
      <w:r w:rsidRPr="008017F5">
        <w:rPr>
          <w:rFonts w:ascii="Verdana" w:hAnsi="Verdana"/>
        </w:rPr>
        <w:t xml:space="preserve">Failure to comply may result in any noncompliance remedies in accordance with 45 </w:t>
      </w:r>
      <w:r w:rsidR="00CD1C97">
        <w:rPr>
          <w:rFonts w:ascii="Verdana" w:hAnsi="Verdana"/>
        </w:rPr>
        <w:t>C.F.R.</w:t>
      </w:r>
      <w:r w:rsidRPr="008017F5">
        <w:rPr>
          <w:rFonts w:ascii="Verdana" w:hAnsi="Verdana"/>
        </w:rPr>
        <w:t xml:space="preserve"> §</w:t>
      </w:r>
      <w:r w:rsidR="00175F39">
        <w:rPr>
          <w:rFonts w:ascii="Verdana" w:hAnsi="Verdana"/>
        </w:rPr>
        <w:t xml:space="preserve"> </w:t>
      </w:r>
      <w:r w:rsidRPr="008017F5">
        <w:rPr>
          <w:rFonts w:ascii="Verdana" w:hAnsi="Verdana"/>
        </w:rPr>
        <w:t xml:space="preserve">75.371 , including debarment and suspension. (See also 2 </w:t>
      </w:r>
      <w:r w:rsidR="00CD1C97">
        <w:rPr>
          <w:rFonts w:ascii="Verdana" w:hAnsi="Verdana"/>
        </w:rPr>
        <w:t>C.F.R.</w:t>
      </w:r>
      <w:r w:rsidRPr="008017F5">
        <w:rPr>
          <w:rFonts w:ascii="Verdana" w:hAnsi="Verdana"/>
        </w:rPr>
        <w:t xml:space="preserve"> Parts 180 and 376 , and 31 U.S.C. </w:t>
      </w:r>
      <w:r w:rsidR="0049054B" w:rsidRPr="004127FC">
        <w:rPr>
          <w:rFonts w:ascii="Verdana" w:hAnsi="Verdana"/>
        </w:rPr>
        <w:t xml:space="preserve">§ </w:t>
      </w:r>
      <w:r w:rsidRPr="008017F5">
        <w:rPr>
          <w:rFonts w:ascii="Verdana" w:hAnsi="Verdana"/>
        </w:rPr>
        <w:t>3321 ). For more information on FAPIIS, please see the Appendix XII of Part 75 - Award Term and Condition for Recipient Integrity and Performance Matters .</w:t>
      </w:r>
    </w:p>
    <w:p w14:paraId="1E44874A" w14:textId="37AB912D" w:rsidR="003D6362" w:rsidRDefault="004627D7" w:rsidP="00EE6BC1">
      <w:pPr>
        <w:pStyle w:val="Heading1"/>
        <w:numPr>
          <w:ilvl w:val="0"/>
          <w:numId w:val="2"/>
        </w:numPr>
        <w:tabs>
          <w:tab w:val="left" w:pos="720"/>
        </w:tabs>
        <w:spacing w:after="240" w:line="360" w:lineRule="auto"/>
        <w:ind w:left="720"/>
        <w:rPr>
          <w:rFonts w:ascii="Verdana" w:hAnsi="Verdana"/>
        </w:rPr>
      </w:pPr>
      <w:r w:rsidRPr="0049580C">
        <w:rPr>
          <w:rFonts w:ascii="Verdana" w:hAnsi="Verdana"/>
        </w:rPr>
        <w:t xml:space="preserve">Standards for </w:t>
      </w:r>
      <w:r w:rsidR="0049580C" w:rsidRPr="0049580C">
        <w:rPr>
          <w:rFonts w:ascii="Verdana" w:hAnsi="Verdana"/>
        </w:rPr>
        <w:t>Financial and Program Management</w:t>
      </w:r>
    </w:p>
    <w:p w14:paraId="037E36DE" w14:textId="369A0A17" w:rsidR="00E15895" w:rsidRPr="005839BB" w:rsidRDefault="0049580C" w:rsidP="005839BB">
      <w:pPr>
        <w:pStyle w:val="Heading2"/>
        <w:rPr>
          <w:b/>
          <w:bCs/>
        </w:rPr>
      </w:pPr>
      <w:r w:rsidRPr="007F20EC">
        <w:t xml:space="preserve">This award is subject to the requirements as set forth in 45 </w:t>
      </w:r>
      <w:r w:rsidR="00CD1C97">
        <w:t>C.F.R.</w:t>
      </w:r>
      <w:r w:rsidRPr="007F20EC">
        <w:t xml:space="preserve"> Part 75</w:t>
      </w:r>
      <w:r w:rsidR="007942F7">
        <w:t xml:space="preserve">. </w:t>
      </w:r>
      <w:r w:rsidR="00790CA3" w:rsidRPr="007F20EC">
        <w:t>Cost</w:t>
      </w:r>
      <w:r w:rsidR="00D235D5" w:rsidRPr="007F20EC">
        <w:t xml:space="preserve">s must comply with 45 </w:t>
      </w:r>
      <w:r w:rsidR="00CD1C97">
        <w:t>C.F.R.</w:t>
      </w:r>
      <w:r w:rsidR="00D235D5" w:rsidRPr="007F20EC">
        <w:t xml:space="preserve"> </w:t>
      </w:r>
      <w:r w:rsidR="003B668A" w:rsidRPr="007F20EC">
        <w:t>§</w:t>
      </w:r>
      <w:r w:rsidR="006B171A" w:rsidRPr="004127FC">
        <w:t xml:space="preserve">§ </w:t>
      </w:r>
      <w:r w:rsidR="003B668A" w:rsidRPr="007F20EC">
        <w:t>75.400</w:t>
      </w:r>
      <w:r w:rsidR="005839BB">
        <w:t xml:space="preserve"> – </w:t>
      </w:r>
      <w:r w:rsidR="003B668A" w:rsidRPr="007F20EC">
        <w:t>75.477</w:t>
      </w:r>
      <w:r w:rsidR="007942F7">
        <w:t xml:space="preserve">. </w:t>
      </w:r>
    </w:p>
    <w:p w14:paraId="60338601" w14:textId="38D9A032" w:rsidR="00996CE8" w:rsidRPr="005839BB" w:rsidRDefault="00F4068E" w:rsidP="005839BB">
      <w:pPr>
        <w:pStyle w:val="Heading2"/>
        <w:rPr>
          <w:b/>
          <w:bCs/>
        </w:rPr>
      </w:pPr>
      <w:r w:rsidRPr="00DD53C6">
        <w:t xml:space="preserve">Procurement procedures must comply with 45 </w:t>
      </w:r>
      <w:r w:rsidR="00CD1C97">
        <w:t>C.F.R.</w:t>
      </w:r>
      <w:r w:rsidRPr="00DD53C6">
        <w:t xml:space="preserve"> §</w:t>
      </w:r>
      <w:r w:rsidR="005B16E0" w:rsidRPr="00DD53C6">
        <w:t xml:space="preserve">§ </w:t>
      </w:r>
      <w:r w:rsidRPr="00DD53C6">
        <w:t xml:space="preserve">75.326 and </w:t>
      </w:r>
      <w:r w:rsidR="003C4097" w:rsidRPr="00DD53C6">
        <w:t>75.335 procurement standards</w:t>
      </w:r>
      <w:r w:rsidR="007942F7">
        <w:t xml:space="preserve">. </w:t>
      </w:r>
    </w:p>
    <w:p w14:paraId="016CE45E" w14:textId="4896E748" w:rsidR="00E15895" w:rsidRPr="004B63C6" w:rsidRDefault="001D0712" w:rsidP="005839BB">
      <w:pPr>
        <w:pStyle w:val="Heading2"/>
      </w:pPr>
      <w:r w:rsidRPr="004B63C6">
        <w:lastRenderedPageBreak/>
        <w:t>States must follow the same proc</w:t>
      </w:r>
      <w:r w:rsidR="0069243C" w:rsidRPr="004B63C6">
        <w:t xml:space="preserve">edures used for non-federal funds and must include contract provisions noted in 45 </w:t>
      </w:r>
      <w:r w:rsidR="00CD1C97" w:rsidRPr="004B63C6">
        <w:t>C.F.R.</w:t>
      </w:r>
      <w:r w:rsidR="0069243C" w:rsidRPr="004B63C6">
        <w:t xml:space="preserve"> Part 75 Appendix II.</w:t>
      </w:r>
      <w:r w:rsidR="00E15895" w:rsidRPr="004B63C6">
        <w:t xml:space="preserve"> </w:t>
      </w:r>
    </w:p>
    <w:p w14:paraId="7D9F3517" w14:textId="4927E321" w:rsidR="00996CE8" w:rsidRPr="004B63C6" w:rsidRDefault="006B3D1E" w:rsidP="005839BB">
      <w:pPr>
        <w:pStyle w:val="Heading2"/>
      </w:pPr>
      <w:r w:rsidRPr="004B63C6">
        <w:t xml:space="preserve">Subrecipient and contractor determinations, requirements for pass-through entities, and fixed amount subawards </w:t>
      </w:r>
      <w:r w:rsidR="008A3FA9" w:rsidRPr="004B63C6">
        <w:t xml:space="preserve">must comply with 45 </w:t>
      </w:r>
      <w:r w:rsidR="00CD1C97" w:rsidRPr="004B63C6">
        <w:t>C.F.R.</w:t>
      </w:r>
      <w:r w:rsidR="008A3FA9" w:rsidRPr="004B63C6">
        <w:t xml:space="preserve"> </w:t>
      </w:r>
      <w:r w:rsidR="006B171A" w:rsidRPr="004B63C6">
        <w:t xml:space="preserve">§§ </w:t>
      </w:r>
      <w:r w:rsidR="008A3FA9" w:rsidRPr="004B63C6">
        <w:t>75.351</w:t>
      </w:r>
      <w:r w:rsidR="001439E9" w:rsidRPr="004B63C6">
        <w:t xml:space="preserve"> </w:t>
      </w:r>
      <w:r w:rsidR="00F23CFB">
        <w:t>–</w:t>
      </w:r>
      <w:r w:rsidR="00F23CFB" w:rsidRPr="004B63C6">
        <w:t xml:space="preserve"> </w:t>
      </w:r>
      <w:r w:rsidR="001439E9" w:rsidRPr="004B63C6">
        <w:t>75.353</w:t>
      </w:r>
      <w:r w:rsidR="008A3FA9" w:rsidRPr="004B63C6">
        <w:t>.</w:t>
      </w:r>
      <w:r w:rsidR="00CD1C97" w:rsidRPr="004B63C6">
        <w:t xml:space="preserve"> </w:t>
      </w:r>
    </w:p>
    <w:p w14:paraId="757AB089" w14:textId="77777777" w:rsidR="00951685" w:rsidRPr="004B63C6" w:rsidRDefault="000D0286" w:rsidP="005839BB">
      <w:pPr>
        <w:pStyle w:val="Heading2"/>
      </w:pPr>
      <w:r w:rsidRPr="004B63C6">
        <w:t xml:space="preserve">Indirect costs must comply with 45 </w:t>
      </w:r>
      <w:r w:rsidR="00CD1C97" w:rsidRPr="004B63C6">
        <w:t>C.F.R.</w:t>
      </w:r>
      <w:r w:rsidRPr="004B63C6">
        <w:t xml:space="preserve"> § 75.414. Indirect cost rates must be based on a current Indirect Cost Rate Agreement approved by the non-federal entity’s cognizant federal agency. A de minimis rate of 10% of Modified Total Direct Costs (MTDC) may only be used by a non-federal entity that has never received a federally negotiated indirect cost rate agreement. Note: A governmental department/agency that receives more than $35M in direct federal funding must submit an indirect cost rate proposal to its cognizant agency for indirect costs.</w:t>
      </w:r>
      <w:r w:rsidR="00951685" w:rsidRPr="004B63C6">
        <w:t xml:space="preserve"> </w:t>
      </w:r>
    </w:p>
    <w:p w14:paraId="21F59A2E" w14:textId="77777777" w:rsidR="00951685" w:rsidRPr="004B63C6" w:rsidRDefault="00165535" w:rsidP="005839BB">
      <w:pPr>
        <w:pStyle w:val="Heading2"/>
      </w:pPr>
      <w:r w:rsidRPr="004B63C6">
        <w:t xml:space="preserve">Prior approval requirements in 45 </w:t>
      </w:r>
      <w:r w:rsidR="00CD1C97" w:rsidRPr="004B63C6">
        <w:t>C.F.R.</w:t>
      </w:r>
      <w:r w:rsidRPr="004B63C6">
        <w:t xml:space="preserve"> §</w:t>
      </w:r>
      <w:r w:rsidR="00175F39" w:rsidRPr="004B63C6">
        <w:t xml:space="preserve"> </w:t>
      </w:r>
      <w:r w:rsidRPr="004B63C6">
        <w:t>75.308(d) are not waived. Grant recipients must request prior approval for pre-award costs, one-time extension of the period of performance, and carryover of unobligated balances.</w:t>
      </w:r>
      <w:r w:rsidR="00951685" w:rsidRPr="004B63C6">
        <w:t xml:space="preserve"> </w:t>
      </w:r>
    </w:p>
    <w:p w14:paraId="7076165D" w14:textId="754CE4E2" w:rsidR="00165535" w:rsidRPr="005839BB" w:rsidRDefault="00307459" w:rsidP="005839BB">
      <w:pPr>
        <w:pStyle w:val="Heading2"/>
      </w:pPr>
      <w:r w:rsidRPr="004B63C6">
        <w:t xml:space="preserve">Participant Support Costs require prior approval per 45 </w:t>
      </w:r>
      <w:r w:rsidR="00CD1C97" w:rsidRPr="004B63C6">
        <w:t>C.F.R.</w:t>
      </w:r>
      <w:r w:rsidRPr="004B63C6">
        <w:t xml:space="preserve"> §</w:t>
      </w:r>
      <w:r w:rsidR="00175F39" w:rsidRPr="004B63C6">
        <w:t xml:space="preserve"> </w:t>
      </w:r>
      <w:r w:rsidRPr="004B63C6">
        <w:t>75.456.</w:t>
      </w:r>
    </w:p>
    <w:p w14:paraId="1E65DB1E" w14:textId="77777777" w:rsidR="00A65AAF" w:rsidRPr="006209C9" w:rsidRDefault="00A824A8" w:rsidP="00EE6BC1">
      <w:pPr>
        <w:pStyle w:val="Heading1"/>
        <w:numPr>
          <w:ilvl w:val="0"/>
          <w:numId w:val="2"/>
        </w:numPr>
        <w:tabs>
          <w:tab w:val="left" w:pos="720"/>
        </w:tabs>
        <w:spacing w:after="240" w:line="360" w:lineRule="auto"/>
        <w:ind w:left="720"/>
        <w:rPr>
          <w:rFonts w:ascii="Verdana" w:hAnsi="Verdana"/>
        </w:rPr>
      </w:pPr>
      <w:r w:rsidRPr="006209C9">
        <w:rPr>
          <w:rFonts w:ascii="Verdana" w:hAnsi="Verdana"/>
        </w:rPr>
        <w:t>Non-Discrimination</w:t>
      </w:r>
      <w:r w:rsidRPr="006209C9">
        <w:rPr>
          <w:rFonts w:ascii="Verdana" w:hAnsi="Verdana"/>
          <w:spacing w:val="-6"/>
        </w:rPr>
        <w:t xml:space="preserve"> </w:t>
      </w:r>
      <w:r w:rsidRPr="006209C9">
        <w:rPr>
          <w:rFonts w:ascii="Verdana" w:hAnsi="Verdana"/>
        </w:rPr>
        <w:t>Legal</w:t>
      </w:r>
      <w:r w:rsidRPr="006209C9">
        <w:rPr>
          <w:rFonts w:ascii="Verdana" w:hAnsi="Verdana"/>
          <w:spacing w:val="-2"/>
        </w:rPr>
        <w:t xml:space="preserve"> </w:t>
      </w:r>
      <w:r w:rsidRPr="006209C9">
        <w:rPr>
          <w:rFonts w:ascii="Verdana" w:hAnsi="Verdana"/>
        </w:rPr>
        <w:t>Requirements</w:t>
      </w:r>
      <w:r w:rsidRPr="006209C9">
        <w:rPr>
          <w:rFonts w:ascii="Verdana" w:hAnsi="Verdana"/>
          <w:spacing w:val="-3"/>
        </w:rPr>
        <w:t xml:space="preserve"> </w:t>
      </w:r>
      <w:r w:rsidRPr="006209C9">
        <w:rPr>
          <w:rFonts w:ascii="Verdana" w:hAnsi="Verdana"/>
        </w:rPr>
        <w:t>for</w:t>
      </w:r>
      <w:r w:rsidRPr="006209C9">
        <w:rPr>
          <w:rFonts w:ascii="Verdana" w:hAnsi="Verdana"/>
          <w:spacing w:val="-2"/>
        </w:rPr>
        <w:t xml:space="preserve"> </w:t>
      </w:r>
      <w:r w:rsidRPr="006209C9">
        <w:rPr>
          <w:rFonts w:ascii="Verdana" w:hAnsi="Verdana"/>
        </w:rPr>
        <w:t>Recipients</w:t>
      </w:r>
      <w:r w:rsidRPr="006209C9">
        <w:rPr>
          <w:rFonts w:ascii="Verdana" w:hAnsi="Verdana"/>
          <w:spacing w:val="-6"/>
        </w:rPr>
        <w:t xml:space="preserve"> </w:t>
      </w:r>
      <w:r w:rsidRPr="006209C9">
        <w:rPr>
          <w:rFonts w:ascii="Verdana" w:hAnsi="Verdana"/>
        </w:rPr>
        <w:t>of</w:t>
      </w:r>
      <w:r w:rsidRPr="006209C9">
        <w:rPr>
          <w:rFonts w:ascii="Verdana" w:hAnsi="Verdana"/>
          <w:spacing w:val="-5"/>
        </w:rPr>
        <w:t xml:space="preserve"> </w:t>
      </w:r>
      <w:r w:rsidRPr="006209C9">
        <w:rPr>
          <w:rFonts w:ascii="Verdana" w:hAnsi="Verdana"/>
        </w:rPr>
        <w:t>Federal</w:t>
      </w:r>
      <w:r w:rsidRPr="006209C9">
        <w:rPr>
          <w:rFonts w:ascii="Verdana" w:hAnsi="Verdana"/>
          <w:spacing w:val="-2"/>
        </w:rPr>
        <w:t xml:space="preserve"> </w:t>
      </w:r>
      <w:r w:rsidRPr="006209C9">
        <w:rPr>
          <w:rFonts w:ascii="Verdana" w:hAnsi="Verdana"/>
        </w:rPr>
        <w:t>Financial</w:t>
      </w:r>
      <w:r w:rsidRPr="006209C9">
        <w:rPr>
          <w:rFonts w:ascii="Verdana" w:hAnsi="Verdana"/>
          <w:spacing w:val="-2"/>
        </w:rPr>
        <w:t xml:space="preserve"> Assistance</w:t>
      </w:r>
    </w:p>
    <w:p w14:paraId="66C001A4" w14:textId="24933B9B" w:rsidR="00A65AAF" w:rsidRPr="006209C9" w:rsidRDefault="00B978D8" w:rsidP="002272D7">
      <w:pPr>
        <w:pStyle w:val="BodyText"/>
        <w:tabs>
          <w:tab w:val="left" w:pos="0"/>
        </w:tabs>
        <w:spacing w:after="240" w:line="360" w:lineRule="auto"/>
        <w:ind w:right="14"/>
        <w:rPr>
          <w:rFonts w:ascii="Verdana" w:hAnsi="Verdana"/>
        </w:rPr>
      </w:pPr>
      <w:r>
        <w:rPr>
          <w:rFonts w:ascii="Verdana" w:hAnsi="Verdana"/>
        </w:rPr>
        <w:t>Funds must be administered</w:t>
      </w:r>
      <w:r w:rsidR="00A824A8" w:rsidRPr="006209C9">
        <w:rPr>
          <w:rFonts w:ascii="Verdana" w:hAnsi="Verdana"/>
        </w:rPr>
        <w:t xml:space="preserve"> in compliance with federal civil rights laws that prohibit discrimination on the basis of race, color, national origin, disability, age, and, in some circumstances, religion, conscience, and sex. This includes </w:t>
      </w:r>
      <w:r w:rsidR="00A824A8" w:rsidRPr="006209C9">
        <w:rPr>
          <w:rFonts w:ascii="Verdana" w:hAnsi="Verdana"/>
        </w:rPr>
        <w:lastRenderedPageBreak/>
        <w:t>taking reasonable steps to provide meaningful access to individuals with limited English proficiency and providing programs that are accessible to and usable by individuals</w:t>
      </w:r>
      <w:r w:rsidR="00A824A8" w:rsidRPr="006209C9">
        <w:rPr>
          <w:rFonts w:ascii="Verdana" w:hAnsi="Verdana"/>
          <w:spacing w:val="-5"/>
        </w:rPr>
        <w:t xml:space="preserve"> </w:t>
      </w:r>
      <w:r w:rsidR="00A824A8" w:rsidRPr="006209C9">
        <w:rPr>
          <w:rFonts w:ascii="Verdana" w:hAnsi="Verdana"/>
        </w:rPr>
        <w:t>with</w:t>
      </w:r>
      <w:r w:rsidR="00A824A8" w:rsidRPr="006209C9">
        <w:rPr>
          <w:rFonts w:ascii="Verdana" w:hAnsi="Verdana"/>
          <w:spacing w:val="-4"/>
        </w:rPr>
        <w:t xml:space="preserve"> </w:t>
      </w:r>
      <w:r w:rsidR="00A824A8" w:rsidRPr="006209C9">
        <w:rPr>
          <w:rFonts w:ascii="Verdana" w:hAnsi="Verdana"/>
        </w:rPr>
        <w:t>disabilities.</w:t>
      </w:r>
      <w:r w:rsidR="00A824A8" w:rsidRPr="006209C9">
        <w:rPr>
          <w:rFonts w:ascii="Verdana" w:hAnsi="Verdana"/>
          <w:spacing w:val="-3"/>
        </w:rPr>
        <w:t xml:space="preserve"> </w:t>
      </w:r>
    </w:p>
    <w:p w14:paraId="3657EEE4" w14:textId="6F8427E1" w:rsidR="00A65AAF" w:rsidRPr="006209C9" w:rsidRDefault="00A824A8" w:rsidP="00EE6BC1">
      <w:pPr>
        <w:pStyle w:val="Heading1"/>
        <w:numPr>
          <w:ilvl w:val="0"/>
          <w:numId w:val="2"/>
        </w:numPr>
        <w:tabs>
          <w:tab w:val="left" w:pos="720"/>
        </w:tabs>
        <w:spacing w:after="240" w:line="360" w:lineRule="auto"/>
        <w:ind w:left="720"/>
        <w:rPr>
          <w:rFonts w:ascii="Verdana" w:hAnsi="Verdana"/>
        </w:rPr>
      </w:pPr>
      <w:r w:rsidRPr="006209C9">
        <w:rPr>
          <w:rFonts w:ascii="Verdana" w:hAnsi="Verdana"/>
        </w:rPr>
        <w:t>Prohibition</w:t>
      </w:r>
      <w:r w:rsidRPr="006209C9">
        <w:rPr>
          <w:rFonts w:ascii="Verdana" w:hAnsi="Verdana"/>
          <w:spacing w:val="-4"/>
        </w:rPr>
        <w:t xml:space="preserve"> </w:t>
      </w:r>
      <w:r w:rsidRPr="006209C9">
        <w:rPr>
          <w:rFonts w:ascii="Verdana" w:hAnsi="Verdana"/>
        </w:rPr>
        <w:t>on</w:t>
      </w:r>
      <w:r w:rsidRPr="006209C9">
        <w:rPr>
          <w:rFonts w:ascii="Verdana" w:hAnsi="Verdana"/>
          <w:spacing w:val="-4"/>
        </w:rPr>
        <w:t xml:space="preserve"> </w:t>
      </w:r>
      <w:r w:rsidRPr="006209C9">
        <w:rPr>
          <w:rFonts w:ascii="Verdana" w:hAnsi="Verdana"/>
        </w:rPr>
        <w:t>Expending</w:t>
      </w:r>
      <w:r w:rsidRPr="006209C9">
        <w:rPr>
          <w:rFonts w:ascii="Verdana" w:hAnsi="Verdana"/>
          <w:spacing w:val="-4"/>
        </w:rPr>
        <w:t xml:space="preserve"> </w:t>
      </w:r>
      <w:r w:rsidRPr="006209C9">
        <w:rPr>
          <w:rFonts w:ascii="Verdana" w:hAnsi="Verdana"/>
        </w:rPr>
        <w:t>HHS</w:t>
      </w:r>
      <w:r w:rsidRPr="006209C9">
        <w:rPr>
          <w:rFonts w:ascii="Verdana" w:hAnsi="Verdana"/>
          <w:spacing w:val="-3"/>
        </w:rPr>
        <w:t xml:space="preserve"> </w:t>
      </w:r>
      <w:r w:rsidRPr="006209C9">
        <w:rPr>
          <w:rFonts w:ascii="Verdana" w:hAnsi="Verdana"/>
        </w:rPr>
        <w:t>Award</w:t>
      </w:r>
      <w:r w:rsidRPr="006209C9">
        <w:rPr>
          <w:rFonts w:ascii="Verdana" w:hAnsi="Verdana"/>
          <w:spacing w:val="-4"/>
        </w:rPr>
        <w:t xml:space="preserve"> </w:t>
      </w:r>
      <w:r w:rsidRPr="006209C9">
        <w:rPr>
          <w:rFonts w:ascii="Verdana" w:hAnsi="Verdana"/>
        </w:rPr>
        <w:t>Funds</w:t>
      </w:r>
      <w:r w:rsidRPr="006209C9">
        <w:rPr>
          <w:rFonts w:ascii="Verdana" w:hAnsi="Verdana"/>
          <w:spacing w:val="-5"/>
        </w:rPr>
        <w:t xml:space="preserve"> </w:t>
      </w:r>
      <w:r w:rsidRPr="006209C9">
        <w:rPr>
          <w:rFonts w:ascii="Verdana" w:hAnsi="Verdana"/>
        </w:rPr>
        <w:t>for</w:t>
      </w:r>
      <w:r w:rsidRPr="006209C9">
        <w:rPr>
          <w:rFonts w:ascii="Verdana" w:hAnsi="Verdana"/>
          <w:spacing w:val="-6"/>
        </w:rPr>
        <w:t xml:space="preserve"> </w:t>
      </w:r>
      <w:r w:rsidRPr="006209C9">
        <w:rPr>
          <w:rFonts w:ascii="Verdana" w:hAnsi="Verdana"/>
        </w:rPr>
        <w:t>Covered</w:t>
      </w:r>
      <w:r w:rsidRPr="006209C9">
        <w:rPr>
          <w:rFonts w:ascii="Verdana" w:hAnsi="Verdana"/>
          <w:spacing w:val="-2"/>
        </w:rPr>
        <w:t xml:space="preserve"> </w:t>
      </w:r>
      <w:r w:rsidRPr="006209C9">
        <w:rPr>
          <w:rFonts w:ascii="Verdana" w:hAnsi="Verdana"/>
        </w:rPr>
        <w:t xml:space="preserve">Telecommunications Equipment or Services as per 2 </w:t>
      </w:r>
      <w:r w:rsidR="00CD1C97">
        <w:rPr>
          <w:rFonts w:ascii="Verdana" w:hAnsi="Verdana"/>
        </w:rPr>
        <w:t>C.F.R.</w:t>
      </w:r>
      <w:r w:rsidRPr="006209C9">
        <w:rPr>
          <w:rFonts w:ascii="Verdana" w:hAnsi="Verdana"/>
        </w:rPr>
        <w:t xml:space="preserve"> §</w:t>
      </w:r>
      <w:r w:rsidR="00175F39">
        <w:rPr>
          <w:rFonts w:ascii="Verdana" w:hAnsi="Verdana"/>
        </w:rPr>
        <w:t xml:space="preserve"> </w:t>
      </w:r>
      <w:r w:rsidRPr="006209C9">
        <w:rPr>
          <w:rFonts w:ascii="Verdana" w:hAnsi="Verdana"/>
        </w:rPr>
        <w:t>200.216</w:t>
      </w:r>
    </w:p>
    <w:p w14:paraId="1DFA3F24" w14:textId="66DCCFBA" w:rsidR="00A65AAF" w:rsidRDefault="00F72F93" w:rsidP="007F536C">
      <w:pPr>
        <w:pStyle w:val="BodyText"/>
        <w:spacing w:after="240" w:line="360" w:lineRule="auto"/>
        <w:rPr>
          <w:rFonts w:ascii="Verdana" w:hAnsi="Verdana"/>
          <w:spacing w:val="-3"/>
        </w:rPr>
      </w:pPr>
      <w:r>
        <w:rPr>
          <w:rFonts w:ascii="Verdana" w:hAnsi="Verdana"/>
        </w:rPr>
        <w:t>Funds shall be used in compliance with</w:t>
      </w:r>
      <w:r w:rsidR="00A824A8" w:rsidRPr="006209C9">
        <w:rPr>
          <w:rFonts w:ascii="Verdana" w:hAnsi="Verdana"/>
          <w:spacing w:val="-2"/>
        </w:rPr>
        <w:t xml:space="preserve"> </w:t>
      </w:r>
      <w:r w:rsidR="00A824A8" w:rsidRPr="006209C9">
        <w:rPr>
          <w:rFonts w:ascii="Verdana" w:hAnsi="Verdana"/>
        </w:rPr>
        <w:t>2</w:t>
      </w:r>
      <w:r w:rsidR="00A824A8" w:rsidRPr="006209C9">
        <w:rPr>
          <w:rFonts w:ascii="Verdana" w:hAnsi="Verdana"/>
          <w:spacing w:val="-1"/>
        </w:rPr>
        <w:t xml:space="preserve"> </w:t>
      </w:r>
      <w:r w:rsidR="00CD1C97">
        <w:rPr>
          <w:rFonts w:ascii="Verdana" w:hAnsi="Verdana"/>
        </w:rPr>
        <w:t>C.F.R.</w:t>
      </w:r>
      <w:r w:rsidR="00A824A8" w:rsidRPr="006209C9">
        <w:rPr>
          <w:rFonts w:ascii="Verdana" w:hAnsi="Verdana"/>
          <w:spacing w:val="-2"/>
        </w:rPr>
        <w:t xml:space="preserve"> </w:t>
      </w:r>
      <w:r w:rsidR="00A824A8" w:rsidRPr="006209C9">
        <w:rPr>
          <w:rFonts w:ascii="Verdana" w:hAnsi="Verdana"/>
        </w:rPr>
        <w:t>§</w:t>
      </w:r>
      <w:r w:rsidR="00175F39">
        <w:rPr>
          <w:rFonts w:ascii="Verdana" w:hAnsi="Verdana"/>
        </w:rPr>
        <w:t xml:space="preserve"> </w:t>
      </w:r>
      <w:r w:rsidR="00A824A8" w:rsidRPr="006209C9">
        <w:rPr>
          <w:rFonts w:ascii="Verdana" w:hAnsi="Verdana"/>
        </w:rPr>
        <w:t>200.216</w:t>
      </w:r>
      <w:r w:rsidR="00435F43">
        <w:rPr>
          <w:rFonts w:ascii="Verdana" w:hAnsi="Verdana"/>
        </w:rPr>
        <w:t>:</w:t>
      </w:r>
      <w:r w:rsidR="00A824A8" w:rsidRPr="006209C9">
        <w:rPr>
          <w:rFonts w:ascii="Verdana" w:hAnsi="Verdana"/>
          <w:spacing w:val="-3"/>
        </w:rPr>
        <w:t xml:space="preserve"> </w:t>
      </w:r>
    </w:p>
    <w:p w14:paraId="24550034" w14:textId="13CF0680" w:rsidR="00A65AAF" w:rsidRDefault="00A824A8" w:rsidP="005839BB">
      <w:pPr>
        <w:pStyle w:val="BodyText"/>
        <w:spacing w:after="240" w:line="360" w:lineRule="auto"/>
        <w:ind w:right="288"/>
        <w:rPr>
          <w:rFonts w:ascii="Verdana" w:hAnsi="Verdana"/>
          <w:spacing w:val="-2"/>
        </w:rPr>
      </w:pPr>
      <w:r w:rsidRPr="006209C9">
        <w:rPr>
          <w:rFonts w:ascii="Verdana" w:hAnsi="Verdana"/>
        </w:rPr>
        <w:t>Prohibition</w:t>
      </w:r>
      <w:r w:rsidRPr="006209C9">
        <w:rPr>
          <w:rFonts w:ascii="Verdana" w:hAnsi="Verdana"/>
          <w:spacing w:val="-5"/>
        </w:rPr>
        <w:t xml:space="preserve"> </w:t>
      </w:r>
      <w:r w:rsidRPr="006209C9">
        <w:rPr>
          <w:rFonts w:ascii="Verdana" w:hAnsi="Verdana"/>
        </w:rPr>
        <w:t>on</w:t>
      </w:r>
      <w:r w:rsidRPr="006209C9">
        <w:rPr>
          <w:rFonts w:ascii="Verdana" w:hAnsi="Verdana"/>
          <w:spacing w:val="-6"/>
        </w:rPr>
        <w:t xml:space="preserve"> </w:t>
      </w:r>
      <w:r w:rsidRPr="006209C9">
        <w:rPr>
          <w:rFonts w:ascii="Verdana" w:hAnsi="Verdana"/>
        </w:rPr>
        <w:t>certain</w:t>
      </w:r>
      <w:r w:rsidRPr="006209C9">
        <w:rPr>
          <w:rFonts w:ascii="Verdana" w:hAnsi="Verdana"/>
          <w:spacing w:val="-5"/>
        </w:rPr>
        <w:t xml:space="preserve"> </w:t>
      </w:r>
      <w:r w:rsidRPr="006209C9">
        <w:rPr>
          <w:rFonts w:ascii="Verdana" w:hAnsi="Verdana"/>
        </w:rPr>
        <w:t>telecommunications</w:t>
      </w:r>
      <w:r w:rsidRPr="006209C9">
        <w:rPr>
          <w:rFonts w:ascii="Verdana" w:hAnsi="Verdana"/>
          <w:spacing w:val="-5"/>
        </w:rPr>
        <w:t xml:space="preserve"> </w:t>
      </w:r>
      <w:r w:rsidRPr="006209C9">
        <w:rPr>
          <w:rFonts w:ascii="Verdana" w:hAnsi="Verdana"/>
        </w:rPr>
        <w:t>and</w:t>
      </w:r>
      <w:r w:rsidRPr="006209C9">
        <w:rPr>
          <w:rFonts w:ascii="Verdana" w:hAnsi="Verdana"/>
          <w:spacing w:val="-5"/>
        </w:rPr>
        <w:t xml:space="preserve"> </w:t>
      </w:r>
      <w:r w:rsidRPr="006209C9">
        <w:rPr>
          <w:rFonts w:ascii="Verdana" w:hAnsi="Verdana"/>
        </w:rPr>
        <w:t>video</w:t>
      </w:r>
      <w:r w:rsidRPr="006209C9">
        <w:rPr>
          <w:rFonts w:ascii="Verdana" w:hAnsi="Verdana"/>
          <w:spacing w:val="-4"/>
        </w:rPr>
        <w:t xml:space="preserve"> </w:t>
      </w:r>
      <w:r w:rsidRPr="006209C9">
        <w:rPr>
          <w:rFonts w:ascii="Verdana" w:hAnsi="Verdana"/>
        </w:rPr>
        <w:t>surveillance</w:t>
      </w:r>
      <w:r w:rsidRPr="006209C9">
        <w:rPr>
          <w:rFonts w:ascii="Verdana" w:hAnsi="Verdana"/>
          <w:spacing w:val="-5"/>
        </w:rPr>
        <w:t xml:space="preserve"> </w:t>
      </w:r>
      <w:r w:rsidRPr="006209C9">
        <w:rPr>
          <w:rFonts w:ascii="Verdana" w:hAnsi="Verdana"/>
        </w:rPr>
        <w:t>services</w:t>
      </w:r>
      <w:r w:rsidRPr="006209C9">
        <w:rPr>
          <w:rFonts w:ascii="Verdana" w:hAnsi="Verdana"/>
          <w:spacing w:val="-5"/>
        </w:rPr>
        <w:t xml:space="preserve"> </w:t>
      </w:r>
      <w:r w:rsidRPr="006209C9">
        <w:rPr>
          <w:rFonts w:ascii="Verdana" w:hAnsi="Verdana"/>
        </w:rPr>
        <w:t xml:space="preserve">or </w:t>
      </w:r>
      <w:r w:rsidRPr="006209C9">
        <w:rPr>
          <w:rFonts w:ascii="Verdana" w:hAnsi="Verdana"/>
          <w:spacing w:val="-2"/>
        </w:rPr>
        <w:t>equipment.</w:t>
      </w:r>
    </w:p>
    <w:p w14:paraId="6BF5803D" w14:textId="3455F1BB" w:rsidR="00A65AAF" w:rsidRPr="004B63C6" w:rsidRDefault="00A824A8" w:rsidP="004B63C6">
      <w:pPr>
        <w:pStyle w:val="Heading2"/>
      </w:pPr>
      <w:r w:rsidRPr="004B63C6">
        <w:t xml:space="preserve">As described in 2 </w:t>
      </w:r>
      <w:r w:rsidR="00CD1C97" w:rsidRPr="004B63C6">
        <w:t>C.F.R.</w:t>
      </w:r>
      <w:r w:rsidRPr="004B63C6">
        <w:t xml:space="preserve"> </w:t>
      </w:r>
      <w:r w:rsidR="0097547C" w:rsidRPr="004B63C6">
        <w:t>§</w:t>
      </w:r>
      <w:r w:rsidR="00175F39" w:rsidRPr="004B63C6">
        <w:t xml:space="preserve"> </w:t>
      </w:r>
      <w:r w:rsidRPr="004B63C6">
        <w:t>200.216, recipients and subrecipients are prohibited to obligate or</w:t>
      </w:r>
      <w:r w:rsidRPr="005839BB">
        <w:t xml:space="preserve"> </w:t>
      </w:r>
      <w:r w:rsidRPr="004B63C6">
        <w:t>spend</w:t>
      </w:r>
      <w:r w:rsidRPr="005839BB">
        <w:t xml:space="preserve"> </w:t>
      </w:r>
      <w:r w:rsidRPr="004B63C6">
        <w:t>grant</w:t>
      </w:r>
      <w:r w:rsidRPr="005839BB">
        <w:t xml:space="preserve"> </w:t>
      </w:r>
      <w:r w:rsidRPr="004B63C6">
        <w:t>funds</w:t>
      </w:r>
      <w:r w:rsidRPr="005839BB">
        <w:t xml:space="preserve"> </w:t>
      </w:r>
      <w:r w:rsidRPr="004B63C6">
        <w:t>(to</w:t>
      </w:r>
      <w:r w:rsidRPr="005839BB">
        <w:t xml:space="preserve"> </w:t>
      </w:r>
      <w:r w:rsidRPr="004B63C6">
        <w:t>include</w:t>
      </w:r>
      <w:r w:rsidRPr="005839BB">
        <w:t xml:space="preserve"> </w:t>
      </w:r>
      <w:r w:rsidRPr="004B63C6">
        <w:t>direct</w:t>
      </w:r>
      <w:r w:rsidRPr="005839BB">
        <w:t xml:space="preserve"> </w:t>
      </w:r>
      <w:r w:rsidRPr="004B63C6">
        <w:t>and</w:t>
      </w:r>
      <w:r w:rsidRPr="005839BB">
        <w:t xml:space="preserve"> </w:t>
      </w:r>
      <w:r w:rsidRPr="004B63C6">
        <w:t>indirect</w:t>
      </w:r>
      <w:r w:rsidRPr="005839BB">
        <w:t xml:space="preserve"> </w:t>
      </w:r>
      <w:r w:rsidRPr="004B63C6">
        <w:t>expenditures</w:t>
      </w:r>
      <w:r w:rsidRPr="005839BB">
        <w:t xml:space="preserve"> </w:t>
      </w:r>
      <w:r w:rsidRPr="004B63C6">
        <w:t>as</w:t>
      </w:r>
      <w:r w:rsidRPr="005839BB">
        <w:t xml:space="preserve"> </w:t>
      </w:r>
      <w:r w:rsidRPr="004B63C6">
        <w:t>well</w:t>
      </w:r>
      <w:r w:rsidRPr="005839BB">
        <w:t xml:space="preserve"> </w:t>
      </w:r>
      <w:r w:rsidRPr="004B63C6">
        <w:t>as</w:t>
      </w:r>
      <w:r w:rsidRPr="005839BB">
        <w:t xml:space="preserve"> </w:t>
      </w:r>
      <w:r w:rsidRPr="004B63C6">
        <w:t>cost</w:t>
      </w:r>
      <w:r w:rsidRPr="005839BB">
        <w:t xml:space="preserve"> </w:t>
      </w:r>
      <w:r w:rsidRPr="004B63C6">
        <w:t>share</w:t>
      </w:r>
      <w:r w:rsidRPr="005839BB">
        <w:t xml:space="preserve"> </w:t>
      </w:r>
      <w:r w:rsidRPr="004B63C6">
        <w:t>and program) to:</w:t>
      </w:r>
    </w:p>
    <w:p w14:paraId="44458A96" w14:textId="4EF36B12" w:rsidR="00A65AAF" w:rsidRPr="00B46750" w:rsidRDefault="00A824A8" w:rsidP="00B00115">
      <w:pPr>
        <w:pStyle w:val="Heading3"/>
      </w:pPr>
      <w:r w:rsidRPr="00B46750">
        <w:t>Procure or obtain,</w:t>
      </w:r>
    </w:p>
    <w:p w14:paraId="3AE28205" w14:textId="70AE4285" w:rsidR="00A65AAF" w:rsidRPr="00B46750" w:rsidRDefault="00A824A8" w:rsidP="00EE6BC1">
      <w:pPr>
        <w:pStyle w:val="Heading3"/>
        <w:spacing w:line="240" w:lineRule="auto"/>
      </w:pPr>
      <w:r w:rsidRPr="00B46750">
        <w:t xml:space="preserve">Extend or renew a contract to procure or obtain; </w:t>
      </w:r>
      <w:r w:rsidR="00B00115">
        <w:br/>
      </w:r>
      <w:r w:rsidR="00B00115">
        <w:br/>
      </w:r>
      <w:r w:rsidR="00EE6BC1">
        <w:t>OR</w:t>
      </w:r>
    </w:p>
    <w:p w14:paraId="1EA2D861" w14:textId="468772DB" w:rsidR="00A65AAF" w:rsidRPr="00B46750" w:rsidRDefault="00A824A8" w:rsidP="00B00115">
      <w:pPr>
        <w:pStyle w:val="Heading3"/>
      </w:pPr>
      <w:r w:rsidRPr="00B46750">
        <w:t>Enter into contract (or extend or renew contract) to procure or obtain equipment, services, or systems that use covered telecommunications equipment or services as a substantial or essential component of any system, or as critical technology as part of any system. As described in Pub. L. 115</w:t>
      </w:r>
      <w:r w:rsidR="00546BE6">
        <w:t>-</w:t>
      </w:r>
      <w:r w:rsidRPr="00B46750">
        <w:t>232, section 889, covered telecommunications equipment is telecommunications equipment produced by Huawei Technologies Company or ZTE Corporation (or any subsidiary or affiliate of such entities).</w:t>
      </w:r>
    </w:p>
    <w:p w14:paraId="6853BD8E" w14:textId="6A559C90" w:rsidR="00A65AAF" w:rsidRDefault="00A824A8" w:rsidP="005839BB">
      <w:pPr>
        <w:pStyle w:val="Heading3"/>
        <w:numPr>
          <w:ilvl w:val="4"/>
          <w:numId w:val="10"/>
        </w:numPr>
      </w:pPr>
      <w:r w:rsidRPr="006209C9">
        <w:t>For</w:t>
      </w:r>
      <w:r w:rsidRPr="006209C9">
        <w:rPr>
          <w:spacing w:val="-2"/>
        </w:rPr>
        <w:t xml:space="preserve"> </w:t>
      </w:r>
      <w:r w:rsidRPr="006209C9">
        <w:t>the</w:t>
      </w:r>
      <w:r w:rsidRPr="006209C9">
        <w:rPr>
          <w:spacing w:val="-4"/>
        </w:rPr>
        <w:t xml:space="preserve"> </w:t>
      </w:r>
      <w:r w:rsidRPr="006209C9">
        <w:t>purpose</w:t>
      </w:r>
      <w:r w:rsidRPr="006209C9">
        <w:rPr>
          <w:spacing w:val="-4"/>
        </w:rPr>
        <w:t xml:space="preserve"> </w:t>
      </w:r>
      <w:r w:rsidRPr="006209C9">
        <w:t>of</w:t>
      </w:r>
      <w:r w:rsidRPr="006209C9">
        <w:rPr>
          <w:spacing w:val="-4"/>
        </w:rPr>
        <w:t xml:space="preserve"> </w:t>
      </w:r>
      <w:r w:rsidRPr="006209C9">
        <w:t>public</w:t>
      </w:r>
      <w:r w:rsidRPr="006209C9">
        <w:rPr>
          <w:spacing w:val="-6"/>
        </w:rPr>
        <w:t xml:space="preserve"> </w:t>
      </w:r>
      <w:r w:rsidRPr="006209C9">
        <w:t>safety,</w:t>
      </w:r>
      <w:r w:rsidRPr="006209C9">
        <w:rPr>
          <w:spacing w:val="-2"/>
        </w:rPr>
        <w:t xml:space="preserve"> </w:t>
      </w:r>
      <w:r w:rsidRPr="006209C9">
        <w:t>security</w:t>
      </w:r>
      <w:r w:rsidRPr="006209C9">
        <w:rPr>
          <w:spacing w:val="-3"/>
        </w:rPr>
        <w:t xml:space="preserve"> </w:t>
      </w:r>
      <w:r w:rsidRPr="006209C9">
        <w:t>of</w:t>
      </w:r>
      <w:r w:rsidRPr="006209C9">
        <w:rPr>
          <w:spacing w:val="-1"/>
        </w:rPr>
        <w:t xml:space="preserve"> </w:t>
      </w:r>
      <w:r w:rsidRPr="006209C9">
        <w:lastRenderedPageBreak/>
        <w:t>government</w:t>
      </w:r>
      <w:r w:rsidRPr="006209C9">
        <w:rPr>
          <w:spacing w:val="-4"/>
        </w:rPr>
        <w:t xml:space="preserve"> </w:t>
      </w:r>
      <w:r w:rsidRPr="006209C9">
        <w:t>facilities,</w:t>
      </w:r>
      <w:r w:rsidRPr="006209C9">
        <w:rPr>
          <w:spacing w:val="-5"/>
        </w:rPr>
        <w:t xml:space="preserve"> </w:t>
      </w:r>
      <w:r w:rsidRPr="006209C9">
        <w:t>physical</w:t>
      </w:r>
      <w:r w:rsidRPr="006209C9">
        <w:rPr>
          <w:spacing w:val="-5"/>
        </w:rPr>
        <w:t xml:space="preserve"> </w:t>
      </w:r>
      <w:r w:rsidRPr="006209C9">
        <w:t>security surveillance of critical infrastructure, and other national security purposes, video surveillance and telecommunications equipment produced by Hytera Communications</w:t>
      </w:r>
      <w:r w:rsidRPr="006209C9">
        <w:rPr>
          <w:spacing w:val="-4"/>
        </w:rPr>
        <w:t xml:space="preserve"> </w:t>
      </w:r>
      <w:r w:rsidRPr="006209C9">
        <w:t>Corporation,</w:t>
      </w:r>
      <w:r w:rsidRPr="006209C9">
        <w:rPr>
          <w:spacing w:val="-5"/>
        </w:rPr>
        <w:t xml:space="preserve"> </w:t>
      </w:r>
      <w:r w:rsidRPr="006209C9">
        <w:t>Hangzhou</w:t>
      </w:r>
      <w:r w:rsidRPr="006209C9">
        <w:rPr>
          <w:spacing w:val="-2"/>
        </w:rPr>
        <w:t xml:space="preserve"> </w:t>
      </w:r>
      <w:r w:rsidRPr="006209C9">
        <w:t>Hikvision</w:t>
      </w:r>
      <w:r w:rsidRPr="006209C9">
        <w:rPr>
          <w:spacing w:val="-2"/>
        </w:rPr>
        <w:t xml:space="preserve"> </w:t>
      </w:r>
      <w:r w:rsidRPr="006209C9">
        <w:t>Digital</w:t>
      </w:r>
      <w:r w:rsidRPr="006209C9">
        <w:rPr>
          <w:spacing w:val="-5"/>
        </w:rPr>
        <w:t xml:space="preserve"> </w:t>
      </w:r>
      <w:r w:rsidRPr="006209C9">
        <w:t>Technology</w:t>
      </w:r>
      <w:r w:rsidRPr="006209C9">
        <w:rPr>
          <w:spacing w:val="-4"/>
        </w:rPr>
        <w:t xml:space="preserve"> </w:t>
      </w:r>
      <w:r w:rsidRPr="006209C9">
        <w:t>Company,</w:t>
      </w:r>
      <w:r w:rsidRPr="006209C9">
        <w:rPr>
          <w:spacing w:val="-5"/>
        </w:rPr>
        <w:t xml:space="preserve"> </w:t>
      </w:r>
      <w:r w:rsidRPr="006209C9">
        <w:t>or Dahua Technology Company (or any subsidiary or affiliate of such entities).</w:t>
      </w:r>
    </w:p>
    <w:p w14:paraId="6F9BD2E4" w14:textId="329EC61B" w:rsidR="00A65AAF" w:rsidRDefault="00A824A8" w:rsidP="005839BB">
      <w:pPr>
        <w:pStyle w:val="Heading3"/>
        <w:numPr>
          <w:ilvl w:val="4"/>
          <w:numId w:val="10"/>
        </w:numPr>
      </w:pPr>
      <w:r w:rsidRPr="006209C9">
        <w:t>Telecommunications</w:t>
      </w:r>
      <w:r w:rsidRPr="006209C9">
        <w:rPr>
          <w:spacing w:val="-6"/>
        </w:rPr>
        <w:t xml:space="preserve"> </w:t>
      </w:r>
      <w:r w:rsidRPr="006209C9">
        <w:t>or</w:t>
      </w:r>
      <w:r w:rsidRPr="006209C9">
        <w:rPr>
          <w:spacing w:val="-3"/>
        </w:rPr>
        <w:t xml:space="preserve"> </w:t>
      </w:r>
      <w:r w:rsidRPr="006209C9">
        <w:t>video</w:t>
      </w:r>
      <w:r w:rsidRPr="006209C9">
        <w:rPr>
          <w:spacing w:val="-3"/>
        </w:rPr>
        <w:t xml:space="preserve"> </w:t>
      </w:r>
      <w:r w:rsidRPr="006209C9">
        <w:t>surveillance</w:t>
      </w:r>
      <w:r w:rsidRPr="006209C9">
        <w:rPr>
          <w:spacing w:val="-3"/>
        </w:rPr>
        <w:t xml:space="preserve"> </w:t>
      </w:r>
      <w:r w:rsidRPr="006209C9">
        <w:t>services</w:t>
      </w:r>
      <w:r w:rsidRPr="006209C9">
        <w:rPr>
          <w:spacing w:val="-4"/>
        </w:rPr>
        <w:t xml:space="preserve"> </w:t>
      </w:r>
      <w:r w:rsidRPr="006209C9">
        <w:t>provided</w:t>
      </w:r>
      <w:r w:rsidRPr="006209C9">
        <w:rPr>
          <w:spacing w:val="-5"/>
        </w:rPr>
        <w:t xml:space="preserve"> </w:t>
      </w:r>
      <w:r w:rsidRPr="006209C9">
        <w:t>by</w:t>
      </w:r>
      <w:r w:rsidRPr="006209C9">
        <w:rPr>
          <w:spacing w:val="-4"/>
        </w:rPr>
        <w:t xml:space="preserve"> </w:t>
      </w:r>
      <w:r w:rsidRPr="006209C9">
        <w:t>such</w:t>
      </w:r>
      <w:r w:rsidRPr="006209C9">
        <w:rPr>
          <w:spacing w:val="-2"/>
        </w:rPr>
        <w:t xml:space="preserve"> </w:t>
      </w:r>
      <w:r w:rsidRPr="006209C9">
        <w:t>entities</w:t>
      </w:r>
      <w:r w:rsidRPr="006209C9">
        <w:rPr>
          <w:spacing w:val="-4"/>
        </w:rPr>
        <w:t xml:space="preserve"> </w:t>
      </w:r>
      <w:r w:rsidRPr="006209C9">
        <w:t>or</w:t>
      </w:r>
      <w:r w:rsidRPr="006209C9">
        <w:rPr>
          <w:spacing w:val="-6"/>
        </w:rPr>
        <w:t xml:space="preserve"> </w:t>
      </w:r>
      <w:r w:rsidRPr="006209C9">
        <w:t>using such equipment.</w:t>
      </w:r>
    </w:p>
    <w:p w14:paraId="47F65AA8" w14:textId="25CA71E2" w:rsidR="00A65AAF" w:rsidRDefault="00A824A8" w:rsidP="005839BB">
      <w:pPr>
        <w:pStyle w:val="Heading3"/>
        <w:numPr>
          <w:ilvl w:val="4"/>
          <w:numId w:val="10"/>
        </w:numPr>
      </w:pPr>
      <w:r w:rsidRPr="006209C9">
        <w:t>Telecommunications or video surveillance equipment or services produced or provided</w:t>
      </w:r>
      <w:r w:rsidRPr="006209C9">
        <w:rPr>
          <w:spacing w:val="-4"/>
        </w:rPr>
        <w:t xml:space="preserve"> </w:t>
      </w:r>
      <w:r w:rsidRPr="006209C9">
        <w:t>by</w:t>
      </w:r>
      <w:r w:rsidRPr="006209C9">
        <w:rPr>
          <w:spacing w:val="-3"/>
        </w:rPr>
        <w:t xml:space="preserve"> </w:t>
      </w:r>
      <w:r w:rsidRPr="006209C9">
        <w:t>an</w:t>
      </w:r>
      <w:r w:rsidRPr="006209C9">
        <w:rPr>
          <w:spacing w:val="-4"/>
        </w:rPr>
        <w:t xml:space="preserve"> </w:t>
      </w:r>
      <w:r w:rsidRPr="006209C9">
        <w:t>entity</w:t>
      </w:r>
      <w:r w:rsidRPr="006209C9">
        <w:rPr>
          <w:spacing w:val="-3"/>
        </w:rPr>
        <w:t xml:space="preserve"> </w:t>
      </w:r>
      <w:r w:rsidRPr="006209C9">
        <w:t>that</w:t>
      </w:r>
      <w:r w:rsidRPr="006209C9">
        <w:rPr>
          <w:spacing w:val="-1"/>
        </w:rPr>
        <w:t xml:space="preserve"> </w:t>
      </w:r>
      <w:r w:rsidRPr="006209C9">
        <w:t>the</w:t>
      </w:r>
      <w:r w:rsidRPr="006209C9">
        <w:rPr>
          <w:spacing w:val="-5"/>
        </w:rPr>
        <w:t xml:space="preserve"> </w:t>
      </w:r>
      <w:r w:rsidRPr="006209C9">
        <w:t>Secretary</w:t>
      </w:r>
      <w:r w:rsidRPr="006209C9">
        <w:rPr>
          <w:spacing w:val="-3"/>
        </w:rPr>
        <w:t xml:space="preserve"> </w:t>
      </w:r>
      <w:r w:rsidRPr="006209C9">
        <w:t>of</w:t>
      </w:r>
      <w:r w:rsidRPr="006209C9">
        <w:rPr>
          <w:spacing w:val="-4"/>
        </w:rPr>
        <w:t xml:space="preserve"> </w:t>
      </w:r>
      <w:r w:rsidRPr="006209C9">
        <w:t>Defense,</w:t>
      </w:r>
      <w:r w:rsidRPr="006209C9">
        <w:rPr>
          <w:spacing w:val="-2"/>
        </w:rPr>
        <w:t xml:space="preserve"> </w:t>
      </w:r>
      <w:r w:rsidRPr="006209C9">
        <w:t>in</w:t>
      </w:r>
      <w:r w:rsidRPr="006209C9">
        <w:rPr>
          <w:spacing w:val="-4"/>
        </w:rPr>
        <w:t xml:space="preserve"> </w:t>
      </w:r>
      <w:r w:rsidRPr="006209C9">
        <w:t>consultation</w:t>
      </w:r>
      <w:r w:rsidRPr="006209C9">
        <w:rPr>
          <w:spacing w:val="-4"/>
        </w:rPr>
        <w:t xml:space="preserve"> </w:t>
      </w:r>
      <w:r w:rsidRPr="006209C9">
        <w:t>with</w:t>
      </w:r>
      <w:r w:rsidRPr="006209C9">
        <w:rPr>
          <w:spacing w:val="-4"/>
        </w:rPr>
        <w:t xml:space="preserve"> </w:t>
      </w:r>
      <w:r w:rsidRPr="006209C9">
        <w:t>the</w:t>
      </w:r>
      <w:r w:rsidRPr="006209C9">
        <w:rPr>
          <w:spacing w:val="-2"/>
        </w:rPr>
        <w:t xml:space="preserve"> </w:t>
      </w:r>
      <w:r w:rsidRPr="006209C9">
        <w:t>Director of the National Intelligence or the Director of the Federal Bureau of Investigation, reasonably believes to be an entity</w:t>
      </w:r>
      <w:r w:rsidRPr="006209C9">
        <w:rPr>
          <w:spacing w:val="-1"/>
        </w:rPr>
        <w:t xml:space="preserve"> </w:t>
      </w:r>
      <w:r w:rsidRPr="006209C9">
        <w:t>owned or controlled by, or otherwise, connected to the government of a covered foreign country.</w:t>
      </w:r>
    </w:p>
    <w:p w14:paraId="627FA1B9" w14:textId="5FEFAABE" w:rsidR="008A2C9A" w:rsidRDefault="0054485D" w:rsidP="00EE6BC1">
      <w:pPr>
        <w:pStyle w:val="Heading1"/>
        <w:numPr>
          <w:ilvl w:val="0"/>
          <w:numId w:val="2"/>
        </w:numPr>
        <w:tabs>
          <w:tab w:val="left" w:pos="720"/>
        </w:tabs>
        <w:spacing w:after="240" w:line="360" w:lineRule="auto"/>
        <w:ind w:left="720"/>
        <w:rPr>
          <w:rFonts w:ascii="Verdana" w:hAnsi="Verdana"/>
          <w:b w:val="0"/>
          <w:bCs w:val="0"/>
        </w:rPr>
      </w:pPr>
      <w:r w:rsidRPr="00067790">
        <w:rPr>
          <w:rFonts w:ascii="Verdana" w:hAnsi="Verdana"/>
        </w:rPr>
        <w:t>Publications or Audiovisual Media Disclaimer</w:t>
      </w:r>
    </w:p>
    <w:p w14:paraId="5D3FB43F" w14:textId="08BAA779" w:rsidR="00067790" w:rsidRDefault="002131F7" w:rsidP="00315584">
      <w:pPr>
        <w:tabs>
          <w:tab w:val="left" w:pos="2880"/>
        </w:tabs>
        <w:spacing w:after="240" w:line="360" w:lineRule="auto"/>
        <w:ind w:right="216"/>
        <w:rPr>
          <w:rFonts w:ascii="Verdana" w:hAnsi="Verdana"/>
          <w:sz w:val="24"/>
          <w:szCs w:val="24"/>
        </w:rPr>
      </w:pPr>
      <w:r w:rsidRPr="002131F7">
        <w:rPr>
          <w:rFonts w:ascii="Verdana" w:hAnsi="Verdana"/>
          <w:sz w:val="24"/>
          <w:szCs w:val="24"/>
        </w:rPr>
        <w:t>Publications or audiovisual media must include the following disclaimer: “This [publication or project] was made possible by grant number 90TP00</w:t>
      </w:r>
      <w:r w:rsidR="00672CB5">
        <w:rPr>
          <w:rFonts w:ascii="Verdana" w:hAnsi="Verdana"/>
          <w:sz w:val="24"/>
          <w:szCs w:val="24"/>
        </w:rPr>
        <w:t>88</w:t>
      </w:r>
      <w:r w:rsidRPr="002131F7">
        <w:rPr>
          <w:rFonts w:ascii="Verdana" w:hAnsi="Verdana"/>
          <w:sz w:val="24"/>
          <w:szCs w:val="24"/>
        </w:rPr>
        <w:t>. Its contents are solely the responsibility of the authors and do not necessarily represent the official view of the United States Department of Health and Human Services, Administration for Children and Families.”</w:t>
      </w:r>
    </w:p>
    <w:p w14:paraId="6006D1D3" w14:textId="679D3D47" w:rsidR="005B155A" w:rsidRPr="005B155A" w:rsidRDefault="005B155A" w:rsidP="00EE6BC1">
      <w:pPr>
        <w:pStyle w:val="Heading1"/>
        <w:numPr>
          <w:ilvl w:val="0"/>
          <w:numId w:val="2"/>
        </w:numPr>
        <w:tabs>
          <w:tab w:val="left" w:pos="720"/>
        </w:tabs>
        <w:spacing w:after="240" w:line="360" w:lineRule="auto"/>
        <w:ind w:left="720"/>
        <w:rPr>
          <w:rFonts w:ascii="Verdana" w:hAnsi="Verdana"/>
          <w:b w:val="0"/>
          <w:bCs w:val="0"/>
        </w:rPr>
      </w:pPr>
      <w:r>
        <w:rPr>
          <w:rFonts w:ascii="Verdana" w:hAnsi="Verdana"/>
        </w:rPr>
        <w:t xml:space="preserve">Contract provisions required by 45 </w:t>
      </w:r>
      <w:r w:rsidR="00CD1C97">
        <w:rPr>
          <w:rFonts w:ascii="Verdana" w:hAnsi="Verdana"/>
        </w:rPr>
        <w:t>C.F.R.</w:t>
      </w:r>
      <w:r>
        <w:rPr>
          <w:rFonts w:ascii="Verdana" w:hAnsi="Verdana"/>
        </w:rPr>
        <w:t xml:space="preserve"> Part 75 Appendix II</w:t>
      </w:r>
    </w:p>
    <w:p w14:paraId="7781463D" w14:textId="69FFD99C" w:rsidR="005B155A" w:rsidRPr="006F557A" w:rsidRDefault="00D349B8" w:rsidP="001C4C81">
      <w:pPr>
        <w:pStyle w:val="Heading2"/>
      </w:pPr>
      <w:r w:rsidRPr="006F557A">
        <w:t xml:space="preserve">Contracts for more than the simplified acquisition threshold currently set at $150,000, which is the inflation adjusted amount determined by the Civilian Agency Acquisition Council and the Defense </w:t>
      </w:r>
      <w:r w:rsidRPr="006F557A">
        <w:lastRenderedPageBreak/>
        <w:t xml:space="preserve">Acquisition Regulations Council (Councils) as authorized by 41 U.S.C. </w:t>
      </w:r>
      <w:r w:rsidR="0049054B" w:rsidRPr="004127FC">
        <w:t xml:space="preserve">§ </w:t>
      </w:r>
      <w:r w:rsidRPr="006F557A">
        <w:t>1908, must address administrative, contractual, or legal remedies in instances where contractors violate or breach contract terms, and provide for such sanctions and penalties as appropriate</w:t>
      </w:r>
      <w:r w:rsidR="007942F7">
        <w:t xml:space="preserve">. </w:t>
      </w:r>
    </w:p>
    <w:p w14:paraId="3711151F" w14:textId="6153EB7E" w:rsidR="005B155A" w:rsidRPr="006F557A" w:rsidRDefault="00BC5F1C" w:rsidP="001C4C81">
      <w:pPr>
        <w:pStyle w:val="Heading2"/>
      </w:pPr>
      <w:r w:rsidRPr="006F557A">
        <w:t xml:space="preserve">All contracts in excess of $10,000 must address termination for cause and for convenience by the non-Federal entity including the manner by which it will be </w:t>
      </w:r>
      <w:r w:rsidR="00617060" w:rsidRPr="006F557A">
        <w:t>affected</w:t>
      </w:r>
      <w:r w:rsidRPr="006F557A">
        <w:t xml:space="preserve"> and the basis for settlement</w:t>
      </w:r>
      <w:r w:rsidR="007942F7">
        <w:t xml:space="preserve">. </w:t>
      </w:r>
    </w:p>
    <w:p w14:paraId="0C3C021D" w14:textId="42BE9101" w:rsidR="005B155A" w:rsidRPr="006F557A" w:rsidRDefault="00BB011C" w:rsidP="001C4C81">
      <w:pPr>
        <w:pStyle w:val="Heading2"/>
      </w:pPr>
      <w:r w:rsidRPr="006F557A">
        <w:t xml:space="preserve">Rights to Inventions Made Under a Contract or Agreement. If the Federal award meets the definition of “funding agreement” under 37 </w:t>
      </w:r>
      <w:r w:rsidR="00CD1C97">
        <w:t>C.F.R.</w:t>
      </w:r>
      <w:r w:rsidRPr="006F557A">
        <w:t xml:space="preserve"> </w:t>
      </w:r>
      <w:r w:rsidR="006B171A" w:rsidRPr="004127FC">
        <w:t xml:space="preserve">§ </w:t>
      </w:r>
      <w:r w:rsidRPr="006F557A">
        <w:t xml:space="preserve">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w:t>
      </w:r>
      <w:r w:rsidR="00CD1C97">
        <w:t>C.F.R.</w:t>
      </w:r>
      <w:r w:rsidRPr="006F557A">
        <w:t xml:space="preserve"> part 401 and any implementing regulations issued by the awarding agency.</w:t>
      </w:r>
    </w:p>
    <w:p w14:paraId="29908493" w14:textId="4D5AFB6D" w:rsidR="002828B4" w:rsidRDefault="002828B4" w:rsidP="001C4C81">
      <w:pPr>
        <w:pStyle w:val="Heading2"/>
        <w:rPr>
          <w:b/>
          <w:bCs/>
        </w:rPr>
      </w:pPr>
      <w:r w:rsidRPr="002828B4">
        <w:t xml:space="preserve">Clean Air Act (42 U.S.C. </w:t>
      </w:r>
      <w:r w:rsidR="0049054B" w:rsidRPr="004127FC">
        <w:t xml:space="preserve">§§ </w:t>
      </w:r>
      <w:r w:rsidRPr="002828B4">
        <w:t>7401</w:t>
      </w:r>
      <w:r w:rsidR="007942F7">
        <w:t xml:space="preserve"> – </w:t>
      </w:r>
      <w:r w:rsidRPr="002828B4">
        <w:t xml:space="preserve">7671q.) and the Federal Water Pollution Control Act (33 U.S.C. </w:t>
      </w:r>
      <w:r w:rsidR="0049054B" w:rsidRPr="004127FC">
        <w:t xml:space="preserve">§§ </w:t>
      </w:r>
      <w:r w:rsidRPr="002828B4">
        <w:t>1251</w:t>
      </w:r>
      <w:r w:rsidR="007942F7">
        <w:t xml:space="preserve"> – </w:t>
      </w:r>
      <w:r w:rsidRPr="002828B4">
        <w:t xml:space="preserve">1387), as amended - Contracts and subgrants of amounts in excess of $150,000 must contain a provision that requires the non-Federal award to agree to comply with all applicable standards, orders or regulations issued pursuant to the Clean Air Act (42 U.S.C. </w:t>
      </w:r>
      <w:r w:rsidR="0049054B" w:rsidRPr="004127FC">
        <w:t xml:space="preserve">§§ </w:t>
      </w:r>
      <w:r w:rsidRPr="002828B4">
        <w:t>7401</w:t>
      </w:r>
      <w:r w:rsidR="007942F7">
        <w:t xml:space="preserve"> – </w:t>
      </w:r>
      <w:r w:rsidRPr="002828B4">
        <w:t xml:space="preserve">7671q) and the Federal Water Pollution Control Act as amended (33 U.S.C. </w:t>
      </w:r>
      <w:r w:rsidR="0049054B" w:rsidRPr="004127FC">
        <w:t xml:space="preserve">§§ </w:t>
      </w:r>
      <w:r w:rsidRPr="002828B4">
        <w:t>1251</w:t>
      </w:r>
      <w:r w:rsidR="007942F7">
        <w:t xml:space="preserve"> – </w:t>
      </w:r>
      <w:r w:rsidRPr="002828B4">
        <w:t>1387). Violations must be reported to the Federal awarding agency and the Regional Office of the Environmental Protection Agency (EPA)</w:t>
      </w:r>
      <w:r w:rsidR="007942F7">
        <w:t xml:space="preserve">. </w:t>
      </w:r>
      <w:r w:rsidR="00D95DDF">
        <w:t xml:space="preserve">Subrecipient </w:t>
      </w:r>
      <w:r w:rsidR="00D95DDF" w:rsidRPr="00D95DDF">
        <w:t>agrees to comply with all applicable standards, orders, or regulations issued pursuant to the mandates of the Clean Air Act (42 U.S.C. §</w:t>
      </w:r>
      <w:r w:rsidR="00175F39">
        <w:t xml:space="preserve"> </w:t>
      </w:r>
      <w:r w:rsidR="00D95DDF" w:rsidRPr="00D95DDF">
        <w:t xml:space="preserve">7401 et seq.) and the Federal Water Pollution Control Act, as </w:t>
      </w:r>
      <w:r w:rsidR="00D95DDF" w:rsidRPr="00D95DDF">
        <w:lastRenderedPageBreak/>
        <w:t>amended (33 U.S.C. §</w:t>
      </w:r>
      <w:r w:rsidR="00175F39">
        <w:t xml:space="preserve"> </w:t>
      </w:r>
      <w:r w:rsidR="00D95DDF" w:rsidRPr="00D95DDF">
        <w:t>1251 et seq.).</w:t>
      </w:r>
    </w:p>
    <w:p w14:paraId="21AC982A" w14:textId="698A327F" w:rsidR="000003D0" w:rsidRDefault="000003D0" w:rsidP="001C4C81">
      <w:pPr>
        <w:pStyle w:val="Heading2"/>
      </w:pPr>
      <w:r w:rsidRPr="000003D0">
        <w:t xml:space="preserve">Debarment and Suspension (Executive Orders 12549 and 12689) - A contract award (see 2 </w:t>
      </w:r>
      <w:r w:rsidR="00CD1C97">
        <w:t>C.F.R.</w:t>
      </w:r>
      <w:r w:rsidRPr="000003D0">
        <w:t xml:space="preserve"> </w:t>
      </w:r>
      <w:r w:rsidR="006B171A" w:rsidRPr="004127FC">
        <w:t xml:space="preserve">§ </w:t>
      </w:r>
      <w:r w:rsidRPr="000003D0">
        <w:t xml:space="preserve">180.220) must not be made to parties listed on the government-wide exclusions in the System for Award Management (SAM), in accordance with the OMB guidelines at 2 </w:t>
      </w:r>
      <w:r w:rsidR="00CD1C97">
        <w:t>C.F.R.</w:t>
      </w:r>
      <w:r w:rsidRPr="000003D0">
        <w:t xml:space="preserve"> part 180 that implement Executive Orders 12549 (3 </w:t>
      </w:r>
      <w:r w:rsidR="00CD1C97">
        <w:t>C.F.R.</w:t>
      </w:r>
      <w:r w:rsidRPr="000003D0">
        <w:t xml:space="preserve"> part 1986 Comp., p. 189) and 12689 (3 </w:t>
      </w:r>
      <w:r w:rsidR="00CD1C97">
        <w:t>C.F.R.</w:t>
      </w:r>
      <w:r w:rsidRPr="000003D0">
        <w:t xml:space="preserve"> part 1989 Comp., p. 235), “Debarment and Suspension.” SAM Exclusions contains the names of parties debarred, suspended, or otherwise excluded by agencies, as well as parties declared ineligible under statutory or regulatory authority other than Executive Order 12549.</w:t>
      </w:r>
    </w:p>
    <w:p w14:paraId="3D9CBCF4" w14:textId="350E2367" w:rsidR="009511F6" w:rsidRDefault="4E154DCF" w:rsidP="001C4C81">
      <w:pPr>
        <w:pStyle w:val="Heading2"/>
      </w:pPr>
      <w:r>
        <w:t xml:space="preserve"> </w:t>
      </w:r>
      <w:r w:rsidR="3A68707C">
        <w:t>Requirements for a Drug-Free Workplace - The Drug-Free Workplace Act of 1988 (41 U.S.C. §§ 8101</w:t>
      </w:r>
      <w:r w:rsidR="007942F7">
        <w:t xml:space="preserve"> – </w:t>
      </w:r>
      <w:r w:rsidR="3A68707C">
        <w:t xml:space="preserve">8106) requires that all organizations receiving grants from any federal agency agree to maintain a drug-free workplace and will comply with the requirements to notify ACF if an employee is convicted of violating a criminal drug statute. Failure to comply with these requirements may be cause for debarment. Government-wide requirements for Drug-Free Workplace for Financial Assistance are found in 2 C.F.R. Part 182; HHS implementing regulations are set forth in 2 C.F.R. Part 382.400. </w:t>
      </w:r>
      <w:r w:rsidR="000F0509" w:rsidRPr="000F0509">
        <w:t xml:space="preserve">All recipients of ACF grant funds must comply with the requirements in Subpart B - Requirements for Recipients Other Than Individuals 2 </w:t>
      </w:r>
      <w:r w:rsidR="00CD1C97">
        <w:t>C.F.R.</w:t>
      </w:r>
      <w:r w:rsidR="000F0509" w:rsidRPr="000F0509">
        <w:t xml:space="preserve"> § 382.225.</w:t>
      </w:r>
    </w:p>
    <w:p w14:paraId="6212EB4A" w14:textId="4F1DC45A" w:rsidR="00B530CC" w:rsidRDefault="4EBE4636" w:rsidP="001C4C81">
      <w:pPr>
        <w:pStyle w:val="Heading2"/>
      </w:pPr>
      <w:r>
        <w:t xml:space="preserve">Prohibition Against Profit - Unless exempted by 45 C.F.R. § 75.101, program regulations, and/or the terms and conditions of the award:  </w:t>
      </w:r>
    </w:p>
    <w:p w14:paraId="680DA17C" w14:textId="4A5B16C2" w:rsidR="00951685" w:rsidRDefault="00B530CC" w:rsidP="00B00115">
      <w:pPr>
        <w:pStyle w:val="Heading3"/>
      </w:pPr>
      <w:r w:rsidRPr="00951685">
        <w:t xml:space="preserve">Recipients are subject to the limitations set forth in 45 </w:t>
      </w:r>
      <w:r w:rsidRPr="00951685">
        <w:lastRenderedPageBreak/>
        <w:t>C.F.R. § 75.216, Special provisions for awards to commercial organizations as recipients (45 C.F.R. § 75.216(b) Prohibition against profit), which states that, “…no HHS funds may be paid as profit to any recipient even if the recipient is a commercial organization</w:t>
      </w:r>
      <w:r w:rsidR="007942F7">
        <w:t xml:space="preserve">. </w:t>
      </w:r>
    </w:p>
    <w:p w14:paraId="2FE6DA8F" w14:textId="02F938D5" w:rsidR="00B530CC" w:rsidRDefault="00B530CC" w:rsidP="005839BB">
      <w:pPr>
        <w:pStyle w:val="Heading3"/>
      </w:pPr>
      <w:r w:rsidRPr="00951685">
        <w:t>Profit is any amount in excess of allowable direct and indirect costs.”</w:t>
      </w:r>
      <w:r w:rsidR="00951685">
        <w:t xml:space="preserve"> </w:t>
      </w:r>
      <w:r w:rsidRPr="00951685">
        <w:t>Recipients are subject to the limitations under 45 C.F.R. § 75.400, Policy Guide (45 C.F.R. § 75.400(g)) which states “</w:t>
      </w:r>
      <w:r w:rsidR="007942F7">
        <w:t>t</w:t>
      </w:r>
      <w:r w:rsidRPr="00951685">
        <w:t>he non-Federal entity may not earn or keep profit resulting from Federal financial assistance, unless explicitly authorized by the terms and conditions of the Federal award</w:t>
      </w:r>
      <w:r w:rsidR="007942F7">
        <w:t xml:space="preserve">. </w:t>
      </w:r>
      <w:r w:rsidRPr="00951685">
        <w:t>See also §</w:t>
      </w:r>
      <w:r w:rsidR="00175F39" w:rsidRPr="00951685">
        <w:t xml:space="preserve"> </w:t>
      </w:r>
      <w:r w:rsidRPr="00951685">
        <w:t>75.307.</w:t>
      </w:r>
    </w:p>
    <w:p w14:paraId="316D3B81" w14:textId="06F02A82" w:rsidR="00B530CC" w:rsidRDefault="4EBE4636" w:rsidP="001C4C81">
      <w:pPr>
        <w:pStyle w:val="Heading2"/>
      </w:pPr>
      <w:r>
        <w:t>Equal Treatment for Faith-Based Organizations - Recipients are subject to the requirements of 45 C.F.R. § 87, Equal Treatment for Faith-Based Organizations.</w:t>
      </w:r>
    </w:p>
    <w:p w14:paraId="294C6CBF" w14:textId="64F0FFD8" w:rsidR="009511F6" w:rsidRDefault="4E154DCF" w:rsidP="001C4C81">
      <w:pPr>
        <w:pStyle w:val="Heading2"/>
      </w:pPr>
      <w:r>
        <w:t>Award Term and Condition for Unpaid Tax Liability</w:t>
      </w:r>
      <w:r w:rsidR="007942F7">
        <w:t xml:space="preserve"> </w:t>
      </w:r>
      <w:r>
        <w:t xml:space="preserve">- Recipients are subject to the requirement contained in Section 744 of the “Consolidated Appropriations Act, 2022,” (Division E-Financial Services and General Government Appropriations Act, 2022, Title VII, General Provisions — Government-Wide), which says “None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w:t>
      </w:r>
      <w:r>
        <w:lastRenderedPageBreak/>
        <w:t>a Federal agency has considered suspension or debarment of the corporation and has made a determination that this further action is not necessary to protect the interests of the Government."</w:t>
      </w:r>
    </w:p>
    <w:p w14:paraId="3527087D" w14:textId="68C9D573" w:rsidR="009511F6" w:rsidRDefault="4E154DCF" w:rsidP="001C4C81">
      <w:pPr>
        <w:pStyle w:val="Heading2"/>
      </w:pPr>
      <w:r>
        <w:t xml:space="preserve">Requirements for Recipient Electronic and Information Technology - Section 504 of the Rehabilitation Act of 1973 (29 U.S.C. </w:t>
      </w:r>
      <w:r w:rsidR="0049054B" w:rsidRPr="004127FC">
        <w:t xml:space="preserve">§ </w:t>
      </w:r>
      <w:r>
        <w:t>794(a)), states that no otherwise qualified individual with a disability in the United States shall, solely by reason of her or his disability, be excluded from participation in, be denied the benefits of, or be subjected to discrimination under any program or activity for which the Applicant receives Federal financial assistance from the Department</w:t>
      </w:r>
      <w:r w:rsidR="007942F7">
        <w:t xml:space="preserve">. </w:t>
      </w:r>
      <w:r>
        <w:t>To assist recipients in these compliance obligations, HHS suggests implementing the Section 508 standards when the recipient anticipates public use of its electronic and information technology</w:t>
      </w:r>
      <w:r w:rsidR="007942F7">
        <w:t xml:space="preserve">. </w:t>
      </w:r>
      <w:r>
        <w:t xml:space="preserve">Section 508 of the Rehabilitation Act of 1973 (29 U.S.C. </w:t>
      </w:r>
      <w:r w:rsidR="0049054B" w:rsidRPr="004127FC">
        <w:t xml:space="preserve">§ </w:t>
      </w:r>
      <w:r>
        <w:t>794d(a)(1)(A)) requires that when Federal agencies develop, procure, maintain, or use electronic and information technology, individuals with disabilities have access to and use of information and data that is comparable to that provided to the public who are not individuals with disabilities.</w:t>
      </w:r>
    </w:p>
    <w:p w14:paraId="5FF51BDE" w14:textId="1F9D32C7" w:rsidR="00DB2CBC" w:rsidRDefault="00DB2CBC" w:rsidP="00EE6BC1">
      <w:pPr>
        <w:pStyle w:val="Heading1"/>
        <w:numPr>
          <w:ilvl w:val="0"/>
          <w:numId w:val="2"/>
        </w:numPr>
        <w:tabs>
          <w:tab w:val="left" w:pos="720"/>
        </w:tabs>
        <w:spacing w:after="240" w:line="360" w:lineRule="auto"/>
        <w:ind w:left="720"/>
        <w:rPr>
          <w:rFonts w:ascii="Verdana" w:hAnsi="Verdana"/>
        </w:rPr>
      </w:pPr>
      <w:r w:rsidRPr="00DB2CBC">
        <w:rPr>
          <w:rFonts w:ascii="Verdana" w:hAnsi="Verdana"/>
        </w:rPr>
        <w:t>Federal Funding Accountability and Transparency Act (FFATA)</w:t>
      </w:r>
      <w:r w:rsidR="00BC2FF3">
        <w:rPr>
          <w:rFonts w:ascii="Verdana" w:hAnsi="Verdana"/>
        </w:rPr>
        <w:t xml:space="preserve"> (2 </w:t>
      </w:r>
      <w:r w:rsidR="00CD1C97">
        <w:rPr>
          <w:rFonts w:ascii="Verdana" w:hAnsi="Verdana"/>
        </w:rPr>
        <w:t>C.F.R.</w:t>
      </w:r>
      <w:r w:rsidR="00BC2FF3">
        <w:rPr>
          <w:rFonts w:ascii="Verdana" w:hAnsi="Verdana"/>
        </w:rPr>
        <w:t xml:space="preserve"> Part 170)</w:t>
      </w:r>
    </w:p>
    <w:p w14:paraId="2715CB71" w14:textId="662A5B8D" w:rsidR="009511F6" w:rsidRDefault="009511F6" w:rsidP="005839BB">
      <w:pPr>
        <w:spacing w:after="240" w:line="360" w:lineRule="auto"/>
        <w:rPr>
          <w:rFonts w:ascii="Verdana" w:hAnsi="Verdana"/>
          <w:sz w:val="24"/>
          <w:szCs w:val="24"/>
        </w:rPr>
      </w:pPr>
      <w:r w:rsidRPr="00E0178F">
        <w:rPr>
          <w:rFonts w:ascii="Verdana" w:hAnsi="Verdana"/>
          <w:sz w:val="24"/>
          <w:szCs w:val="24"/>
        </w:rPr>
        <w:t>This award is subject to the Federal Financial Accountability and Transparency Act (FFATA or Transparency) of 2006 subaward and executive compensation reporting requirements</w:t>
      </w:r>
      <w:r w:rsidR="007942F7">
        <w:rPr>
          <w:rFonts w:ascii="Verdana" w:hAnsi="Verdana"/>
          <w:sz w:val="24"/>
          <w:szCs w:val="24"/>
        </w:rPr>
        <w:t xml:space="preserve">. </w:t>
      </w:r>
      <w:r w:rsidRPr="00E0178F">
        <w:rPr>
          <w:rFonts w:ascii="Verdana" w:hAnsi="Verdana"/>
          <w:sz w:val="24"/>
          <w:szCs w:val="24"/>
        </w:rPr>
        <w:t xml:space="preserve">This award is also subject to the requirements as set forth in 2 </w:t>
      </w:r>
      <w:r w:rsidR="00CD1C97">
        <w:rPr>
          <w:rFonts w:ascii="Verdana" w:hAnsi="Verdana"/>
          <w:sz w:val="24"/>
          <w:szCs w:val="24"/>
        </w:rPr>
        <w:t>C.F.R.</w:t>
      </w:r>
      <w:r w:rsidRPr="00E0178F">
        <w:rPr>
          <w:rFonts w:ascii="Verdana" w:hAnsi="Verdana"/>
          <w:sz w:val="24"/>
          <w:szCs w:val="24"/>
        </w:rPr>
        <w:t xml:space="preserve"> </w:t>
      </w:r>
      <w:r w:rsidR="006B171A" w:rsidRPr="004127FC">
        <w:rPr>
          <w:rFonts w:ascii="Verdana" w:hAnsi="Verdana"/>
        </w:rPr>
        <w:t xml:space="preserve">§ </w:t>
      </w:r>
      <w:r w:rsidRPr="00E0178F">
        <w:rPr>
          <w:rFonts w:ascii="Verdana" w:hAnsi="Verdana"/>
          <w:sz w:val="24"/>
          <w:szCs w:val="24"/>
        </w:rPr>
        <w:t>25.110 Central Contractor Registration (CCR)</w:t>
      </w:r>
      <w:r w:rsidR="00BC2FF3">
        <w:rPr>
          <w:rFonts w:ascii="Verdana" w:hAnsi="Verdana"/>
          <w:sz w:val="24"/>
          <w:szCs w:val="24"/>
        </w:rPr>
        <w:t xml:space="preserve"> </w:t>
      </w:r>
      <w:r w:rsidRPr="00E0178F">
        <w:rPr>
          <w:rFonts w:ascii="Verdana" w:hAnsi="Verdana"/>
          <w:sz w:val="24"/>
          <w:szCs w:val="24"/>
        </w:rPr>
        <w:t>and DATA Universal Number System (DUNS)</w:t>
      </w:r>
      <w:r w:rsidR="007942F7">
        <w:rPr>
          <w:rFonts w:ascii="Verdana" w:hAnsi="Verdana"/>
          <w:sz w:val="24"/>
          <w:szCs w:val="24"/>
        </w:rPr>
        <w:t xml:space="preserve">. </w:t>
      </w:r>
      <w:r w:rsidRPr="00E0178F">
        <w:rPr>
          <w:rFonts w:ascii="Verdana" w:hAnsi="Verdana"/>
          <w:sz w:val="24"/>
          <w:szCs w:val="24"/>
        </w:rPr>
        <w:t>If applicable, Subrecipient must comply with these requirements and have a federally issued Unique Entity Identifier at the time of the Grant Award</w:t>
      </w:r>
      <w:r w:rsidR="007942F7">
        <w:rPr>
          <w:rFonts w:ascii="Verdana" w:hAnsi="Verdana"/>
          <w:sz w:val="24"/>
          <w:szCs w:val="24"/>
        </w:rPr>
        <w:t xml:space="preserve">. </w:t>
      </w:r>
      <w:r w:rsidRPr="00E0178F">
        <w:rPr>
          <w:rFonts w:ascii="Verdana" w:hAnsi="Verdana"/>
          <w:sz w:val="24"/>
          <w:szCs w:val="24"/>
        </w:rPr>
        <w:t xml:space="preserve">Additionally, if required, Subrecipient will have a registered SAM.gov account </w:t>
      </w:r>
      <w:r w:rsidRPr="00E0178F">
        <w:rPr>
          <w:rFonts w:ascii="Verdana" w:hAnsi="Verdana"/>
          <w:sz w:val="24"/>
          <w:szCs w:val="24"/>
        </w:rPr>
        <w:lastRenderedPageBreak/>
        <w:t>within thirty (30) days of and throughout the Grant Award</w:t>
      </w:r>
      <w:r w:rsidR="007942F7">
        <w:rPr>
          <w:rFonts w:ascii="Verdana" w:hAnsi="Verdana"/>
          <w:sz w:val="24"/>
          <w:szCs w:val="24"/>
        </w:rPr>
        <w:t xml:space="preserve">. </w:t>
      </w:r>
    </w:p>
    <w:p w14:paraId="13CF6FE7" w14:textId="2DC1B884" w:rsidR="009511F6" w:rsidRPr="007E6BCF" w:rsidRDefault="009511F6" w:rsidP="00EE6BC1">
      <w:pPr>
        <w:pStyle w:val="Heading1"/>
        <w:numPr>
          <w:ilvl w:val="0"/>
          <w:numId w:val="2"/>
        </w:numPr>
        <w:tabs>
          <w:tab w:val="left" w:pos="720"/>
        </w:tabs>
        <w:spacing w:after="240" w:line="360" w:lineRule="auto"/>
        <w:ind w:left="720"/>
        <w:rPr>
          <w:rFonts w:ascii="Verdana" w:hAnsi="Verdana"/>
        </w:rPr>
      </w:pPr>
      <w:r w:rsidRPr="007E6BCF">
        <w:rPr>
          <w:rFonts w:ascii="Verdana" w:hAnsi="Verdana"/>
        </w:rPr>
        <w:t>Award Term for System Award Management and Unique Entity Identifier</w:t>
      </w:r>
    </w:p>
    <w:p w14:paraId="210AA782" w14:textId="3D05E996" w:rsidR="00E6392F" w:rsidRDefault="00E6392F" w:rsidP="005839BB">
      <w:pPr>
        <w:pStyle w:val="paragraph"/>
        <w:spacing w:before="0" w:beforeAutospacing="0" w:after="240" w:afterAutospacing="0" w:line="360" w:lineRule="auto"/>
        <w:textAlignment w:val="baseline"/>
        <w:rPr>
          <w:rFonts w:ascii="Verdana" w:hAnsi="Verdana"/>
        </w:rPr>
      </w:pPr>
      <w:r>
        <w:rPr>
          <w:rStyle w:val="normaltextrun"/>
          <w:rFonts w:ascii="Verdana" w:hAnsi="Verdana"/>
        </w:rPr>
        <w:t>This award is subject to requirements as set forth in System Award Management (SAM) and Unique Entity Identifier (UEI) Requirements. (2 C.F.R. § 25.110).</w:t>
      </w:r>
    </w:p>
    <w:p w14:paraId="30C8FC18" w14:textId="50B73E94" w:rsidR="00E6392F" w:rsidRDefault="00E6392F" w:rsidP="001C4C81">
      <w:pPr>
        <w:pStyle w:val="Heading2"/>
      </w:pPr>
      <w:r>
        <w:rPr>
          <w:rStyle w:val="normaltextrun"/>
        </w:rPr>
        <w:t>Requirement for SAM</w:t>
      </w:r>
    </w:p>
    <w:p w14:paraId="297C04B4" w14:textId="7C618DCB" w:rsidR="00E6392F" w:rsidRDefault="00E6392F" w:rsidP="005839BB">
      <w:pPr>
        <w:pStyle w:val="paragraph"/>
        <w:spacing w:before="0" w:beforeAutospacing="0" w:after="240" w:afterAutospacing="0" w:line="360" w:lineRule="auto"/>
        <w:ind w:left="720"/>
        <w:textAlignment w:val="baseline"/>
        <w:rPr>
          <w:rFonts w:ascii="Verdana" w:hAnsi="Verdana"/>
        </w:rPr>
      </w:pPr>
      <w:r>
        <w:rPr>
          <w:rStyle w:val="normaltextrun"/>
          <w:rFonts w:ascii="Verdana" w:hAnsi="Verdana"/>
        </w:rPr>
        <w:t>Unless exempted from this requirement under 2 C.F.R. § 25.110, the recipient must maintain current information in the SAM</w:t>
      </w:r>
      <w:r w:rsidR="007942F7">
        <w:rPr>
          <w:rStyle w:val="normaltextrun"/>
          <w:rFonts w:ascii="Verdana" w:hAnsi="Verdana"/>
        </w:rPr>
        <w:t xml:space="preserve">. </w:t>
      </w:r>
      <w:r>
        <w:rPr>
          <w:rStyle w:val="normaltextrun"/>
          <w:rFonts w:ascii="Verdana" w:hAnsi="Verdana"/>
        </w:rPr>
        <w:t>This includes information on recipient’s immediate and highest level owner and subsidiaries, as well as on all predecessors that have been awarded a Federal contract or federal financial assistance within the last three years, if applicable, until recipient submits the final financial report required under your award or receive the final payment, whichever is later</w:t>
      </w:r>
      <w:r w:rsidR="007942F7">
        <w:rPr>
          <w:rStyle w:val="normaltextrun"/>
          <w:rFonts w:ascii="Verdana" w:hAnsi="Verdana"/>
        </w:rPr>
        <w:t xml:space="preserve">. </w:t>
      </w:r>
      <w:r>
        <w:rPr>
          <w:rStyle w:val="normaltextrun"/>
          <w:rFonts w:ascii="Verdana" w:hAnsi="Verdana"/>
        </w:rPr>
        <w:t>Recipient must review and update the information at least annually after the initial registration, and more frequently if required by changes in information.</w:t>
      </w:r>
    </w:p>
    <w:p w14:paraId="15CD3B05" w14:textId="69E158F1" w:rsidR="00E6392F" w:rsidRDefault="00E6392F" w:rsidP="001C4C81">
      <w:pPr>
        <w:pStyle w:val="Heading2"/>
      </w:pPr>
      <w:r>
        <w:rPr>
          <w:rStyle w:val="normaltextrun"/>
        </w:rPr>
        <w:t>Requirements for UEI</w:t>
      </w:r>
    </w:p>
    <w:p w14:paraId="7D5DE92F" w14:textId="31590082" w:rsidR="00E6392F" w:rsidRDefault="00E6392F" w:rsidP="005839BB">
      <w:pPr>
        <w:pStyle w:val="paragraph"/>
        <w:spacing w:before="0" w:beforeAutospacing="0" w:after="240" w:afterAutospacing="0" w:line="360" w:lineRule="auto"/>
        <w:ind w:left="720"/>
        <w:textAlignment w:val="baseline"/>
        <w:rPr>
          <w:rFonts w:ascii="Verdana" w:hAnsi="Verdana"/>
        </w:rPr>
      </w:pPr>
      <w:r>
        <w:rPr>
          <w:rStyle w:val="normaltextrun"/>
          <w:rFonts w:ascii="Verdana" w:hAnsi="Verdana"/>
        </w:rPr>
        <w:t>If recipient is authorized to make subawards, recipient must:</w:t>
      </w:r>
    </w:p>
    <w:p w14:paraId="16C79D06" w14:textId="15DB8C1B" w:rsidR="00E6392F" w:rsidRDefault="00E6392F" w:rsidP="00B00115">
      <w:pPr>
        <w:pStyle w:val="Heading3"/>
      </w:pPr>
      <w:r>
        <w:rPr>
          <w:rStyle w:val="normaltextrun"/>
        </w:rPr>
        <w:t>notify potential subrecipients that no entity may receive a subaward from unless the entity has provided its UEI.</w:t>
      </w:r>
    </w:p>
    <w:p w14:paraId="02DFA6DB" w14:textId="3B011379" w:rsidR="00E6392F" w:rsidRDefault="00E6392F" w:rsidP="00B00115">
      <w:pPr>
        <w:pStyle w:val="Heading3"/>
        <w:rPr>
          <w:rStyle w:val="normaltextrun"/>
        </w:rPr>
      </w:pPr>
      <w:r>
        <w:rPr>
          <w:rStyle w:val="normaltextrun"/>
        </w:rPr>
        <w:t>Not make a subaward to an entity unless the entity has provided its UEI.</w:t>
      </w:r>
    </w:p>
    <w:p w14:paraId="21EDD6CD" w14:textId="2CD319C5" w:rsidR="009035F3" w:rsidRDefault="00450886" w:rsidP="0002519D">
      <w:pPr>
        <w:pStyle w:val="Heading2"/>
        <w:keepNext/>
      </w:pPr>
      <w:r>
        <w:lastRenderedPageBreak/>
        <w:t>Definitions</w:t>
      </w:r>
    </w:p>
    <w:p w14:paraId="3090755D" w14:textId="77777777" w:rsidR="00397D38" w:rsidRPr="00CD1C97" w:rsidRDefault="00397D38" w:rsidP="0002519D">
      <w:pPr>
        <w:keepNext/>
        <w:spacing w:after="240" w:line="360" w:lineRule="auto"/>
        <w:ind w:left="720"/>
        <w:rPr>
          <w:rFonts w:ascii="Verdana" w:hAnsi="Verdana"/>
          <w:sz w:val="24"/>
          <w:szCs w:val="24"/>
        </w:rPr>
      </w:pPr>
      <w:r w:rsidRPr="00CD1C97">
        <w:rPr>
          <w:rFonts w:ascii="Verdana" w:hAnsi="Verdana"/>
          <w:sz w:val="24"/>
          <w:szCs w:val="24"/>
        </w:rPr>
        <w:t>For purposes of this award term:</w:t>
      </w:r>
    </w:p>
    <w:p w14:paraId="7C60DD63" w14:textId="77777777" w:rsidR="00397D38" w:rsidRDefault="00397D38" w:rsidP="0002519D">
      <w:pPr>
        <w:pStyle w:val="Heading3"/>
        <w:keepNext/>
      </w:pPr>
      <w:r>
        <w:t>SAM means the Federal repository into which a recipient must provide information required for the conduct of business as a recipient. Additional information about registration procedures may be found at the SAM website.</w:t>
      </w:r>
    </w:p>
    <w:p w14:paraId="2B1A0CBD" w14:textId="77777777" w:rsidR="00397D38" w:rsidRDefault="00397D38" w:rsidP="0002519D">
      <w:pPr>
        <w:pStyle w:val="Heading3"/>
        <w:keepNext/>
      </w:pPr>
      <w:r>
        <w:t>UEI means the identifier assigned by SAM to uniquely identify business entities.</w:t>
      </w:r>
    </w:p>
    <w:p w14:paraId="2167662F" w14:textId="40AD1E48" w:rsidR="00397D38" w:rsidRDefault="00397D38" w:rsidP="0002519D">
      <w:pPr>
        <w:pStyle w:val="Heading3"/>
        <w:keepNext/>
        <w:spacing w:after="0"/>
      </w:pPr>
      <w:r>
        <w:t xml:space="preserve">Entity includes non-Federal entities as defined at 2 </w:t>
      </w:r>
      <w:r w:rsidR="006B171A" w:rsidRPr="004127FC">
        <w:t xml:space="preserve">§ </w:t>
      </w:r>
      <w:r w:rsidR="00CD1C97">
        <w:t>C.F.R.</w:t>
      </w:r>
      <w:r>
        <w:t xml:space="preserve"> 200.1 and also includes all of the following, for purposes of this part:</w:t>
      </w:r>
    </w:p>
    <w:p w14:paraId="16C7E368" w14:textId="77777777" w:rsidR="00397D38" w:rsidRPr="00CD1C97" w:rsidRDefault="00397D38" w:rsidP="0002519D">
      <w:pPr>
        <w:pStyle w:val="ListParagraph"/>
        <w:keepNext/>
        <w:numPr>
          <w:ilvl w:val="0"/>
          <w:numId w:val="9"/>
        </w:numPr>
        <w:spacing w:line="360" w:lineRule="auto"/>
        <w:rPr>
          <w:rFonts w:ascii="Verdana" w:hAnsi="Verdana"/>
          <w:sz w:val="24"/>
          <w:szCs w:val="24"/>
        </w:rPr>
      </w:pPr>
      <w:r w:rsidRPr="00CD1C97">
        <w:rPr>
          <w:rFonts w:ascii="Verdana" w:hAnsi="Verdana"/>
          <w:sz w:val="24"/>
          <w:szCs w:val="24"/>
        </w:rPr>
        <w:t>A foreign organization;</w:t>
      </w:r>
    </w:p>
    <w:p w14:paraId="0D6BC774" w14:textId="77777777" w:rsidR="00397D38" w:rsidRPr="00CD1C97" w:rsidRDefault="00397D38" w:rsidP="0002519D">
      <w:pPr>
        <w:pStyle w:val="ListParagraph"/>
        <w:keepNext/>
        <w:numPr>
          <w:ilvl w:val="0"/>
          <w:numId w:val="9"/>
        </w:numPr>
        <w:spacing w:line="360" w:lineRule="auto"/>
        <w:rPr>
          <w:rFonts w:ascii="Verdana" w:hAnsi="Verdana"/>
          <w:sz w:val="24"/>
          <w:szCs w:val="24"/>
        </w:rPr>
      </w:pPr>
      <w:r w:rsidRPr="00CD1C97">
        <w:rPr>
          <w:rFonts w:ascii="Verdana" w:hAnsi="Verdana"/>
          <w:sz w:val="24"/>
          <w:szCs w:val="24"/>
        </w:rPr>
        <w:t>A foreign public entity;</w:t>
      </w:r>
    </w:p>
    <w:p w14:paraId="7ACF693B" w14:textId="77777777" w:rsidR="00397D38" w:rsidRPr="00CD1C97" w:rsidRDefault="00397D38" w:rsidP="0002519D">
      <w:pPr>
        <w:pStyle w:val="ListParagraph"/>
        <w:keepNext/>
        <w:numPr>
          <w:ilvl w:val="0"/>
          <w:numId w:val="9"/>
        </w:numPr>
        <w:spacing w:line="360" w:lineRule="auto"/>
        <w:rPr>
          <w:rFonts w:ascii="Verdana" w:hAnsi="Verdana"/>
          <w:sz w:val="24"/>
          <w:szCs w:val="24"/>
        </w:rPr>
      </w:pPr>
      <w:r w:rsidRPr="00CD1C97">
        <w:rPr>
          <w:rFonts w:ascii="Verdana" w:hAnsi="Verdana"/>
          <w:sz w:val="24"/>
          <w:szCs w:val="24"/>
        </w:rPr>
        <w:t>A domestic for-profit organization; and</w:t>
      </w:r>
    </w:p>
    <w:p w14:paraId="0204F034" w14:textId="77777777" w:rsidR="00397D38" w:rsidRPr="00CD1C97" w:rsidRDefault="00397D38" w:rsidP="0002519D">
      <w:pPr>
        <w:pStyle w:val="ListParagraph"/>
        <w:keepNext/>
        <w:numPr>
          <w:ilvl w:val="0"/>
          <w:numId w:val="9"/>
        </w:numPr>
        <w:spacing w:line="360" w:lineRule="auto"/>
        <w:rPr>
          <w:rFonts w:ascii="Verdana" w:hAnsi="Verdana"/>
          <w:sz w:val="24"/>
          <w:szCs w:val="24"/>
        </w:rPr>
      </w:pPr>
      <w:r w:rsidRPr="00CD1C97">
        <w:rPr>
          <w:rFonts w:ascii="Verdana" w:hAnsi="Verdana"/>
          <w:sz w:val="24"/>
          <w:szCs w:val="24"/>
        </w:rPr>
        <w:t>A Federal agency.</w:t>
      </w:r>
    </w:p>
    <w:p w14:paraId="127FA06F" w14:textId="210E6E0C" w:rsidR="00397D38" w:rsidRDefault="00397D38" w:rsidP="0002519D">
      <w:pPr>
        <w:pStyle w:val="Heading3"/>
        <w:keepNext/>
      </w:pPr>
      <w:r>
        <w:t xml:space="preserve">Subaward has the meaning given in 2 </w:t>
      </w:r>
      <w:r w:rsidR="00CD1C97">
        <w:t>C.F.R.</w:t>
      </w:r>
      <w:r>
        <w:t xml:space="preserve"> </w:t>
      </w:r>
      <w:r w:rsidR="006B171A" w:rsidRPr="004127FC">
        <w:t xml:space="preserve">§ </w:t>
      </w:r>
      <w:r>
        <w:t>200.1.</w:t>
      </w:r>
    </w:p>
    <w:p w14:paraId="38FEA07E" w14:textId="0BD67EBD" w:rsidR="00450886" w:rsidRPr="00450886" w:rsidRDefault="00397D38" w:rsidP="0002519D">
      <w:pPr>
        <w:pStyle w:val="Heading3"/>
        <w:keepNext/>
      </w:pPr>
      <w:r>
        <w:t xml:space="preserve">Subrecipient has the meaning given in 2 </w:t>
      </w:r>
      <w:r w:rsidR="00CD1C97">
        <w:t>C.F.R.</w:t>
      </w:r>
      <w:r>
        <w:t xml:space="preserve"> </w:t>
      </w:r>
      <w:r w:rsidR="006B171A" w:rsidRPr="004127FC">
        <w:t xml:space="preserve">§ </w:t>
      </w:r>
      <w:r>
        <w:t>200.1.</w:t>
      </w:r>
    </w:p>
    <w:p w14:paraId="525DDED3" w14:textId="411A0B67" w:rsidR="00E6392F" w:rsidRPr="009511F6" w:rsidRDefault="7503FA11" w:rsidP="00EE6BC1">
      <w:pPr>
        <w:pStyle w:val="Heading1"/>
        <w:numPr>
          <w:ilvl w:val="0"/>
          <w:numId w:val="2"/>
        </w:numPr>
        <w:tabs>
          <w:tab w:val="left" w:pos="720"/>
        </w:tabs>
        <w:spacing w:after="240" w:line="360" w:lineRule="auto"/>
        <w:ind w:left="720" w:right="14"/>
        <w:rPr>
          <w:rFonts w:ascii="Verdana" w:hAnsi="Verdana"/>
        </w:rPr>
      </w:pPr>
      <w:r w:rsidRPr="02548E1F">
        <w:rPr>
          <w:rStyle w:val="eop"/>
          <w:rFonts w:ascii="Verdana" w:hAnsi="Verdana"/>
          <w:color w:val="000000" w:themeColor="text1"/>
        </w:rPr>
        <w:t>Whistleblower Protections</w:t>
      </w:r>
    </w:p>
    <w:p w14:paraId="19776B62" w14:textId="347CE152" w:rsidR="00DB2CBC" w:rsidRDefault="00E6392F" w:rsidP="005839BB">
      <w:pPr>
        <w:spacing w:after="240" w:line="360" w:lineRule="auto"/>
        <w:rPr>
          <w:rStyle w:val="eop"/>
          <w:rFonts w:ascii="Verdana" w:hAnsi="Verdana"/>
          <w:sz w:val="24"/>
          <w:szCs w:val="24"/>
          <w:shd w:val="clear" w:color="auto" w:fill="FFFFFF"/>
        </w:rPr>
      </w:pPr>
      <w:r w:rsidRPr="00CA26D9">
        <w:rPr>
          <w:rStyle w:val="normaltextrun"/>
          <w:rFonts w:ascii="Verdana" w:hAnsi="Verdana"/>
          <w:color w:val="000000"/>
          <w:sz w:val="24"/>
          <w:szCs w:val="24"/>
          <w:shd w:val="clear" w:color="auto" w:fill="FFFFFF"/>
        </w:rPr>
        <w:t>Recipients must comply with the National Defense Authorization Act (NDAA) for Fiscal Year 2013 (Pub.L. 112-239, 41 U.S.C. § 4712) “Enhancement of contractor protection from reprisal for disclosure of certain information,” and 48 C.F.R. Part 3, Subpart 3.9, “</w:t>
      </w:r>
      <w:r w:rsidRPr="00CA26D9">
        <w:rPr>
          <w:rStyle w:val="findhit"/>
          <w:rFonts w:ascii="Verdana" w:hAnsi="Verdana"/>
          <w:color w:val="000000"/>
          <w:sz w:val="24"/>
          <w:szCs w:val="24"/>
          <w:shd w:val="clear" w:color="auto" w:fill="FFFFFF"/>
        </w:rPr>
        <w:t>Whistle</w:t>
      </w:r>
      <w:r w:rsidRPr="00CA26D9">
        <w:rPr>
          <w:rStyle w:val="normaltextrun"/>
          <w:rFonts w:ascii="Verdana" w:hAnsi="Verdana"/>
          <w:color w:val="000000"/>
          <w:sz w:val="24"/>
          <w:szCs w:val="24"/>
          <w:shd w:val="clear" w:color="auto" w:fill="FFFFFF"/>
        </w:rPr>
        <w:t>blower Protections for Contractor Employees.”</w:t>
      </w:r>
      <w:r w:rsidR="00CD3F56">
        <w:rPr>
          <w:rStyle w:val="normaltextrun"/>
          <w:rFonts w:ascii="Verdana" w:hAnsi="Verdana"/>
          <w:color w:val="000000"/>
          <w:sz w:val="24"/>
          <w:szCs w:val="24"/>
          <w:shd w:val="clear" w:color="auto" w:fill="FFFFFF"/>
        </w:rPr>
        <w:t xml:space="preserve"> </w:t>
      </w:r>
      <w:r w:rsidRPr="00CA26D9">
        <w:rPr>
          <w:rStyle w:val="normaltextrun"/>
          <w:rFonts w:ascii="Verdana" w:hAnsi="Verdana"/>
          <w:color w:val="000000"/>
          <w:sz w:val="24"/>
          <w:szCs w:val="24"/>
          <w:shd w:val="clear" w:color="auto" w:fill="FFFFFF"/>
        </w:rPr>
        <w:t xml:space="preserve"> For more information see: </w:t>
      </w:r>
      <w:hyperlink r:id="rId15" w:tgtFrame="_blank" w:history="1">
        <w:r w:rsidRPr="00FB7A5B">
          <w:rPr>
            <w:rStyle w:val="Hyperlink"/>
            <w:rFonts w:ascii="Verdana" w:hAnsi="Verdana"/>
            <w:spacing w:val="-2"/>
            <w:sz w:val="24"/>
            <w:szCs w:val="24"/>
          </w:rPr>
          <w:t>https://oig.hhs.gov/fraud/whistleblower/</w:t>
        </w:r>
      </w:hyperlink>
      <w:r w:rsidRPr="00FB7A5B">
        <w:rPr>
          <w:rStyle w:val="Hyperlink"/>
          <w:rFonts w:ascii="Verdana" w:hAnsi="Verdana"/>
          <w:spacing w:val="-2"/>
          <w:sz w:val="24"/>
          <w:szCs w:val="24"/>
        </w:rPr>
        <w:t> </w:t>
      </w:r>
      <w:r w:rsidRPr="009F56FE">
        <w:rPr>
          <w:rStyle w:val="Hyperlink"/>
          <w:rFonts w:ascii="Verdana" w:hAnsi="Verdana"/>
          <w:color w:val="auto"/>
          <w:spacing w:val="-2"/>
          <w:sz w:val="24"/>
          <w:szCs w:val="24"/>
          <w:u w:val="none"/>
        </w:rPr>
        <w:t>and</w:t>
      </w:r>
      <w:r w:rsidRPr="00FB7A5B">
        <w:rPr>
          <w:rStyle w:val="Hyperlink"/>
          <w:rFonts w:ascii="Verdana" w:hAnsi="Verdana"/>
          <w:spacing w:val="-2"/>
          <w:sz w:val="24"/>
          <w:szCs w:val="24"/>
        </w:rPr>
        <w:t> </w:t>
      </w:r>
      <w:hyperlink r:id="rId16" w:tgtFrame="_blank" w:history="1">
        <w:r w:rsidRPr="00FB7A5B">
          <w:rPr>
            <w:rStyle w:val="Hyperlink"/>
            <w:rFonts w:ascii="Verdana" w:hAnsi="Verdana"/>
            <w:spacing w:val="-2"/>
            <w:sz w:val="24"/>
            <w:szCs w:val="24"/>
          </w:rPr>
          <w:t>Whistleblower Notice to HHS Contractors, Subcontractors, Grantees, Subgrantees or Personal Services Contractors</w:t>
        </w:r>
      </w:hyperlink>
      <w:r w:rsidR="00B82A19" w:rsidRPr="00FB04B0">
        <w:rPr>
          <w:rStyle w:val="eop"/>
          <w:rFonts w:ascii="Verdana" w:hAnsi="Verdana"/>
          <w:sz w:val="24"/>
          <w:szCs w:val="24"/>
          <w:shd w:val="clear" w:color="auto" w:fill="FFFFFF"/>
        </w:rPr>
        <w:t>.</w:t>
      </w:r>
    </w:p>
    <w:p w14:paraId="0A24931A" w14:textId="64175375" w:rsidR="009F18F2" w:rsidRPr="00CD1C97" w:rsidRDefault="00A431AE" w:rsidP="0002519D">
      <w:pPr>
        <w:pStyle w:val="Heading1"/>
        <w:keepNext/>
        <w:numPr>
          <w:ilvl w:val="0"/>
          <w:numId w:val="2"/>
        </w:numPr>
        <w:spacing w:after="240"/>
        <w:ind w:left="720"/>
        <w:rPr>
          <w:rStyle w:val="eop"/>
          <w:rFonts w:ascii="Verdana" w:hAnsi="Verdana"/>
          <w:shd w:val="clear" w:color="auto" w:fill="FFFFFF"/>
        </w:rPr>
      </w:pPr>
      <w:r w:rsidRPr="00CD1C97">
        <w:rPr>
          <w:rStyle w:val="eop"/>
          <w:rFonts w:ascii="Verdana" w:hAnsi="Verdana"/>
          <w:shd w:val="clear" w:color="auto" w:fill="FFFFFF"/>
        </w:rPr>
        <w:lastRenderedPageBreak/>
        <w:t>Executive Orders</w:t>
      </w:r>
    </w:p>
    <w:p w14:paraId="25A8D616" w14:textId="644BB184" w:rsidR="00536B7B" w:rsidRDefault="008F755F" w:rsidP="0002519D">
      <w:pPr>
        <w:keepNext/>
        <w:spacing w:line="360" w:lineRule="auto"/>
        <w:rPr>
          <w:rStyle w:val="eop"/>
          <w:rFonts w:ascii="Verdana" w:hAnsi="Verdana"/>
          <w:sz w:val="24"/>
          <w:szCs w:val="24"/>
          <w:shd w:val="clear" w:color="auto" w:fill="FFFFFF"/>
        </w:rPr>
      </w:pPr>
      <w:r>
        <w:rPr>
          <w:rStyle w:val="eop"/>
          <w:rFonts w:ascii="Verdana" w:hAnsi="Verdana"/>
          <w:sz w:val="24"/>
          <w:szCs w:val="24"/>
          <w:shd w:val="clear" w:color="auto" w:fill="FFFFFF"/>
        </w:rPr>
        <w:t xml:space="preserve">This award is subject to Executive Orders in the Federal Register available at: </w:t>
      </w:r>
      <w:hyperlink r:id="rId17" w:history="1">
        <w:r w:rsidR="00951685" w:rsidRPr="00951685">
          <w:rPr>
            <w:rStyle w:val="Hyperlink"/>
            <w:rFonts w:ascii="Verdana" w:hAnsi="Verdana"/>
            <w:sz w:val="24"/>
            <w:szCs w:val="24"/>
            <w:shd w:val="clear" w:color="auto" w:fill="FFFFFF"/>
          </w:rPr>
          <w:t>https://www.federalregister.gov/presidential-documents/executive-orders</w:t>
        </w:r>
      </w:hyperlink>
    </w:p>
    <w:p w14:paraId="33CBF9B6" w14:textId="77777777" w:rsidR="00FD0128" w:rsidRPr="00E6392F" w:rsidRDefault="00FD0128" w:rsidP="00951685">
      <w:pPr>
        <w:spacing w:line="360" w:lineRule="auto"/>
        <w:ind w:left="810"/>
        <w:rPr>
          <w:rFonts w:ascii="Verdana" w:hAnsi="Verdana"/>
          <w:b/>
          <w:bCs/>
          <w:sz w:val="24"/>
          <w:szCs w:val="24"/>
        </w:rPr>
      </w:pPr>
    </w:p>
    <w:sectPr w:rsidR="00FD0128" w:rsidRPr="00E6392F" w:rsidSect="00CA2A0A">
      <w:headerReference w:type="default" r:id="rId18"/>
      <w:footerReference w:type="default" r:id="rId19"/>
      <w:pgSz w:w="12240" w:h="15840"/>
      <w:pgMar w:top="1440" w:right="1440" w:bottom="1440" w:left="1440"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807B" w14:textId="77777777" w:rsidR="003C7436" w:rsidRDefault="003C7436">
      <w:r>
        <w:separator/>
      </w:r>
    </w:p>
  </w:endnote>
  <w:endnote w:type="continuationSeparator" w:id="0">
    <w:p w14:paraId="50B9AF75" w14:textId="77777777" w:rsidR="003C7436" w:rsidRDefault="003C7436">
      <w:r>
        <w:continuationSeparator/>
      </w:r>
    </w:p>
  </w:endnote>
  <w:endnote w:type="continuationNotice" w:id="1">
    <w:p w14:paraId="037BA250" w14:textId="77777777" w:rsidR="003C7436" w:rsidRDefault="003C7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4"/>
        <w:szCs w:val="24"/>
      </w:rPr>
      <w:id w:val="1038628446"/>
      <w:docPartObj>
        <w:docPartGallery w:val="Page Numbers (Bottom of Page)"/>
        <w:docPartUnique/>
      </w:docPartObj>
    </w:sdtPr>
    <w:sdtEndPr/>
    <w:sdtContent>
      <w:sdt>
        <w:sdtPr>
          <w:rPr>
            <w:rFonts w:ascii="Verdana" w:hAnsi="Verdana"/>
            <w:sz w:val="24"/>
            <w:szCs w:val="24"/>
          </w:rPr>
          <w:id w:val="1728636285"/>
          <w:docPartObj>
            <w:docPartGallery w:val="Page Numbers (Top of Page)"/>
            <w:docPartUnique/>
          </w:docPartObj>
        </w:sdtPr>
        <w:sdtEndPr/>
        <w:sdtContent>
          <w:p w14:paraId="1B47A3B9" w14:textId="77777777" w:rsidR="004952C8" w:rsidRDefault="00EE6BC1" w:rsidP="00EE6BC1">
            <w:pPr>
              <w:pStyle w:val="Footer"/>
              <w:jc w:val="center"/>
              <w:rPr>
                <w:rFonts w:ascii="Verdana" w:hAnsi="Verdana"/>
                <w:sz w:val="24"/>
                <w:szCs w:val="24"/>
              </w:rPr>
            </w:pPr>
            <w:r w:rsidRPr="00EE6BC1">
              <w:rPr>
                <w:rFonts w:ascii="Verdana" w:hAnsi="Verdana"/>
                <w:sz w:val="24"/>
                <w:szCs w:val="24"/>
              </w:rPr>
              <w:t xml:space="preserve">Page </w:t>
            </w:r>
            <w:permStart w:id="760025009" w:edGrp="everyone"/>
            <w:r w:rsidRPr="00EE6BC1">
              <w:rPr>
                <w:rFonts w:ascii="Verdana" w:hAnsi="Verdana"/>
                <w:sz w:val="24"/>
                <w:szCs w:val="24"/>
              </w:rPr>
              <w:fldChar w:fldCharType="begin"/>
            </w:r>
            <w:r w:rsidRPr="00EE6BC1">
              <w:rPr>
                <w:rFonts w:ascii="Verdana" w:hAnsi="Verdana"/>
                <w:sz w:val="24"/>
                <w:szCs w:val="24"/>
              </w:rPr>
              <w:instrText xml:space="preserve"> PAGE </w:instrText>
            </w:r>
            <w:r w:rsidRPr="00EE6BC1">
              <w:rPr>
                <w:rFonts w:ascii="Verdana" w:hAnsi="Verdana"/>
                <w:sz w:val="24"/>
                <w:szCs w:val="24"/>
              </w:rPr>
              <w:fldChar w:fldCharType="separate"/>
            </w:r>
            <w:r w:rsidRPr="00EE6BC1">
              <w:rPr>
                <w:rFonts w:ascii="Verdana" w:hAnsi="Verdana"/>
                <w:noProof/>
                <w:sz w:val="24"/>
                <w:szCs w:val="24"/>
              </w:rPr>
              <w:t>2</w:t>
            </w:r>
            <w:r w:rsidRPr="00EE6BC1">
              <w:rPr>
                <w:rFonts w:ascii="Verdana" w:hAnsi="Verdana"/>
                <w:sz w:val="24"/>
                <w:szCs w:val="24"/>
              </w:rPr>
              <w:fldChar w:fldCharType="end"/>
            </w:r>
            <w:permEnd w:id="760025009"/>
            <w:r w:rsidRPr="00EE6BC1">
              <w:rPr>
                <w:rFonts w:ascii="Verdana" w:hAnsi="Verdana"/>
                <w:sz w:val="24"/>
                <w:szCs w:val="24"/>
              </w:rPr>
              <w:t xml:space="preserve"> of </w:t>
            </w:r>
            <w:permStart w:id="1992511179" w:edGrp="everyone"/>
            <w:r w:rsidRPr="00EE6BC1">
              <w:rPr>
                <w:rFonts w:ascii="Verdana" w:hAnsi="Verdana"/>
                <w:sz w:val="24"/>
                <w:szCs w:val="24"/>
              </w:rPr>
              <w:fldChar w:fldCharType="begin"/>
            </w:r>
            <w:r w:rsidRPr="00EE6BC1">
              <w:rPr>
                <w:rFonts w:ascii="Verdana" w:hAnsi="Verdana"/>
                <w:sz w:val="24"/>
                <w:szCs w:val="24"/>
              </w:rPr>
              <w:instrText xml:space="preserve"> NUMPAGES  </w:instrText>
            </w:r>
            <w:r w:rsidRPr="00EE6BC1">
              <w:rPr>
                <w:rFonts w:ascii="Verdana" w:hAnsi="Verdana"/>
                <w:sz w:val="24"/>
                <w:szCs w:val="24"/>
              </w:rPr>
              <w:fldChar w:fldCharType="separate"/>
            </w:r>
            <w:r w:rsidRPr="00EE6BC1">
              <w:rPr>
                <w:rFonts w:ascii="Verdana" w:hAnsi="Verdana"/>
                <w:noProof/>
                <w:sz w:val="24"/>
                <w:szCs w:val="24"/>
              </w:rPr>
              <w:t>2</w:t>
            </w:r>
            <w:r w:rsidRPr="00EE6BC1">
              <w:rPr>
                <w:rFonts w:ascii="Verdana" w:hAnsi="Verdana"/>
                <w:sz w:val="24"/>
                <w:szCs w:val="24"/>
              </w:rPr>
              <w:fldChar w:fldCharType="end"/>
            </w:r>
            <w:permEnd w:id="1992511179"/>
          </w:p>
          <w:p w14:paraId="7629B5B9" w14:textId="76E9D388" w:rsidR="00EE6BC1" w:rsidRPr="00EE6BC1" w:rsidRDefault="004952C8" w:rsidP="004952C8">
            <w:pPr>
              <w:pStyle w:val="Footer"/>
              <w:rPr>
                <w:rFonts w:ascii="Verdana" w:hAnsi="Verdana"/>
                <w:sz w:val="24"/>
                <w:szCs w:val="24"/>
              </w:rPr>
            </w:pPr>
            <w:permStart w:id="477189329" w:edGrp="everyone"/>
            <w:r>
              <w:rPr>
                <w:rFonts w:ascii="Verdana" w:hAnsi="Verdana"/>
                <w:sz w:val="24"/>
                <w:szCs w:val="24"/>
              </w:rPr>
              <w:t>EDIT HERE</w:t>
            </w:r>
          </w:p>
          <w:permEnd w:id="477189329"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1400" w14:textId="77777777" w:rsidR="003C7436" w:rsidRDefault="003C7436">
      <w:r>
        <w:separator/>
      </w:r>
    </w:p>
  </w:footnote>
  <w:footnote w:type="continuationSeparator" w:id="0">
    <w:p w14:paraId="48944D3B" w14:textId="77777777" w:rsidR="003C7436" w:rsidRDefault="003C7436">
      <w:r>
        <w:continuationSeparator/>
      </w:r>
    </w:p>
  </w:footnote>
  <w:footnote w:type="continuationNotice" w:id="1">
    <w:p w14:paraId="19A7389E" w14:textId="77777777" w:rsidR="003C7436" w:rsidRDefault="003C7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4327" w14:textId="299E504D" w:rsidR="006209C9" w:rsidRPr="006209C9" w:rsidRDefault="004F07BE" w:rsidP="00D5661A">
    <w:pPr>
      <w:pStyle w:val="Header"/>
      <w:spacing w:before="480" w:after="480"/>
      <w:jc w:val="right"/>
      <w:rPr>
        <w:rFonts w:ascii="Verdana" w:hAnsi="Verdana"/>
        <w:sz w:val="20"/>
        <w:szCs w:val="20"/>
      </w:rPr>
    </w:pPr>
    <w:r>
      <w:rPr>
        <w:rFonts w:ascii="Verdana" w:hAnsi="Verdana"/>
        <w:sz w:val="20"/>
        <w:szCs w:val="20"/>
      </w:rPr>
      <w:t>PDG</w:t>
    </w:r>
    <w:r w:rsidR="00301641">
      <w:rPr>
        <w:rFonts w:ascii="Verdana" w:hAnsi="Verdana"/>
        <w:sz w:val="20"/>
        <w:szCs w:val="20"/>
      </w:rPr>
      <w:t>B-5</w:t>
    </w:r>
    <w:r w:rsidR="006209C9" w:rsidRPr="006209C9">
      <w:rPr>
        <w:rFonts w:ascii="Verdana" w:hAnsi="Verdana"/>
        <w:sz w:val="20"/>
        <w:szCs w:val="20"/>
      </w:rPr>
      <w:t xml:space="preserve"> STC (</w:t>
    </w:r>
    <w:r w:rsidR="00CD1C97">
      <w:rPr>
        <w:rFonts w:ascii="Verdana" w:hAnsi="Verdana"/>
        <w:sz w:val="20"/>
        <w:szCs w:val="20"/>
      </w:rPr>
      <w:t>5-19-25</w:t>
    </w:r>
    <w:r w:rsidR="006209C9" w:rsidRPr="006209C9">
      <w:rPr>
        <w:rFonts w:ascii="Verdana" w:hAnsi="Verdan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9CD"/>
    <w:multiLevelType w:val="hybridMultilevel"/>
    <w:tmpl w:val="706651D8"/>
    <w:lvl w:ilvl="0" w:tplc="FFFFFFFF">
      <w:start w:val="1"/>
      <w:numFmt w:val="decimal"/>
      <w:lvlText w:val="%1."/>
      <w:lvlJc w:val="left"/>
      <w:pPr>
        <w:ind w:left="960" w:hanging="720"/>
      </w:pPr>
      <w:rPr>
        <w:rFonts w:ascii="Verdana" w:eastAsia="Calibri" w:hAnsi="Verdana" w:cs="Calibri" w:hint="default"/>
        <w:b/>
        <w:bCs/>
        <w:i w:val="0"/>
        <w:iCs w:val="0"/>
        <w:w w:val="100"/>
        <w:sz w:val="24"/>
        <w:szCs w:val="24"/>
        <w:lang w:val="en-US" w:eastAsia="en-US" w:bidi="ar-SA"/>
      </w:rPr>
    </w:lvl>
    <w:lvl w:ilvl="1" w:tplc="FFFFFFFF">
      <w:start w:val="1"/>
      <w:numFmt w:val="lowerLetter"/>
      <w:lvlText w:val="(%2)"/>
      <w:lvlJc w:val="left"/>
      <w:pPr>
        <w:ind w:left="960" w:hanging="315"/>
      </w:pPr>
      <w:rPr>
        <w:rFonts w:ascii="Verdana" w:eastAsia="Calibri" w:hAnsi="Verdana" w:cs="Calibri" w:hint="default"/>
        <w:b w:val="0"/>
        <w:bCs w:val="0"/>
        <w:i w:val="0"/>
        <w:iCs w:val="0"/>
        <w:spacing w:val="-1"/>
        <w:w w:val="100"/>
        <w:sz w:val="24"/>
        <w:szCs w:val="24"/>
        <w:lang w:val="en-US" w:eastAsia="en-US" w:bidi="ar-SA"/>
      </w:rPr>
    </w:lvl>
    <w:lvl w:ilvl="2" w:tplc="FFFFFFFF">
      <w:start w:val="1"/>
      <w:numFmt w:val="decimal"/>
      <w:lvlText w:val="(%3)"/>
      <w:lvlJc w:val="left"/>
      <w:pPr>
        <w:ind w:left="1281" w:hanging="322"/>
      </w:pPr>
      <w:rPr>
        <w:lang w:bidi="ar-SA"/>
      </w:rPr>
    </w:lvl>
    <w:lvl w:ilvl="3" w:tplc="FFFFFFFF">
      <w:start w:val="1"/>
      <w:numFmt w:val="lowerRoman"/>
      <w:lvlText w:val="%4."/>
      <w:lvlJc w:val="left"/>
      <w:pPr>
        <w:ind w:left="1320" w:hanging="360"/>
      </w:pPr>
      <w:rPr>
        <w:lang w:bidi="ar-SA"/>
      </w:rPr>
    </w:lvl>
    <w:lvl w:ilvl="4" w:tplc="5686B1A2">
      <w:start w:val="1"/>
      <w:numFmt w:val="decimal"/>
      <w:lvlText w:val="(%5)"/>
      <w:lvlJc w:val="left"/>
      <w:pPr>
        <w:ind w:left="2160" w:firstLine="0"/>
      </w:pPr>
      <w:rPr>
        <w:rFonts w:hint="default"/>
        <w:b/>
        <w:bCs w:val="0"/>
      </w:rPr>
    </w:lvl>
    <w:lvl w:ilvl="5" w:tplc="FFFFFFFF">
      <w:numFmt w:val="bullet"/>
      <w:lvlText w:val="•"/>
      <w:lvlJc w:val="left"/>
      <w:pPr>
        <w:ind w:left="4507" w:hanging="360"/>
      </w:pPr>
      <w:rPr>
        <w:rFonts w:hint="default"/>
        <w:lang w:val="en-US" w:eastAsia="en-US" w:bidi="ar-SA"/>
      </w:rPr>
    </w:lvl>
    <w:lvl w:ilvl="6" w:tplc="FFFFFFFF">
      <w:numFmt w:val="bullet"/>
      <w:lvlText w:val="•"/>
      <w:lvlJc w:val="left"/>
      <w:pPr>
        <w:ind w:left="5570" w:hanging="360"/>
      </w:pPr>
      <w:rPr>
        <w:rFonts w:hint="default"/>
        <w:lang w:val="en-US" w:eastAsia="en-US" w:bidi="ar-SA"/>
      </w:rPr>
    </w:lvl>
    <w:lvl w:ilvl="7" w:tplc="FFFFFFFF">
      <w:numFmt w:val="bullet"/>
      <w:lvlText w:val="•"/>
      <w:lvlJc w:val="left"/>
      <w:pPr>
        <w:ind w:left="6632" w:hanging="360"/>
      </w:pPr>
      <w:rPr>
        <w:rFonts w:hint="default"/>
        <w:lang w:val="en-US" w:eastAsia="en-US" w:bidi="ar-SA"/>
      </w:rPr>
    </w:lvl>
    <w:lvl w:ilvl="8" w:tplc="FFFFFFFF">
      <w:numFmt w:val="bullet"/>
      <w:lvlText w:val="•"/>
      <w:lvlJc w:val="left"/>
      <w:pPr>
        <w:ind w:left="7695" w:hanging="360"/>
      </w:pPr>
      <w:rPr>
        <w:rFonts w:hint="default"/>
        <w:lang w:val="en-US" w:eastAsia="en-US" w:bidi="ar-SA"/>
      </w:rPr>
    </w:lvl>
  </w:abstractNum>
  <w:abstractNum w:abstractNumId="1" w15:restartNumberingAfterBreak="0">
    <w:nsid w:val="00590824"/>
    <w:multiLevelType w:val="hybridMultilevel"/>
    <w:tmpl w:val="6804E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2F3B9B"/>
    <w:multiLevelType w:val="multilevel"/>
    <w:tmpl w:val="CC28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05833"/>
    <w:multiLevelType w:val="multilevel"/>
    <w:tmpl w:val="DD664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3C5180"/>
    <w:multiLevelType w:val="multilevel"/>
    <w:tmpl w:val="E9089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62920"/>
    <w:multiLevelType w:val="hybridMultilevel"/>
    <w:tmpl w:val="C0C491F0"/>
    <w:lvl w:ilvl="0" w:tplc="FFFFFFFF">
      <w:start w:val="1"/>
      <w:numFmt w:val="decimal"/>
      <w:lvlText w:val="%1."/>
      <w:lvlJc w:val="left"/>
      <w:pPr>
        <w:ind w:left="960" w:hanging="720"/>
      </w:pPr>
      <w:rPr>
        <w:rFonts w:ascii="Verdana" w:eastAsia="Calibri" w:hAnsi="Verdana" w:cs="Calibri" w:hint="default"/>
        <w:b/>
        <w:bCs/>
        <w:i w:val="0"/>
        <w:iCs w:val="0"/>
        <w:w w:val="100"/>
        <w:sz w:val="24"/>
        <w:szCs w:val="24"/>
        <w:lang w:val="en-US" w:eastAsia="en-US" w:bidi="ar-SA"/>
      </w:rPr>
    </w:lvl>
    <w:lvl w:ilvl="1" w:tplc="FFFFFFFF">
      <w:start w:val="1"/>
      <w:numFmt w:val="lowerLetter"/>
      <w:lvlText w:val="(%2)"/>
      <w:lvlJc w:val="left"/>
      <w:pPr>
        <w:ind w:left="960" w:hanging="315"/>
      </w:pPr>
      <w:rPr>
        <w:rFonts w:ascii="Verdana" w:eastAsia="Calibri" w:hAnsi="Verdana" w:cs="Calibri" w:hint="default"/>
        <w:b w:val="0"/>
        <w:bCs w:val="0"/>
        <w:i w:val="0"/>
        <w:iCs w:val="0"/>
        <w:spacing w:val="-1"/>
        <w:w w:val="100"/>
        <w:sz w:val="24"/>
        <w:szCs w:val="24"/>
        <w:lang w:val="en-US" w:eastAsia="en-US" w:bidi="ar-SA"/>
      </w:rPr>
    </w:lvl>
    <w:lvl w:ilvl="2" w:tplc="FFFFFFFF">
      <w:start w:val="1"/>
      <w:numFmt w:val="decimal"/>
      <w:lvlText w:val="(%3)"/>
      <w:lvlJc w:val="left"/>
      <w:pPr>
        <w:ind w:left="1281" w:hanging="322"/>
      </w:pPr>
      <w:rPr>
        <w:rFonts w:ascii="Verdana" w:eastAsia="Calibri" w:hAnsi="Verdana" w:cs="Calibri" w:hint="default"/>
        <w:b/>
        <w:bCs/>
        <w:i w:val="0"/>
        <w:iCs w:val="0"/>
        <w:spacing w:val="-1"/>
        <w:w w:val="100"/>
        <w:sz w:val="24"/>
        <w:szCs w:val="24"/>
        <w:lang w:val="en-US" w:eastAsia="en-US" w:bidi="ar-SA"/>
      </w:rPr>
    </w:lvl>
    <w:lvl w:ilvl="3" w:tplc="FFFFFFFF">
      <w:start w:val="1"/>
      <w:numFmt w:val="lowerRoman"/>
      <w:lvlText w:val="%4."/>
      <w:lvlJc w:val="left"/>
      <w:pPr>
        <w:ind w:left="1320" w:hanging="360"/>
      </w:pPr>
      <w:rPr>
        <w:rFonts w:ascii="Verdana" w:eastAsia="Calibri" w:hAnsi="Verdana" w:cs="Calibri" w:hint="default"/>
        <w:b/>
        <w:bCs/>
        <w:i w:val="0"/>
        <w:iCs w:val="0"/>
        <w:w w:val="100"/>
        <w:sz w:val="24"/>
        <w:szCs w:val="24"/>
        <w:lang w:val="en-US" w:eastAsia="en-US" w:bidi="ar-SA"/>
      </w:rPr>
    </w:lvl>
    <w:lvl w:ilvl="4" w:tplc="FFFFFFFF">
      <w:numFmt w:val="bullet"/>
      <w:lvlText w:val="•"/>
      <w:lvlJc w:val="left"/>
      <w:pPr>
        <w:ind w:left="3445" w:hanging="360"/>
      </w:pPr>
      <w:rPr>
        <w:rFonts w:hint="default"/>
        <w:lang w:val="en-US" w:eastAsia="en-US" w:bidi="ar-SA"/>
      </w:rPr>
    </w:lvl>
    <w:lvl w:ilvl="5" w:tplc="FFFFFFFF">
      <w:numFmt w:val="bullet"/>
      <w:lvlText w:val="•"/>
      <w:lvlJc w:val="left"/>
      <w:pPr>
        <w:ind w:left="4507" w:hanging="360"/>
      </w:pPr>
      <w:rPr>
        <w:rFonts w:hint="default"/>
        <w:lang w:val="en-US" w:eastAsia="en-US" w:bidi="ar-SA"/>
      </w:rPr>
    </w:lvl>
    <w:lvl w:ilvl="6" w:tplc="FFFFFFFF">
      <w:numFmt w:val="bullet"/>
      <w:lvlText w:val="•"/>
      <w:lvlJc w:val="left"/>
      <w:pPr>
        <w:ind w:left="5570" w:hanging="360"/>
      </w:pPr>
      <w:rPr>
        <w:rFonts w:hint="default"/>
        <w:lang w:val="en-US" w:eastAsia="en-US" w:bidi="ar-SA"/>
      </w:rPr>
    </w:lvl>
    <w:lvl w:ilvl="7" w:tplc="FFFFFFFF">
      <w:numFmt w:val="bullet"/>
      <w:lvlText w:val="•"/>
      <w:lvlJc w:val="left"/>
      <w:pPr>
        <w:ind w:left="6632" w:hanging="360"/>
      </w:pPr>
      <w:rPr>
        <w:rFonts w:hint="default"/>
        <w:lang w:val="en-US" w:eastAsia="en-US" w:bidi="ar-SA"/>
      </w:rPr>
    </w:lvl>
    <w:lvl w:ilvl="8" w:tplc="FFFFFFFF">
      <w:numFmt w:val="bullet"/>
      <w:lvlText w:val="•"/>
      <w:lvlJc w:val="left"/>
      <w:pPr>
        <w:ind w:left="7695" w:hanging="360"/>
      </w:pPr>
      <w:rPr>
        <w:rFonts w:hint="default"/>
        <w:lang w:val="en-US" w:eastAsia="en-US" w:bidi="ar-SA"/>
      </w:rPr>
    </w:lvl>
  </w:abstractNum>
  <w:abstractNum w:abstractNumId="6" w15:restartNumberingAfterBreak="0">
    <w:nsid w:val="463B771D"/>
    <w:multiLevelType w:val="hybridMultilevel"/>
    <w:tmpl w:val="5F4C5712"/>
    <w:lvl w:ilvl="0" w:tplc="0C36CB24">
      <w:start w:val="1"/>
      <w:numFmt w:val="decimal"/>
      <w:lvlText w:val="%1."/>
      <w:lvlJc w:val="left"/>
      <w:pPr>
        <w:ind w:left="0" w:firstLine="0"/>
      </w:pPr>
      <w:rPr>
        <w:rFonts w:ascii="Verdana" w:eastAsia="Calibri" w:hAnsi="Verdana" w:cs="Calibri" w:hint="default"/>
        <w:b/>
        <w:bCs/>
        <w:i w:val="0"/>
        <w:iCs w:val="0"/>
        <w:w w:val="10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51697C9F"/>
    <w:multiLevelType w:val="hybridMultilevel"/>
    <w:tmpl w:val="03A64B1A"/>
    <w:lvl w:ilvl="0" w:tplc="CE02B926">
      <w:start w:val="1"/>
      <w:numFmt w:val="lowerRoman"/>
      <w:lvlText w:val="%1."/>
      <w:lvlJc w:val="right"/>
      <w:pPr>
        <w:tabs>
          <w:tab w:val="num" w:pos="1728"/>
        </w:tabs>
        <w:ind w:left="-1200" w:firstLine="1440"/>
      </w:pPr>
      <w:rPr>
        <w:rFonts w:ascii="Verdana" w:hAnsi="Verdan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8B33E6"/>
    <w:multiLevelType w:val="multilevel"/>
    <w:tmpl w:val="9D7C1E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50D6C5A"/>
    <w:multiLevelType w:val="hybridMultilevel"/>
    <w:tmpl w:val="59E41632"/>
    <w:lvl w:ilvl="0" w:tplc="CD4ECE30">
      <w:start w:val="1"/>
      <w:numFmt w:val="decimal"/>
      <w:lvlText w:val="%1."/>
      <w:lvlJc w:val="left"/>
      <w:pPr>
        <w:ind w:left="960" w:hanging="720"/>
      </w:pPr>
      <w:rPr>
        <w:rFonts w:ascii="Verdana" w:eastAsia="Calibri" w:hAnsi="Verdana" w:cs="Calibri" w:hint="default"/>
        <w:b/>
        <w:bCs/>
        <w:i w:val="0"/>
        <w:iCs w:val="0"/>
        <w:w w:val="100"/>
        <w:sz w:val="24"/>
        <w:szCs w:val="24"/>
        <w:lang w:val="en-US" w:eastAsia="en-US" w:bidi="ar-SA"/>
      </w:rPr>
    </w:lvl>
    <w:lvl w:ilvl="1" w:tplc="EE46A99C">
      <w:start w:val="1"/>
      <w:numFmt w:val="lowerLetter"/>
      <w:pStyle w:val="Heading2"/>
      <w:lvlText w:val="(%2)"/>
      <w:lvlJc w:val="left"/>
      <w:pPr>
        <w:ind w:left="960" w:hanging="315"/>
      </w:pPr>
      <w:rPr>
        <w:b/>
        <w:bCs/>
        <w:lang w:bidi="ar-SA"/>
      </w:rPr>
    </w:lvl>
    <w:lvl w:ilvl="2" w:tplc="736EB15C">
      <w:start w:val="1"/>
      <w:numFmt w:val="decimal"/>
      <w:lvlText w:val="(%3)"/>
      <w:lvlJc w:val="left"/>
      <w:pPr>
        <w:ind w:left="1281" w:hanging="322"/>
      </w:pPr>
      <w:rPr>
        <w:lang w:bidi="ar-SA"/>
      </w:rPr>
    </w:lvl>
    <w:lvl w:ilvl="3" w:tplc="FD787746">
      <w:start w:val="1"/>
      <w:numFmt w:val="lowerRoman"/>
      <w:pStyle w:val="Heading3"/>
      <w:lvlText w:val="%4."/>
      <w:lvlJc w:val="left"/>
      <w:pPr>
        <w:ind w:left="1320" w:hanging="360"/>
      </w:pPr>
      <w:rPr>
        <w:b/>
        <w:bCs w:val="0"/>
        <w:lang w:bidi="ar-SA"/>
      </w:rPr>
    </w:lvl>
    <w:lvl w:ilvl="4" w:tplc="43FA5438">
      <w:numFmt w:val="bullet"/>
      <w:lvlText w:val="•"/>
      <w:lvlJc w:val="left"/>
      <w:pPr>
        <w:ind w:left="3445" w:hanging="360"/>
      </w:pPr>
      <w:rPr>
        <w:rFonts w:hint="default"/>
        <w:lang w:val="en-US" w:eastAsia="en-US" w:bidi="ar-SA"/>
      </w:rPr>
    </w:lvl>
    <w:lvl w:ilvl="5" w:tplc="83248418">
      <w:numFmt w:val="bullet"/>
      <w:lvlText w:val="•"/>
      <w:lvlJc w:val="left"/>
      <w:pPr>
        <w:ind w:left="4507" w:hanging="360"/>
      </w:pPr>
      <w:rPr>
        <w:rFonts w:hint="default"/>
        <w:lang w:val="en-US" w:eastAsia="en-US" w:bidi="ar-SA"/>
      </w:rPr>
    </w:lvl>
    <w:lvl w:ilvl="6" w:tplc="EC5AFE10">
      <w:numFmt w:val="bullet"/>
      <w:lvlText w:val="•"/>
      <w:lvlJc w:val="left"/>
      <w:pPr>
        <w:ind w:left="5570" w:hanging="360"/>
      </w:pPr>
      <w:rPr>
        <w:rFonts w:hint="default"/>
        <w:lang w:val="en-US" w:eastAsia="en-US" w:bidi="ar-SA"/>
      </w:rPr>
    </w:lvl>
    <w:lvl w:ilvl="7" w:tplc="71AA0F80">
      <w:numFmt w:val="bullet"/>
      <w:lvlText w:val="•"/>
      <w:lvlJc w:val="left"/>
      <w:pPr>
        <w:ind w:left="6632" w:hanging="360"/>
      </w:pPr>
      <w:rPr>
        <w:rFonts w:hint="default"/>
        <w:lang w:val="en-US" w:eastAsia="en-US" w:bidi="ar-SA"/>
      </w:rPr>
    </w:lvl>
    <w:lvl w:ilvl="8" w:tplc="1FBCC4FA">
      <w:numFmt w:val="bullet"/>
      <w:lvlText w:val="•"/>
      <w:lvlJc w:val="left"/>
      <w:pPr>
        <w:ind w:left="7695" w:hanging="360"/>
      </w:pPr>
      <w:rPr>
        <w:rFonts w:hint="default"/>
        <w:lang w:val="en-US" w:eastAsia="en-US" w:bidi="ar-SA"/>
      </w:rPr>
    </w:lvl>
  </w:abstractNum>
  <w:abstractNum w:abstractNumId="10" w15:restartNumberingAfterBreak="0">
    <w:nsid w:val="6EA34459"/>
    <w:multiLevelType w:val="hybridMultilevel"/>
    <w:tmpl w:val="C50631AC"/>
    <w:lvl w:ilvl="0" w:tplc="F2CAC304">
      <w:start w:val="1"/>
      <w:numFmt w:val="decimal"/>
      <w:lvlText w:val="(%1)"/>
      <w:lvlJc w:val="left"/>
      <w:pPr>
        <w:ind w:left="600" w:hanging="360"/>
      </w:pPr>
      <w:rPr>
        <w:rFonts w:ascii="Verdana" w:eastAsia="Calibri" w:hAnsi="Verdana" w:cs="Calibri" w:hint="default"/>
        <w:b/>
        <w:bCs/>
        <w:i w:val="0"/>
        <w:iCs w:val="0"/>
        <w:spacing w:val="-1"/>
        <w:w w:val="100"/>
        <w:sz w:val="24"/>
        <w:szCs w:val="24"/>
        <w:lang w:val="en-US" w:eastAsia="en-US" w:bidi="ar-SA"/>
      </w:rPr>
    </w:lvl>
    <w:lvl w:ilvl="1" w:tplc="E670078A">
      <w:numFmt w:val="bullet"/>
      <w:lvlText w:val="•"/>
      <w:lvlJc w:val="left"/>
      <w:pPr>
        <w:ind w:left="1522" w:hanging="360"/>
      </w:pPr>
      <w:rPr>
        <w:rFonts w:hint="default"/>
        <w:lang w:val="en-US" w:eastAsia="en-US" w:bidi="ar-SA"/>
      </w:rPr>
    </w:lvl>
    <w:lvl w:ilvl="2" w:tplc="98D01398">
      <w:numFmt w:val="bullet"/>
      <w:lvlText w:val="•"/>
      <w:lvlJc w:val="left"/>
      <w:pPr>
        <w:ind w:left="2444" w:hanging="360"/>
      </w:pPr>
      <w:rPr>
        <w:rFonts w:hint="default"/>
        <w:lang w:val="en-US" w:eastAsia="en-US" w:bidi="ar-SA"/>
      </w:rPr>
    </w:lvl>
    <w:lvl w:ilvl="3" w:tplc="00EEF29C">
      <w:numFmt w:val="bullet"/>
      <w:lvlText w:val="•"/>
      <w:lvlJc w:val="left"/>
      <w:pPr>
        <w:ind w:left="3366" w:hanging="360"/>
      </w:pPr>
      <w:rPr>
        <w:rFonts w:hint="default"/>
        <w:lang w:val="en-US" w:eastAsia="en-US" w:bidi="ar-SA"/>
      </w:rPr>
    </w:lvl>
    <w:lvl w:ilvl="4" w:tplc="FC6EA9FE">
      <w:numFmt w:val="bullet"/>
      <w:lvlText w:val="•"/>
      <w:lvlJc w:val="left"/>
      <w:pPr>
        <w:ind w:left="4288" w:hanging="360"/>
      </w:pPr>
      <w:rPr>
        <w:rFonts w:hint="default"/>
        <w:lang w:val="en-US" w:eastAsia="en-US" w:bidi="ar-SA"/>
      </w:rPr>
    </w:lvl>
    <w:lvl w:ilvl="5" w:tplc="F270535C">
      <w:numFmt w:val="bullet"/>
      <w:lvlText w:val="•"/>
      <w:lvlJc w:val="left"/>
      <w:pPr>
        <w:ind w:left="5210" w:hanging="360"/>
      </w:pPr>
      <w:rPr>
        <w:rFonts w:hint="default"/>
        <w:lang w:val="en-US" w:eastAsia="en-US" w:bidi="ar-SA"/>
      </w:rPr>
    </w:lvl>
    <w:lvl w:ilvl="6" w:tplc="7800FC64">
      <w:numFmt w:val="bullet"/>
      <w:lvlText w:val="•"/>
      <w:lvlJc w:val="left"/>
      <w:pPr>
        <w:ind w:left="6132" w:hanging="360"/>
      </w:pPr>
      <w:rPr>
        <w:rFonts w:hint="default"/>
        <w:lang w:val="en-US" w:eastAsia="en-US" w:bidi="ar-SA"/>
      </w:rPr>
    </w:lvl>
    <w:lvl w:ilvl="7" w:tplc="17E88B4A">
      <w:numFmt w:val="bullet"/>
      <w:lvlText w:val="•"/>
      <w:lvlJc w:val="left"/>
      <w:pPr>
        <w:ind w:left="7054" w:hanging="360"/>
      </w:pPr>
      <w:rPr>
        <w:rFonts w:hint="default"/>
        <w:lang w:val="en-US" w:eastAsia="en-US" w:bidi="ar-SA"/>
      </w:rPr>
    </w:lvl>
    <w:lvl w:ilvl="8" w:tplc="31B8A5CA">
      <w:numFmt w:val="bullet"/>
      <w:lvlText w:val="•"/>
      <w:lvlJc w:val="left"/>
      <w:pPr>
        <w:ind w:left="7976" w:hanging="360"/>
      </w:pPr>
      <w:rPr>
        <w:rFonts w:hint="default"/>
        <w:lang w:val="en-US" w:eastAsia="en-US" w:bidi="ar-SA"/>
      </w:rPr>
    </w:lvl>
  </w:abstractNum>
  <w:num w:numId="1" w16cid:durableId="1849951362">
    <w:abstractNumId w:val="10"/>
  </w:num>
  <w:num w:numId="2" w16cid:durableId="375812982">
    <w:abstractNumId w:val="9"/>
  </w:num>
  <w:num w:numId="3" w16cid:durableId="1891726628">
    <w:abstractNumId w:val="5"/>
  </w:num>
  <w:num w:numId="4" w16cid:durableId="1977682522">
    <w:abstractNumId w:val="7"/>
  </w:num>
  <w:num w:numId="5" w16cid:durableId="1609387138">
    <w:abstractNumId w:val="3"/>
  </w:num>
  <w:num w:numId="6" w16cid:durableId="1550918175">
    <w:abstractNumId w:val="8"/>
  </w:num>
  <w:num w:numId="7" w16cid:durableId="756092846">
    <w:abstractNumId w:val="2"/>
  </w:num>
  <w:num w:numId="8" w16cid:durableId="824509984">
    <w:abstractNumId w:val="4"/>
  </w:num>
  <w:num w:numId="9" w16cid:durableId="1258636228">
    <w:abstractNumId w:val="1"/>
  </w:num>
  <w:num w:numId="10" w16cid:durableId="988175408">
    <w:abstractNumId w:val="0"/>
  </w:num>
  <w:num w:numId="11" w16cid:durableId="749929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vyuY0FtQVfRwHyY8pOwBpJ46WeP3TDGHnuYJy8aFEDWdhqFnJ1nqyTClpZ7IUVsM0+SAjNkosPxDuWYIi5pA==" w:salt="BK/YfuRZwdzOiTMPfYuPD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AF"/>
    <w:rsid w:val="000003D0"/>
    <w:rsid w:val="00004511"/>
    <w:rsid w:val="00007DE6"/>
    <w:rsid w:val="00014EED"/>
    <w:rsid w:val="0002519D"/>
    <w:rsid w:val="00027BF9"/>
    <w:rsid w:val="00037E02"/>
    <w:rsid w:val="000531F8"/>
    <w:rsid w:val="00053F2F"/>
    <w:rsid w:val="00054CD8"/>
    <w:rsid w:val="00060FB4"/>
    <w:rsid w:val="00067790"/>
    <w:rsid w:val="0006780C"/>
    <w:rsid w:val="0007486B"/>
    <w:rsid w:val="00077398"/>
    <w:rsid w:val="00091463"/>
    <w:rsid w:val="00093AFB"/>
    <w:rsid w:val="000A0957"/>
    <w:rsid w:val="000A0ECC"/>
    <w:rsid w:val="000A3617"/>
    <w:rsid w:val="000A3870"/>
    <w:rsid w:val="000B4698"/>
    <w:rsid w:val="000C7735"/>
    <w:rsid w:val="000D0275"/>
    <w:rsid w:val="000D0286"/>
    <w:rsid w:val="000E4A12"/>
    <w:rsid w:val="000F0509"/>
    <w:rsid w:val="000F4EA3"/>
    <w:rsid w:val="000F7033"/>
    <w:rsid w:val="00141404"/>
    <w:rsid w:val="001439E9"/>
    <w:rsid w:val="00154FEE"/>
    <w:rsid w:val="00155F10"/>
    <w:rsid w:val="00163855"/>
    <w:rsid w:val="00165535"/>
    <w:rsid w:val="00175908"/>
    <w:rsid w:val="00175F39"/>
    <w:rsid w:val="001C06BB"/>
    <w:rsid w:val="001C4A89"/>
    <w:rsid w:val="001C4C81"/>
    <w:rsid w:val="001D0712"/>
    <w:rsid w:val="001E5DFA"/>
    <w:rsid w:val="001E7C13"/>
    <w:rsid w:val="0020230A"/>
    <w:rsid w:val="00202EC1"/>
    <w:rsid w:val="002131F7"/>
    <w:rsid w:val="00221814"/>
    <w:rsid w:val="002272D7"/>
    <w:rsid w:val="002464A4"/>
    <w:rsid w:val="002527A7"/>
    <w:rsid w:val="00273631"/>
    <w:rsid w:val="0027368C"/>
    <w:rsid w:val="002828B4"/>
    <w:rsid w:val="00287A5D"/>
    <w:rsid w:val="002915F5"/>
    <w:rsid w:val="00295BDA"/>
    <w:rsid w:val="002A62A5"/>
    <w:rsid w:val="002B6DEA"/>
    <w:rsid w:val="002D0CD9"/>
    <w:rsid w:val="002E311F"/>
    <w:rsid w:val="002F428B"/>
    <w:rsid w:val="002F45AC"/>
    <w:rsid w:val="002F4854"/>
    <w:rsid w:val="00301641"/>
    <w:rsid w:val="00307459"/>
    <w:rsid w:val="00315584"/>
    <w:rsid w:val="0032076F"/>
    <w:rsid w:val="00320B31"/>
    <w:rsid w:val="0034062B"/>
    <w:rsid w:val="0034449B"/>
    <w:rsid w:val="0034476F"/>
    <w:rsid w:val="00353427"/>
    <w:rsid w:val="00353CC9"/>
    <w:rsid w:val="00397BA4"/>
    <w:rsid w:val="00397D38"/>
    <w:rsid w:val="003B668A"/>
    <w:rsid w:val="003C4097"/>
    <w:rsid w:val="003C7436"/>
    <w:rsid w:val="003D6362"/>
    <w:rsid w:val="003F010A"/>
    <w:rsid w:val="004005D6"/>
    <w:rsid w:val="00400B90"/>
    <w:rsid w:val="00404975"/>
    <w:rsid w:val="004109EC"/>
    <w:rsid w:val="004127FC"/>
    <w:rsid w:val="00415D57"/>
    <w:rsid w:val="00415E05"/>
    <w:rsid w:val="004202C0"/>
    <w:rsid w:val="004229B6"/>
    <w:rsid w:val="00435F43"/>
    <w:rsid w:val="0044322C"/>
    <w:rsid w:val="004441D6"/>
    <w:rsid w:val="004473F1"/>
    <w:rsid w:val="00450886"/>
    <w:rsid w:val="00452899"/>
    <w:rsid w:val="00462131"/>
    <w:rsid w:val="0046215B"/>
    <w:rsid w:val="004627D7"/>
    <w:rsid w:val="00462852"/>
    <w:rsid w:val="00484D7D"/>
    <w:rsid w:val="004902A8"/>
    <w:rsid w:val="0049054B"/>
    <w:rsid w:val="004952C8"/>
    <w:rsid w:val="0049580C"/>
    <w:rsid w:val="004A11D4"/>
    <w:rsid w:val="004B492B"/>
    <w:rsid w:val="004B4CB8"/>
    <w:rsid w:val="004B63C6"/>
    <w:rsid w:val="004C4FA1"/>
    <w:rsid w:val="004C793A"/>
    <w:rsid w:val="004D003F"/>
    <w:rsid w:val="004E2141"/>
    <w:rsid w:val="004F07BE"/>
    <w:rsid w:val="0050164C"/>
    <w:rsid w:val="00523A68"/>
    <w:rsid w:val="00524E30"/>
    <w:rsid w:val="00531DB8"/>
    <w:rsid w:val="00536B7B"/>
    <w:rsid w:val="0054485D"/>
    <w:rsid w:val="00546BE6"/>
    <w:rsid w:val="00556C32"/>
    <w:rsid w:val="00563910"/>
    <w:rsid w:val="005725AF"/>
    <w:rsid w:val="005839BB"/>
    <w:rsid w:val="00597FA0"/>
    <w:rsid w:val="005A3110"/>
    <w:rsid w:val="005A629A"/>
    <w:rsid w:val="005B155A"/>
    <w:rsid w:val="005B16E0"/>
    <w:rsid w:val="005C06E2"/>
    <w:rsid w:val="005C1EE8"/>
    <w:rsid w:val="005F5DF2"/>
    <w:rsid w:val="005F6876"/>
    <w:rsid w:val="0060756B"/>
    <w:rsid w:val="00617060"/>
    <w:rsid w:val="006209C9"/>
    <w:rsid w:val="0063108D"/>
    <w:rsid w:val="0063283F"/>
    <w:rsid w:val="00672CB5"/>
    <w:rsid w:val="00684C62"/>
    <w:rsid w:val="00686564"/>
    <w:rsid w:val="006866D7"/>
    <w:rsid w:val="006911DC"/>
    <w:rsid w:val="0069243C"/>
    <w:rsid w:val="00694F49"/>
    <w:rsid w:val="006B169A"/>
    <w:rsid w:val="006B171A"/>
    <w:rsid w:val="006B2558"/>
    <w:rsid w:val="006B3D1E"/>
    <w:rsid w:val="006C14CD"/>
    <w:rsid w:val="006D4000"/>
    <w:rsid w:val="006F557A"/>
    <w:rsid w:val="00712C8B"/>
    <w:rsid w:val="00716AAF"/>
    <w:rsid w:val="00720756"/>
    <w:rsid w:val="007341AD"/>
    <w:rsid w:val="00734E82"/>
    <w:rsid w:val="00751BF6"/>
    <w:rsid w:val="00775B8C"/>
    <w:rsid w:val="00790CA3"/>
    <w:rsid w:val="007942F7"/>
    <w:rsid w:val="007B14CA"/>
    <w:rsid w:val="007B4A6A"/>
    <w:rsid w:val="007C18AB"/>
    <w:rsid w:val="007C351C"/>
    <w:rsid w:val="007C73BD"/>
    <w:rsid w:val="007E6BCF"/>
    <w:rsid w:val="007F20EC"/>
    <w:rsid w:val="007F536C"/>
    <w:rsid w:val="008017F5"/>
    <w:rsid w:val="0080684E"/>
    <w:rsid w:val="00807E45"/>
    <w:rsid w:val="00810A9D"/>
    <w:rsid w:val="0081149E"/>
    <w:rsid w:val="00832F0D"/>
    <w:rsid w:val="0086122D"/>
    <w:rsid w:val="00873414"/>
    <w:rsid w:val="00874669"/>
    <w:rsid w:val="00877932"/>
    <w:rsid w:val="008815CA"/>
    <w:rsid w:val="0089530D"/>
    <w:rsid w:val="008960FF"/>
    <w:rsid w:val="00896F31"/>
    <w:rsid w:val="008A2C9A"/>
    <w:rsid w:val="008A3FA9"/>
    <w:rsid w:val="008B33F8"/>
    <w:rsid w:val="008D1238"/>
    <w:rsid w:val="008D4A9F"/>
    <w:rsid w:val="008D4D06"/>
    <w:rsid w:val="008E0E5C"/>
    <w:rsid w:val="008F755F"/>
    <w:rsid w:val="009035F3"/>
    <w:rsid w:val="0092556A"/>
    <w:rsid w:val="00931633"/>
    <w:rsid w:val="009511F6"/>
    <w:rsid w:val="00951685"/>
    <w:rsid w:val="0097238D"/>
    <w:rsid w:val="0097547C"/>
    <w:rsid w:val="00980B02"/>
    <w:rsid w:val="00981A5E"/>
    <w:rsid w:val="00995FAA"/>
    <w:rsid w:val="00996CE8"/>
    <w:rsid w:val="0099726C"/>
    <w:rsid w:val="009C3965"/>
    <w:rsid w:val="009E0A5B"/>
    <w:rsid w:val="009E2FD6"/>
    <w:rsid w:val="009F18F2"/>
    <w:rsid w:val="009F3ED4"/>
    <w:rsid w:val="009F56FE"/>
    <w:rsid w:val="00A04DC2"/>
    <w:rsid w:val="00A14025"/>
    <w:rsid w:val="00A22B35"/>
    <w:rsid w:val="00A23EEE"/>
    <w:rsid w:val="00A27614"/>
    <w:rsid w:val="00A376DB"/>
    <w:rsid w:val="00A431AE"/>
    <w:rsid w:val="00A51162"/>
    <w:rsid w:val="00A5625B"/>
    <w:rsid w:val="00A56661"/>
    <w:rsid w:val="00A63A5C"/>
    <w:rsid w:val="00A65AAF"/>
    <w:rsid w:val="00A71AEF"/>
    <w:rsid w:val="00A824A8"/>
    <w:rsid w:val="00A8789A"/>
    <w:rsid w:val="00AB3A24"/>
    <w:rsid w:val="00AD36F9"/>
    <w:rsid w:val="00AF0817"/>
    <w:rsid w:val="00AF2CB1"/>
    <w:rsid w:val="00B00115"/>
    <w:rsid w:val="00B026EE"/>
    <w:rsid w:val="00B12E38"/>
    <w:rsid w:val="00B2166D"/>
    <w:rsid w:val="00B36C7B"/>
    <w:rsid w:val="00B40E02"/>
    <w:rsid w:val="00B46750"/>
    <w:rsid w:val="00B530CC"/>
    <w:rsid w:val="00B60A20"/>
    <w:rsid w:val="00B60CCF"/>
    <w:rsid w:val="00B64ADA"/>
    <w:rsid w:val="00B82A19"/>
    <w:rsid w:val="00B978D8"/>
    <w:rsid w:val="00BA152E"/>
    <w:rsid w:val="00BA466B"/>
    <w:rsid w:val="00BA5458"/>
    <w:rsid w:val="00BB011C"/>
    <w:rsid w:val="00BC2FF3"/>
    <w:rsid w:val="00BC5F1C"/>
    <w:rsid w:val="00BD7E67"/>
    <w:rsid w:val="00BF1500"/>
    <w:rsid w:val="00C140D8"/>
    <w:rsid w:val="00C2580A"/>
    <w:rsid w:val="00C64E35"/>
    <w:rsid w:val="00C756BD"/>
    <w:rsid w:val="00C81294"/>
    <w:rsid w:val="00C82D03"/>
    <w:rsid w:val="00C92309"/>
    <w:rsid w:val="00CA26D9"/>
    <w:rsid w:val="00CA2A0A"/>
    <w:rsid w:val="00CA712E"/>
    <w:rsid w:val="00CA7930"/>
    <w:rsid w:val="00CC0F7B"/>
    <w:rsid w:val="00CC5FA6"/>
    <w:rsid w:val="00CC63A9"/>
    <w:rsid w:val="00CD1C97"/>
    <w:rsid w:val="00CD3F56"/>
    <w:rsid w:val="00CD7865"/>
    <w:rsid w:val="00CE5ADE"/>
    <w:rsid w:val="00CF101E"/>
    <w:rsid w:val="00CF1089"/>
    <w:rsid w:val="00D22C58"/>
    <w:rsid w:val="00D235D5"/>
    <w:rsid w:val="00D2770A"/>
    <w:rsid w:val="00D349B8"/>
    <w:rsid w:val="00D409F5"/>
    <w:rsid w:val="00D5661A"/>
    <w:rsid w:val="00D57346"/>
    <w:rsid w:val="00D6255B"/>
    <w:rsid w:val="00D63123"/>
    <w:rsid w:val="00D65F12"/>
    <w:rsid w:val="00D843DA"/>
    <w:rsid w:val="00D95524"/>
    <w:rsid w:val="00D95DDF"/>
    <w:rsid w:val="00DA0C4D"/>
    <w:rsid w:val="00DB0B5F"/>
    <w:rsid w:val="00DB2CBC"/>
    <w:rsid w:val="00DB5CA2"/>
    <w:rsid w:val="00DC10C5"/>
    <w:rsid w:val="00DD2A16"/>
    <w:rsid w:val="00DD53C6"/>
    <w:rsid w:val="00DF232D"/>
    <w:rsid w:val="00E0178F"/>
    <w:rsid w:val="00E15895"/>
    <w:rsid w:val="00E26A36"/>
    <w:rsid w:val="00E41D2B"/>
    <w:rsid w:val="00E43A8D"/>
    <w:rsid w:val="00E52E41"/>
    <w:rsid w:val="00E6392F"/>
    <w:rsid w:val="00E73195"/>
    <w:rsid w:val="00E76BFE"/>
    <w:rsid w:val="00E77C48"/>
    <w:rsid w:val="00E97179"/>
    <w:rsid w:val="00EA7D33"/>
    <w:rsid w:val="00EB3464"/>
    <w:rsid w:val="00EC02CB"/>
    <w:rsid w:val="00EC3513"/>
    <w:rsid w:val="00ED6AB1"/>
    <w:rsid w:val="00EE6BC1"/>
    <w:rsid w:val="00F23CFB"/>
    <w:rsid w:val="00F35A7A"/>
    <w:rsid w:val="00F4068E"/>
    <w:rsid w:val="00F560DF"/>
    <w:rsid w:val="00F62863"/>
    <w:rsid w:val="00F717B4"/>
    <w:rsid w:val="00F72F93"/>
    <w:rsid w:val="00F81EB3"/>
    <w:rsid w:val="00F8729F"/>
    <w:rsid w:val="00F9654C"/>
    <w:rsid w:val="00FB04B0"/>
    <w:rsid w:val="00FB2381"/>
    <w:rsid w:val="00FB7A5B"/>
    <w:rsid w:val="00FD0128"/>
    <w:rsid w:val="00FF6FF5"/>
    <w:rsid w:val="02548E1F"/>
    <w:rsid w:val="3A68707C"/>
    <w:rsid w:val="3C6ED554"/>
    <w:rsid w:val="3E0AA5B5"/>
    <w:rsid w:val="4BAB7A8D"/>
    <w:rsid w:val="4E154DCF"/>
    <w:rsid w:val="4EBE4636"/>
    <w:rsid w:val="57E36E70"/>
    <w:rsid w:val="5F1501C4"/>
    <w:rsid w:val="6E048E4F"/>
    <w:rsid w:val="7503F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74C5"/>
  <w15:docId w15:val="{43FEDE92-677C-4233-85BB-A7ECD69F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60" w:hanging="721"/>
      <w:outlineLvl w:val="0"/>
    </w:pPr>
    <w:rPr>
      <w:b/>
      <w:bCs/>
      <w:sz w:val="24"/>
      <w:szCs w:val="24"/>
    </w:rPr>
  </w:style>
  <w:style w:type="paragraph" w:styleId="Heading2">
    <w:name w:val="heading 2"/>
    <w:basedOn w:val="Heading1"/>
    <w:next w:val="Normal"/>
    <w:link w:val="Heading2Char"/>
    <w:uiPriority w:val="9"/>
    <w:unhideWhenUsed/>
    <w:qFormat/>
    <w:rsid w:val="004B63C6"/>
    <w:pPr>
      <w:numPr>
        <w:ilvl w:val="1"/>
        <w:numId w:val="2"/>
      </w:numPr>
      <w:tabs>
        <w:tab w:val="left" w:pos="990"/>
      </w:tabs>
      <w:spacing w:after="240" w:line="360" w:lineRule="auto"/>
      <w:ind w:left="720" w:firstLine="0"/>
      <w:outlineLvl w:val="1"/>
    </w:pPr>
    <w:rPr>
      <w:rFonts w:ascii="Verdana" w:hAnsi="Verdana"/>
      <w:b w:val="0"/>
      <w:bCs w:val="0"/>
    </w:rPr>
  </w:style>
  <w:style w:type="paragraph" w:styleId="Heading3">
    <w:name w:val="heading 3"/>
    <w:basedOn w:val="ListParagraph"/>
    <w:next w:val="Normal"/>
    <w:link w:val="Heading3Char"/>
    <w:uiPriority w:val="9"/>
    <w:unhideWhenUsed/>
    <w:qFormat/>
    <w:rsid w:val="00B00115"/>
    <w:pPr>
      <w:numPr>
        <w:ilvl w:val="3"/>
        <w:numId w:val="2"/>
      </w:numPr>
      <w:spacing w:after="240" w:line="360" w:lineRule="auto"/>
      <w:ind w:left="1440" w:firstLine="0"/>
      <w:outlineLvl w:val="2"/>
    </w:pPr>
    <w:rPr>
      <w:rFonts w:ascii="Verdana" w:hAnsi="Verdan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9C9"/>
    <w:pPr>
      <w:tabs>
        <w:tab w:val="center" w:pos="4680"/>
        <w:tab w:val="right" w:pos="9360"/>
      </w:tabs>
    </w:pPr>
  </w:style>
  <w:style w:type="character" w:customStyle="1" w:styleId="HeaderChar">
    <w:name w:val="Header Char"/>
    <w:basedOn w:val="DefaultParagraphFont"/>
    <w:link w:val="Header"/>
    <w:uiPriority w:val="99"/>
    <w:rsid w:val="006209C9"/>
    <w:rPr>
      <w:rFonts w:ascii="Calibri" w:eastAsia="Calibri" w:hAnsi="Calibri" w:cs="Calibri"/>
    </w:rPr>
  </w:style>
  <w:style w:type="paragraph" w:styleId="Footer">
    <w:name w:val="footer"/>
    <w:basedOn w:val="Normal"/>
    <w:link w:val="FooterChar"/>
    <w:uiPriority w:val="99"/>
    <w:unhideWhenUsed/>
    <w:rsid w:val="006209C9"/>
    <w:pPr>
      <w:tabs>
        <w:tab w:val="center" w:pos="4680"/>
        <w:tab w:val="right" w:pos="9360"/>
      </w:tabs>
    </w:pPr>
  </w:style>
  <w:style w:type="character" w:customStyle="1" w:styleId="FooterChar">
    <w:name w:val="Footer Char"/>
    <w:basedOn w:val="DefaultParagraphFont"/>
    <w:link w:val="Footer"/>
    <w:uiPriority w:val="99"/>
    <w:rsid w:val="006209C9"/>
    <w:rPr>
      <w:rFonts w:ascii="Calibri" w:eastAsia="Calibri" w:hAnsi="Calibri" w:cs="Calibri"/>
    </w:rPr>
  </w:style>
  <w:style w:type="character" w:styleId="CommentReference">
    <w:name w:val="annotation reference"/>
    <w:basedOn w:val="DefaultParagraphFont"/>
    <w:uiPriority w:val="99"/>
    <w:semiHidden/>
    <w:unhideWhenUsed/>
    <w:rsid w:val="00353427"/>
    <w:rPr>
      <w:sz w:val="16"/>
      <w:szCs w:val="16"/>
    </w:rPr>
  </w:style>
  <w:style w:type="paragraph" w:styleId="CommentText">
    <w:name w:val="annotation text"/>
    <w:basedOn w:val="Normal"/>
    <w:link w:val="CommentTextChar"/>
    <w:uiPriority w:val="99"/>
    <w:unhideWhenUsed/>
    <w:rsid w:val="00353427"/>
    <w:rPr>
      <w:sz w:val="20"/>
      <w:szCs w:val="20"/>
    </w:rPr>
  </w:style>
  <w:style w:type="character" w:customStyle="1" w:styleId="CommentTextChar">
    <w:name w:val="Comment Text Char"/>
    <w:basedOn w:val="DefaultParagraphFont"/>
    <w:link w:val="CommentText"/>
    <w:uiPriority w:val="99"/>
    <w:rsid w:val="0035342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3427"/>
    <w:rPr>
      <w:b/>
      <w:bCs/>
    </w:rPr>
  </w:style>
  <w:style w:type="character" w:customStyle="1" w:styleId="CommentSubjectChar">
    <w:name w:val="Comment Subject Char"/>
    <w:basedOn w:val="CommentTextChar"/>
    <w:link w:val="CommentSubject"/>
    <w:uiPriority w:val="99"/>
    <w:semiHidden/>
    <w:rsid w:val="00353427"/>
    <w:rPr>
      <w:rFonts w:ascii="Calibri" w:eastAsia="Calibri" w:hAnsi="Calibri" w:cs="Calibri"/>
      <w:b/>
      <w:bCs/>
      <w:sz w:val="20"/>
      <w:szCs w:val="20"/>
    </w:rPr>
  </w:style>
  <w:style w:type="character" w:customStyle="1" w:styleId="Heading2Char">
    <w:name w:val="Heading 2 Char"/>
    <w:basedOn w:val="DefaultParagraphFont"/>
    <w:link w:val="Heading2"/>
    <w:uiPriority w:val="9"/>
    <w:rsid w:val="004B63C6"/>
    <w:rPr>
      <w:rFonts w:ascii="Verdana" w:eastAsia="Calibri" w:hAnsi="Verdana" w:cs="Calibri"/>
      <w:sz w:val="24"/>
      <w:szCs w:val="24"/>
    </w:rPr>
  </w:style>
  <w:style w:type="character" w:customStyle="1" w:styleId="Heading3Char">
    <w:name w:val="Heading 3 Char"/>
    <w:basedOn w:val="DefaultParagraphFont"/>
    <w:link w:val="Heading3"/>
    <w:uiPriority w:val="9"/>
    <w:rsid w:val="00B00115"/>
    <w:rPr>
      <w:rFonts w:ascii="Verdana" w:eastAsia="Calibri" w:hAnsi="Verdana" w:cs="Calibri"/>
      <w:bCs/>
      <w:sz w:val="24"/>
      <w:szCs w:val="24"/>
    </w:rPr>
  </w:style>
  <w:style w:type="paragraph" w:styleId="Revision">
    <w:name w:val="Revision"/>
    <w:hidden/>
    <w:uiPriority w:val="99"/>
    <w:semiHidden/>
    <w:rsid w:val="00DD2A16"/>
    <w:pPr>
      <w:widowControl/>
      <w:autoSpaceDE/>
      <w:autoSpaceDN/>
    </w:pPr>
    <w:rPr>
      <w:rFonts w:ascii="Calibri" w:eastAsia="Calibri" w:hAnsi="Calibri" w:cs="Calibri"/>
    </w:rPr>
  </w:style>
  <w:style w:type="character" w:styleId="Hyperlink">
    <w:name w:val="Hyperlink"/>
    <w:basedOn w:val="DefaultParagraphFont"/>
    <w:uiPriority w:val="99"/>
    <w:unhideWhenUsed/>
    <w:rsid w:val="00B530CC"/>
    <w:rPr>
      <w:color w:val="0000FF" w:themeColor="hyperlink"/>
      <w:u w:val="single"/>
    </w:rPr>
  </w:style>
  <w:style w:type="character" w:styleId="UnresolvedMention">
    <w:name w:val="Unresolved Mention"/>
    <w:basedOn w:val="DefaultParagraphFont"/>
    <w:uiPriority w:val="99"/>
    <w:semiHidden/>
    <w:unhideWhenUsed/>
    <w:rsid w:val="00B530CC"/>
    <w:rPr>
      <w:color w:val="605E5C"/>
      <w:shd w:val="clear" w:color="auto" w:fill="E1DFDD"/>
    </w:rPr>
  </w:style>
  <w:style w:type="character" w:customStyle="1" w:styleId="normaltextrun">
    <w:name w:val="normaltextrun"/>
    <w:basedOn w:val="DefaultParagraphFont"/>
    <w:rsid w:val="009511F6"/>
  </w:style>
  <w:style w:type="character" w:customStyle="1" w:styleId="eop">
    <w:name w:val="eop"/>
    <w:basedOn w:val="DefaultParagraphFont"/>
    <w:rsid w:val="009511F6"/>
  </w:style>
  <w:style w:type="paragraph" w:customStyle="1" w:styleId="paragraph">
    <w:name w:val="paragraph"/>
    <w:basedOn w:val="Normal"/>
    <w:rsid w:val="009511F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findhit">
    <w:name w:val="findhit"/>
    <w:basedOn w:val="DefaultParagraphFont"/>
    <w:rsid w:val="00E6392F"/>
  </w:style>
  <w:style w:type="paragraph" w:styleId="Title">
    <w:name w:val="Title"/>
    <w:basedOn w:val="Heading1"/>
    <w:next w:val="Normal"/>
    <w:link w:val="TitleChar"/>
    <w:uiPriority w:val="10"/>
    <w:qFormat/>
    <w:rsid w:val="000A3870"/>
    <w:pPr>
      <w:spacing w:line="360" w:lineRule="auto"/>
      <w:ind w:left="0" w:right="10" w:firstLine="0"/>
      <w:jc w:val="center"/>
    </w:pPr>
    <w:rPr>
      <w:rFonts w:ascii="Verdana" w:hAnsi="Verdana"/>
    </w:rPr>
  </w:style>
  <w:style w:type="character" w:customStyle="1" w:styleId="TitleChar">
    <w:name w:val="Title Char"/>
    <w:basedOn w:val="DefaultParagraphFont"/>
    <w:link w:val="Title"/>
    <w:uiPriority w:val="10"/>
    <w:rsid w:val="000A3870"/>
    <w:rPr>
      <w:rFonts w:ascii="Verdana" w:eastAsia="Calibri" w:hAnsi="Verdana" w:cs="Calibri"/>
      <w:b/>
      <w:bCs/>
      <w:sz w:val="24"/>
      <w:szCs w:val="24"/>
    </w:rPr>
  </w:style>
  <w:style w:type="character" w:styleId="FollowedHyperlink">
    <w:name w:val="FollowedHyperlink"/>
    <w:basedOn w:val="DefaultParagraphFont"/>
    <w:uiPriority w:val="99"/>
    <w:semiHidden/>
    <w:unhideWhenUsed/>
    <w:rsid w:val="00DB0B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67213">
      <w:bodyDiv w:val="1"/>
      <w:marLeft w:val="0"/>
      <w:marRight w:val="0"/>
      <w:marTop w:val="0"/>
      <w:marBottom w:val="0"/>
      <w:divBdr>
        <w:top w:val="none" w:sz="0" w:space="0" w:color="auto"/>
        <w:left w:val="none" w:sz="0" w:space="0" w:color="auto"/>
        <w:bottom w:val="none" w:sz="0" w:space="0" w:color="auto"/>
        <w:right w:val="none" w:sz="0" w:space="0" w:color="auto"/>
      </w:divBdr>
    </w:div>
    <w:div w:id="1902521620">
      <w:bodyDiv w:val="1"/>
      <w:marLeft w:val="0"/>
      <w:marRight w:val="0"/>
      <w:marTop w:val="0"/>
      <w:marBottom w:val="0"/>
      <w:divBdr>
        <w:top w:val="none" w:sz="0" w:space="0" w:color="auto"/>
        <w:left w:val="none" w:sz="0" w:space="0" w:color="auto"/>
        <w:bottom w:val="none" w:sz="0" w:space="0" w:color="auto"/>
        <w:right w:val="none" w:sz="0" w:space="0" w:color="auto"/>
      </w:divBdr>
      <w:divsChild>
        <w:div w:id="67967149">
          <w:marLeft w:val="0"/>
          <w:marRight w:val="0"/>
          <w:marTop w:val="0"/>
          <w:marBottom w:val="0"/>
          <w:divBdr>
            <w:top w:val="none" w:sz="0" w:space="0" w:color="auto"/>
            <w:left w:val="none" w:sz="0" w:space="0" w:color="auto"/>
            <w:bottom w:val="none" w:sz="0" w:space="0" w:color="auto"/>
            <w:right w:val="none" w:sz="0" w:space="0" w:color="auto"/>
          </w:divBdr>
        </w:div>
        <w:div w:id="111286583">
          <w:marLeft w:val="0"/>
          <w:marRight w:val="0"/>
          <w:marTop w:val="0"/>
          <w:marBottom w:val="0"/>
          <w:divBdr>
            <w:top w:val="none" w:sz="0" w:space="0" w:color="auto"/>
            <w:left w:val="none" w:sz="0" w:space="0" w:color="auto"/>
            <w:bottom w:val="none" w:sz="0" w:space="0" w:color="auto"/>
            <w:right w:val="none" w:sz="0" w:space="0" w:color="auto"/>
          </w:divBdr>
        </w:div>
        <w:div w:id="594629779">
          <w:marLeft w:val="0"/>
          <w:marRight w:val="0"/>
          <w:marTop w:val="0"/>
          <w:marBottom w:val="0"/>
          <w:divBdr>
            <w:top w:val="none" w:sz="0" w:space="0" w:color="auto"/>
            <w:left w:val="none" w:sz="0" w:space="0" w:color="auto"/>
            <w:bottom w:val="none" w:sz="0" w:space="0" w:color="auto"/>
            <w:right w:val="none" w:sz="0" w:space="0" w:color="auto"/>
          </w:divBdr>
        </w:div>
        <w:div w:id="657613563">
          <w:marLeft w:val="0"/>
          <w:marRight w:val="0"/>
          <w:marTop w:val="0"/>
          <w:marBottom w:val="0"/>
          <w:divBdr>
            <w:top w:val="none" w:sz="0" w:space="0" w:color="auto"/>
            <w:left w:val="none" w:sz="0" w:space="0" w:color="auto"/>
            <w:bottom w:val="none" w:sz="0" w:space="0" w:color="auto"/>
            <w:right w:val="none" w:sz="0" w:space="0" w:color="auto"/>
          </w:divBdr>
        </w:div>
        <w:div w:id="1561282412">
          <w:marLeft w:val="0"/>
          <w:marRight w:val="0"/>
          <w:marTop w:val="0"/>
          <w:marBottom w:val="0"/>
          <w:divBdr>
            <w:top w:val="none" w:sz="0" w:space="0" w:color="auto"/>
            <w:left w:val="none" w:sz="0" w:space="0" w:color="auto"/>
            <w:bottom w:val="none" w:sz="0" w:space="0" w:color="auto"/>
            <w:right w:val="none" w:sz="0" w:space="0" w:color="auto"/>
          </w:divBdr>
        </w:div>
        <w:div w:id="1566337243">
          <w:marLeft w:val="0"/>
          <w:marRight w:val="0"/>
          <w:marTop w:val="0"/>
          <w:marBottom w:val="0"/>
          <w:divBdr>
            <w:top w:val="none" w:sz="0" w:space="0" w:color="auto"/>
            <w:left w:val="none" w:sz="0" w:space="0" w:color="auto"/>
            <w:bottom w:val="none" w:sz="0" w:space="0" w:color="auto"/>
            <w:right w:val="none" w:sz="0" w:space="0" w:color="auto"/>
          </w:divBdr>
        </w:div>
        <w:div w:id="1903179100">
          <w:marLeft w:val="0"/>
          <w:marRight w:val="0"/>
          <w:marTop w:val="0"/>
          <w:marBottom w:val="0"/>
          <w:divBdr>
            <w:top w:val="none" w:sz="0" w:space="0" w:color="auto"/>
            <w:left w:val="none" w:sz="0" w:space="0" w:color="auto"/>
            <w:bottom w:val="none" w:sz="0" w:space="0" w:color="auto"/>
            <w:right w:val="none" w:sz="0" w:space="0" w:color="auto"/>
          </w:divBdr>
        </w:div>
      </w:divsChild>
    </w:div>
    <w:div w:id="21152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grants/award-term-and-condition-for-trafficking-in-pers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f.hhs.gov/grants/award-term-and-condition-for-trafficking-in-persons" TargetMode="External"/><Relationship Id="rId17" Type="http://schemas.openxmlformats.org/officeDocument/2006/relationships/hyperlink" Target="https://www.federalregister.gov/presidential-documents/executive-orders" TargetMode="External"/><Relationship Id="rId2" Type="http://schemas.openxmlformats.org/officeDocument/2006/relationships/customXml" Target="../customXml/item2.xml"/><Relationship Id="rId16" Type="http://schemas.openxmlformats.org/officeDocument/2006/relationships/hyperlink" Target="https://oig.hhs.gov/documents/fraud/367/NDAA-Notice-HHS-Contractor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 TargetMode="External"/><Relationship Id="rId5" Type="http://schemas.openxmlformats.org/officeDocument/2006/relationships/numbering" Target="numbering.xml"/><Relationship Id="rId15" Type="http://schemas.openxmlformats.org/officeDocument/2006/relationships/hyperlink" Target="https://oig.hhs.gov/fraud/whistleblow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grants/award-term-and-condition-trafficking-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4a6763-ac05-4e28-9ae1-4058cad3e94b">
      <Terms xmlns="http://schemas.microsoft.com/office/infopath/2007/PartnerControls"/>
    </lcf76f155ced4ddcb4097134ff3c332f>
    <TaxCatchAll xmlns="d75cc3ea-6d34-48b9-955f-209672471296" xsi:nil="true"/>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A9067-F7E9-44A9-88F3-28DEFC799749}">
  <ds:schemaRefs>
    <ds:schemaRef ds:uri="http://schemas.openxmlformats.org/officeDocument/2006/bibliography"/>
  </ds:schemaRefs>
</ds:datastoreItem>
</file>

<file path=customXml/itemProps2.xml><?xml version="1.0" encoding="utf-8"?>
<ds:datastoreItem xmlns:ds="http://schemas.openxmlformats.org/officeDocument/2006/customXml" ds:itemID="{B7C5AA6A-5501-4485-9D48-7653BFBE37AE}">
  <ds:schemaRefs>
    <ds:schemaRef ds:uri="http://schemas.microsoft.com/sharepoint/v3/contenttype/forms"/>
  </ds:schemaRefs>
</ds:datastoreItem>
</file>

<file path=customXml/itemProps3.xml><?xml version="1.0" encoding="utf-8"?>
<ds:datastoreItem xmlns:ds="http://schemas.openxmlformats.org/officeDocument/2006/customXml" ds:itemID="{E8E367CC-7D93-408D-A795-F45FFF7EBE4E}">
  <ds:schemaRefs>
    <ds:schemaRef ds:uri="http://purl.org/dc/terms/"/>
    <ds:schemaRef ds:uri="b3d4d000-563a-4305-9999-1500175eed71"/>
    <ds:schemaRef ds:uri="http://schemas.microsoft.com/office/2006/metadata/properties"/>
    <ds:schemaRef ds:uri="http://schemas.microsoft.com/office/infopath/2007/PartnerControls"/>
    <ds:schemaRef ds:uri="c2976140-8a9d-401e-9cc2-8f472a54bc0a"/>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 ds:uri="http://purl.org/dc/elements/1.1/"/>
    <ds:schemaRef ds:uri="16e26e24-0d0e-4141-8521-b0a1df263852"/>
    <ds:schemaRef ds:uri="6715794f-62c6-4cf2-a510-54ce7f51ff43"/>
  </ds:schemaRefs>
</ds:datastoreItem>
</file>

<file path=customXml/itemProps4.xml><?xml version="1.0" encoding="utf-8"?>
<ds:datastoreItem xmlns:ds="http://schemas.openxmlformats.org/officeDocument/2006/customXml" ds:itemID="{B76A2589-B753-4B97-AA64-E185E074F36F}"/>
</file>

<file path=docProps/app.xml><?xml version="1.0" encoding="utf-8"?>
<Properties xmlns="http://schemas.openxmlformats.org/officeDocument/2006/extended-properties" xmlns:vt="http://schemas.openxmlformats.org/officeDocument/2006/docPropsVTypes">
  <Template>Normal.dotm</Template>
  <TotalTime>2</TotalTime>
  <Pages>14</Pages>
  <Words>3079</Words>
  <Characters>17556</Characters>
  <Application>Microsoft Office Word</Application>
  <DocSecurity>12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Flood,Gavra J</dc:creator>
  <cp:keywords/>
  <dc:description/>
  <cp:lastModifiedBy>Tonche,Crystal</cp:lastModifiedBy>
  <cp:revision>2</cp:revision>
  <cp:lastPrinted>2025-05-14T20:09:00Z</cp:lastPrinted>
  <dcterms:created xsi:type="dcterms:W3CDTF">2025-05-20T18:37:00Z</dcterms:created>
  <dcterms:modified xsi:type="dcterms:W3CDTF">2025-05-20T18:37:00Z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Acrobat PDFMaker 21 for Word</vt:lpwstr>
  </property>
  <property fmtid="{D5CDD505-2E9C-101B-9397-08002B2CF9AE}" pid="4" name="LastSaved">
    <vt:filetime>2022-09-29T00:00:00Z</vt:filetime>
  </property>
  <property fmtid="{D5CDD505-2E9C-101B-9397-08002B2CF9AE}" pid="5" name="Producer">
    <vt:lpwstr>Adobe PDF Library 21.7.127</vt:lpwstr>
  </property>
  <property fmtid="{D5CDD505-2E9C-101B-9397-08002B2CF9AE}" pid="6" name="SourceModified">
    <vt:lpwstr/>
  </property>
  <property fmtid="{D5CDD505-2E9C-101B-9397-08002B2CF9AE}" pid="7" name="ContentTypeId">
    <vt:lpwstr>0x010100E9EA837411ED864B94278B26830B74D5</vt:lpwstr>
  </property>
  <property fmtid="{D5CDD505-2E9C-101B-9397-08002B2CF9AE}" pid="8" name="_dlc_DocIdItemGuid">
    <vt:lpwstr>ecca5859-9e90-4680-b699-9940e0516d1f</vt:lpwstr>
  </property>
  <property fmtid="{D5CDD505-2E9C-101B-9397-08002B2CF9AE}" pid="9" name="MediaServiceImageTags">
    <vt:lpwstr/>
  </property>
</Properties>
</file>