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05B94" w14:textId="77777777" w:rsidR="00985862" w:rsidRPr="00985862" w:rsidRDefault="00985862" w:rsidP="00985862">
      <w:pPr>
        <w:spacing w:after="0" w:line="293" w:lineRule="atLeast"/>
        <w:outlineLvl w:val="0"/>
        <w:rPr>
          <w:rFonts w:ascii="Times New Roman" w:eastAsia="Times New Roman" w:hAnsi="Times New Roman" w:cs="Times New Roman"/>
          <w:b/>
          <w:bCs/>
          <w:color w:val="000000"/>
          <w:kern w:val="36"/>
          <w:sz w:val="24"/>
          <w:szCs w:val="24"/>
        </w:rPr>
      </w:pPr>
      <w:r w:rsidRPr="00985862">
        <w:rPr>
          <w:rFonts w:ascii="Times New Roman" w:eastAsia="Times New Roman" w:hAnsi="Times New Roman" w:cs="Times New Roman"/>
          <w:b/>
          <w:bCs/>
          <w:color w:val="000000"/>
          <w:kern w:val="36"/>
          <w:sz w:val="24"/>
          <w:szCs w:val="24"/>
        </w:rPr>
        <w:t>TWC Increases 2022 Child Care Relief Funding by $1 Billion to Strengthen Workforce</w:t>
      </w:r>
    </w:p>
    <w:p w14:paraId="1085ED8C" w14:textId="77777777" w:rsidR="00985862" w:rsidRPr="00985862" w:rsidRDefault="00985862" w:rsidP="00985862">
      <w:pPr>
        <w:shd w:val="clear" w:color="auto" w:fill="FFFFFF"/>
        <w:spacing w:after="360" w:line="293" w:lineRule="atLeast"/>
        <w:rPr>
          <w:rFonts w:ascii="Arial" w:eastAsia="Times New Roman" w:hAnsi="Arial" w:cs="Arial"/>
          <w:color w:val="000000"/>
          <w:sz w:val="18"/>
          <w:szCs w:val="18"/>
        </w:rPr>
      </w:pPr>
      <w:r w:rsidRPr="00985862">
        <w:rPr>
          <w:rFonts w:ascii="Arial" w:eastAsia="Times New Roman" w:hAnsi="Arial" w:cs="Arial"/>
          <w:color w:val="000000"/>
          <w:sz w:val="18"/>
          <w:szCs w:val="18"/>
        </w:rPr>
        <w:t>Date: February 2, 2022</w:t>
      </w:r>
    </w:p>
    <w:p w14:paraId="7CF6D0D9" w14:textId="77777777" w:rsidR="00985862" w:rsidRPr="00985862" w:rsidRDefault="00985862" w:rsidP="00985862">
      <w:pPr>
        <w:shd w:val="clear" w:color="auto" w:fill="FFFFFF"/>
        <w:spacing w:after="360" w:line="293" w:lineRule="atLeast"/>
        <w:jc w:val="right"/>
        <w:rPr>
          <w:rFonts w:ascii="Arial" w:eastAsia="Times New Roman" w:hAnsi="Arial" w:cs="Arial"/>
          <w:color w:val="000000"/>
          <w:sz w:val="18"/>
          <w:szCs w:val="18"/>
        </w:rPr>
      </w:pPr>
      <w:r w:rsidRPr="00985862">
        <w:rPr>
          <w:rFonts w:ascii="Arial" w:eastAsia="Times New Roman" w:hAnsi="Arial" w:cs="Arial"/>
          <w:color w:val="000000"/>
          <w:sz w:val="18"/>
          <w:szCs w:val="18"/>
        </w:rPr>
        <w:t>Media Contact: Cisco Gamez</w:t>
      </w:r>
      <w:r w:rsidRPr="00985862">
        <w:rPr>
          <w:rFonts w:ascii="Arial" w:eastAsia="Times New Roman" w:hAnsi="Arial" w:cs="Arial"/>
          <w:color w:val="000000"/>
          <w:sz w:val="18"/>
          <w:szCs w:val="18"/>
        </w:rPr>
        <w:br/>
        <w:t>Phone: 512-463-8556</w:t>
      </w:r>
    </w:p>
    <w:p w14:paraId="23B70F7E" w14:textId="77777777" w:rsidR="00985862" w:rsidRPr="00985862" w:rsidRDefault="00985862" w:rsidP="00985862">
      <w:pPr>
        <w:shd w:val="clear" w:color="auto" w:fill="FFFFFF"/>
        <w:spacing w:after="360" w:line="293" w:lineRule="atLeast"/>
        <w:jc w:val="center"/>
        <w:rPr>
          <w:rFonts w:ascii="Arial" w:eastAsia="Times New Roman" w:hAnsi="Arial" w:cs="Arial"/>
          <w:color w:val="000000"/>
          <w:sz w:val="18"/>
          <w:szCs w:val="18"/>
        </w:rPr>
      </w:pPr>
      <w:r w:rsidRPr="00985862">
        <w:rPr>
          <w:rFonts w:ascii="Arial" w:eastAsia="Times New Roman" w:hAnsi="Arial" w:cs="Arial"/>
          <w:color w:val="000000"/>
          <w:sz w:val="18"/>
          <w:szCs w:val="18"/>
        </w:rPr>
        <w:t>$3.4 Billion Now Available to Eligible Providers, Plus Additional $75 Million Approved to Defray Startup Costs for New Child Care Businesses</w:t>
      </w:r>
    </w:p>
    <w:p w14:paraId="40DA1596" w14:textId="668F0130" w:rsidR="00985862" w:rsidRPr="00985862" w:rsidRDefault="00985862" w:rsidP="00985862">
      <w:pPr>
        <w:shd w:val="clear" w:color="auto" w:fill="FFFFFF"/>
        <w:spacing w:after="360" w:line="293" w:lineRule="atLeast"/>
        <w:rPr>
          <w:rFonts w:ascii="Arial" w:eastAsia="Times New Roman" w:hAnsi="Arial" w:cs="Arial"/>
          <w:color w:val="000000"/>
          <w:sz w:val="18"/>
          <w:szCs w:val="18"/>
        </w:rPr>
      </w:pPr>
      <w:r w:rsidRPr="00985862">
        <w:rPr>
          <w:rFonts w:ascii="Arial" w:eastAsia="Times New Roman" w:hAnsi="Arial" w:cs="Arial"/>
          <w:color w:val="000000"/>
          <w:sz w:val="18"/>
          <w:szCs w:val="18"/>
        </w:rPr>
        <w:t>AUSTIN – The Texas Workforce Commission (</w:t>
      </w:r>
      <w:r w:rsidRPr="00985862">
        <w:rPr>
          <w:rFonts w:ascii="Arial" w:eastAsia="Times New Roman" w:hAnsi="Arial" w:cs="Arial"/>
          <w:color w:val="000000"/>
          <w:sz w:val="18"/>
          <w:szCs w:val="18"/>
          <w:bdr w:val="none" w:sz="0" w:space="0" w:color="auto" w:frame="1"/>
        </w:rPr>
        <w:t>TWC</w:t>
      </w:r>
      <w:r w:rsidRPr="00985862">
        <w:rPr>
          <w:rFonts w:ascii="Arial" w:eastAsia="Times New Roman" w:hAnsi="Arial" w:cs="Arial"/>
          <w:color w:val="000000"/>
          <w:sz w:val="18"/>
          <w:szCs w:val="18"/>
        </w:rPr>
        <w:t>) this week approved an additional $1 billion in direct support for the Texas child care industry, increasing available funds for the </w:t>
      </w:r>
      <w:hyperlink r:id="rId5" w:history="1">
        <w:r w:rsidRPr="00985862">
          <w:rPr>
            <w:rStyle w:val="Hyperlink"/>
            <w:rFonts w:ascii="Arial" w:eastAsia="Times New Roman" w:hAnsi="Arial" w:cs="Arial"/>
            <w:sz w:val="18"/>
            <w:szCs w:val="18"/>
          </w:rPr>
          <w:t xml:space="preserve">2022 Child Care Relief </w:t>
        </w:r>
        <w:r w:rsidRPr="00985862">
          <w:rPr>
            <w:rStyle w:val="Hyperlink"/>
            <w:rFonts w:ascii="Arial" w:eastAsia="Times New Roman" w:hAnsi="Arial" w:cs="Arial"/>
            <w:sz w:val="18"/>
            <w:szCs w:val="18"/>
          </w:rPr>
          <w:t>F</w:t>
        </w:r>
        <w:r w:rsidRPr="00985862">
          <w:rPr>
            <w:rStyle w:val="Hyperlink"/>
            <w:rFonts w:ascii="Arial" w:eastAsia="Times New Roman" w:hAnsi="Arial" w:cs="Arial"/>
            <w:sz w:val="18"/>
            <w:szCs w:val="18"/>
          </w:rPr>
          <w:t>und </w:t>
        </w:r>
      </w:hyperlink>
      <w:r w:rsidRPr="00985862">
        <w:rPr>
          <w:rFonts w:ascii="Arial" w:eastAsia="Times New Roman" w:hAnsi="Arial" w:cs="Arial"/>
          <w:color w:val="000000"/>
          <w:sz w:val="18"/>
          <w:szCs w:val="18"/>
        </w:rPr>
        <w:t>(</w:t>
      </w:r>
      <w:r w:rsidRPr="00985862">
        <w:rPr>
          <w:rFonts w:ascii="Arial" w:eastAsia="Times New Roman" w:hAnsi="Arial" w:cs="Arial"/>
          <w:color w:val="000000"/>
          <w:sz w:val="18"/>
          <w:szCs w:val="18"/>
          <w:bdr w:val="none" w:sz="0" w:space="0" w:color="auto" w:frame="1"/>
        </w:rPr>
        <w:t>CCRF</w:t>
      </w:r>
      <w:r w:rsidRPr="00985862">
        <w:rPr>
          <w:rFonts w:ascii="Arial" w:eastAsia="Times New Roman" w:hAnsi="Arial" w:cs="Arial"/>
          <w:color w:val="000000"/>
          <w:sz w:val="18"/>
          <w:szCs w:val="18"/>
        </w:rPr>
        <w:t>) to a total of $3.4 billion — with an estimated average award of over $250,000 per provider. In addition to the $1 billion approved for </w:t>
      </w:r>
      <w:r w:rsidRPr="00985862">
        <w:rPr>
          <w:rFonts w:ascii="Arial" w:eastAsia="Times New Roman" w:hAnsi="Arial" w:cs="Arial"/>
          <w:color w:val="000000"/>
          <w:sz w:val="18"/>
          <w:szCs w:val="18"/>
          <w:bdr w:val="none" w:sz="0" w:space="0" w:color="auto" w:frame="1"/>
        </w:rPr>
        <w:t>CCRF</w:t>
      </w:r>
      <w:r w:rsidRPr="00985862">
        <w:rPr>
          <w:rFonts w:ascii="Arial" w:eastAsia="Times New Roman" w:hAnsi="Arial" w:cs="Arial"/>
          <w:color w:val="000000"/>
          <w:sz w:val="18"/>
          <w:szCs w:val="18"/>
        </w:rPr>
        <w:t>, the Commission has also approved an additional $75 million aimed to defray startup costs for new child care providers across the state.</w:t>
      </w:r>
    </w:p>
    <w:p w14:paraId="097AF9E8" w14:textId="77777777" w:rsidR="00985862" w:rsidRPr="00985862" w:rsidRDefault="00985862" w:rsidP="00985862">
      <w:pPr>
        <w:shd w:val="clear" w:color="auto" w:fill="FFFFFF"/>
        <w:spacing w:after="360" w:line="293" w:lineRule="atLeast"/>
        <w:rPr>
          <w:rFonts w:ascii="Arial" w:eastAsia="Times New Roman" w:hAnsi="Arial" w:cs="Arial"/>
          <w:color w:val="000000"/>
          <w:sz w:val="18"/>
          <w:szCs w:val="18"/>
        </w:rPr>
      </w:pPr>
      <w:r w:rsidRPr="00985862">
        <w:rPr>
          <w:rFonts w:ascii="Arial" w:eastAsia="Times New Roman" w:hAnsi="Arial" w:cs="Arial"/>
          <w:color w:val="000000"/>
          <w:sz w:val="18"/>
          <w:szCs w:val="18"/>
        </w:rPr>
        <w:t>The 2022 </w:t>
      </w:r>
      <w:r w:rsidRPr="00985862">
        <w:rPr>
          <w:rFonts w:ascii="Arial" w:eastAsia="Times New Roman" w:hAnsi="Arial" w:cs="Arial"/>
          <w:color w:val="000000"/>
          <w:sz w:val="18"/>
          <w:szCs w:val="18"/>
          <w:bdr w:val="none" w:sz="0" w:space="0" w:color="auto" w:frame="1"/>
        </w:rPr>
        <w:t>CCRF</w:t>
      </w:r>
      <w:r w:rsidRPr="00985862">
        <w:rPr>
          <w:rFonts w:ascii="Arial" w:eastAsia="Times New Roman" w:hAnsi="Arial" w:cs="Arial"/>
          <w:color w:val="000000"/>
          <w:sz w:val="18"/>
          <w:szCs w:val="18"/>
        </w:rPr>
        <w:t>, now at $3.4 billion in available funds, is intended to help child care providers address the impacts of COVID-19. Eligible providers may use these funds in a variety of ways to support their program’s operating costs. Examples include supporting staff recruitment and retention by enhancing the benefits they provide to their employees such as paid time off and free or low-cost child care for their employees’ children. Other employee benefits could include signing bonuses, retention bonuses, wage stipends, or hazard pay.</w:t>
      </w:r>
    </w:p>
    <w:p w14:paraId="4DD1E7A9" w14:textId="77777777" w:rsidR="00985862" w:rsidRPr="00985862" w:rsidRDefault="00985862" w:rsidP="00985862">
      <w:pPr>
        <w:shd w:val="clear" w:color="auto" w:fill="FFFFFF"/>
        <w:spacing w:after="360" w:line="293" w:lineRule="atLeast"/>
        <w:rPr>
          <w:rFonts w:ascii="Arial" w:eastAsia="Times New Roman" w:hAnsi="Arial" w:cs="Arial"/>
          <w:color w:val="000000"/>
          <w:sz w:val="18"/>
          <w:szCs w:val="18"/>
        </w:rPr>
      </w:pPr>
      <w:r w:rsidRPr="00985862">
        <w:rPr>
          <w:rFonts w:ascii="Arial" w:eastAsia="Times New Roman" w:hAnsi="Arial" w:cs="Arial"/>
          <w:color w:val="000000"/>
          <w:sz w:val="18"/>
          <w:szCs w:val="18"/>
        </w:rPr>
        <w:t>The $75 million in additional funding aims to support the expansion of available regulated child care, which has declined following the pandemic, and assist potential new child care providers. This funding may be used by new child care businesses to help support the initial costs of opening a new child care program, including, but not limited to: </w:t>
      </w:r>
    </w:p>
    <w:p w14:paraId="08B128F2" w14:textId="77777777" w:rsidR="00985862" w:rsidRPr="00985862" w:rsidRDefault="00985862" w:rsidP="00985862">
      <w:pPr>
        <w:numPr>
          <w:ilvl w:val="0"/>
          <w:numId w:val="1"/>
        </w:numPr>
        <w:shd w:val="clear" w:color="auto" w:fill="FFFFFF"/>
        <w:spacing w:after="0" w:line="293" w:lineRule="atLeast"/>
        <w:ind w:left="1065" w:right="2160"/>
        <w:rPr>
          <w:rFonts w:ascii="Arial" w:eastAsia="Times New Roman" w:hAnsi="Arial" w:cs="Arial"/>
          <w:color w:val="000000"/>
          <w:sz w:val="18"/>
          <w:szCs w:val="18"/>
        </w:rPr>
      </w:pPr>
      <w:r w:rsidRPr="00985862">
        <w:rPr>
          <w:rFonts w:ascii="Arial" w:eastAsia="Times New Roman" w:hAnsi="Arial" w:cs="Arial"/>
          <w:color w:val="000000"/>
          <w:sz w:val="18"/>
          <w:szCs w:val="18"/>
        </w:rPr>
        <w:t>Indoor equipment and furnishings (cribs, changing tables, bookshelves, chairs, tables, rugs, etc.)</w:t>
      </w:r>
    </w:p>
    <w:p w14:paraId="0F7C8AA2" w14:textId="77777777" w:rsidR="00985862" w:rsidRPr="00985862" w:rsidRDefault="00985862" w:rsidP="00985862">
      <w:pPr>
        <w:numPr>
          <w:ilvl w:val="0"/>
          <w:numId w:val="1"/>
        </w:numPr>
        <w:shd w:val="clear" w:color="auto" w:fill="FFFFFF"/>
        <w:spacing w:after="0" w:line="293" w:lineRule="atLeast"/>
        <w:ind w:left="1065" w:right="2160"/>
        <w:rPr>
          <w:rFonts w:ascii="Arial" w:eastAsia="Times New Roman" w:hAnsi="Arial" w:cs="Arial"/>
          <w:color w:val="000000"/>
          <w:sz w:val="18"/>
          <w:szCs w:val="18"/>
        </w:rPr>
      </w:pPr>
      <w:r w:rsidRPr="00985862">
        <w:rPr>
          <w:rFonts w:ascii="Arial" w:eastAsia="Times New Roman" w:hAnsi="Arial" w:cs="Arial"/>
          <w:color w:val="000000"/>
          <w:sz w:val="18"/>
          <w:szCs w:val="18"/>
        </w:rPr>
        <w:t>Office furnishings and equipment (desks, chairs, filing cabinets, computers, software, printers, etc.)</w:t>
      </w:r>
    </w:p>
    <w:p w14:paraId="37DF1D9A" w14:textId="77777777" w:rsidR="00985862" w:rsidRPr="00985862" w:rsidRDefault="00985862" w:rsidP="00985862">
      <w:pPr>
        <w:numPr>
          <w:ilvl w:val="0"/>
          <w:numId w:val="1"/>
        </w:numPr>
        <w:shd w:val="clear" w:color="auto" w:fill="FFFFFF"/>
        <w:spacing w:after="0" w:line="293" w:lineRule="atLeast"/>
        <w:ind w:left="1065" w:right="2160"/>
        <w:rPr>
          <w:rFonts w:ascii="Arial" w:eastAsia="Times New Roman" w:hAnsi="Arial" w:cs="Arial"/>
          <w:color w:val="000000"/>
          <w:sz w:val="18"/>
          <w:szCs w:val="18"/>
        </w:rPr>
      </w:pPr>
      <w:r w:rsidRPr="00985862">
        <w:rPr>
          <w:rFonts w:ascii="Arial" w:eastAsia="Times New Roman" w:hAnsi="Arial" w:cs="Arial"/>
          <w:color w:val="000000"/>
          <w:sz w:val="18"/>
          <w:szCs w:val="18"/>
        </w:rPr>
        <w:t>Outdoor equipment (playgrounds, shade structures, toys, balls, fencing, infant strollers, etc.)</w:t>
      </w:r>
    </w:p>
    <w:p w14:paraId="057F71FE" w14:textId="77777777" w:rsidR="00985862" w:rsidRPr="00985862" w:rsidRDefault="00985862" w:rsidP="00985862">
      <w:pPr>
        <w:numPr>
          <w:ilvl w:val="0"/>
          <w:numId w:val="1"/>
        </w:numPr>
        <w:shd w:val="clear" w:color="auto" w:fill="FFFFFF"/>
        <w:spacing w:after="0" w:line="293" w:lineRule="atLeast"/>
        <w:ind w:left="1065" w:right="2160"/>
        <w:rPr>
          <w:rFonts w:ascii="Arial" w:eastAsia="Times New Roman" w:hAnsi="Arial" w:cs="Arial"/>
          <w:color w:val="000000"/>
          <w:sz w:val="18"/>
          <w:szCs w:val="18"/>
        </w:rPr>
      </w:pPr>
      <w:r w:rsidRPr="00985862">
        <w:rPr>
          <w:rFonts w:ascii="Arial" w:eastAsia="Times New Roman" w:hAnsi="Arial" w:cs="Arial"/>
          <w:color w:val="000000"/>
          <w:sz w:val="18"/>
          <w:szCs w:val="18"/>
        </w:rPr>
        <w:t>Kitchen supplies, excluding food (appliances, cookware, serving items, etc.)</w:t>
      </w:r>
    </w:p>
    <w:p w14:paraId="0544D6F9" w14:textId="77777777" w:rsidR="00985862" w:rsidRPr="00985862" w:rsidRDefault="00985862" w:rsidP="00985862">
      <w:pPr>
        <w:numPr>
          <w:ilvl w:val="0"/>
          <w:numId w:val="1"/>
        </w:numPr>
        <w:shd w:val="clear" w:color="auto" w:fill="FFFFFF"/>
        <w:spacing w:after="0" w:line="293" w:lineRule="atLeast"/>
        <w:ind w:left="1065" w:right="2160"/>
        <w:rPr>
          <w:rFonts w:ascii="Arial" w:eastAsia="Times New Roman" w:hAnsi="Arial" w:cs="Arial"/>
          <w:color w:val="000000"/>
          <w:sz w:val="18"/>
          <w:szCs w:val="18"/>
        </w:rPr>
      </w:pPr>
      <w:r w:rsidRPr="00985862">
        <w:rPr>
          <w:rFonts w:ascii="Arial" w:eastAsia="Times New Roman" w:hAnsi="Arial" w:cs="Arial"/>
          <w:color w:val="000000"/>
          <w:sz w:val="18"/>
          <w:szCs w:val="18"/>
        </w:rPr>
        <w:t>Safety supplies (fire extinguishers, smoke detectors, carbon monoxide detectors, baby gates, outlet covers, etc.)</w:t>
      </w:r>
    </w:p>
    <w:p w14:paraId="3CF7BCB0" w14:textId="77777777" w:rsidR="00985862" w:rsidRPr="00985862" w:rsidRDefault="00985862" w:rsidP="00985862">
      <w:pPr>
        <w:numPr>
          <w:ilvl w:val="0"/>
          <w:numId w:val="1"/>
        </w:numPr>
        <w:shd w:val="clear" w:color="auto" w:fill="FFFFFF"/>
        <w:spacing w:after="0" w:line="293" w:lineRule="atLeast"/>
        <w:ind w:left="1065" w:right="2160"/>
        <w:rPr>
          <w:rFonts w:ascii="Arial" w:eastAsia="Times New Roman" w:hAnsi="Arial" w:cs="Arial"/>
          <w:color w:val="000000"/>
          <w:sz w:val="18"/>
          <w:szCs w:val="18"/>
        </w:rPr>
      </w:pPr>
      <w:r w:rsidRPr="00985862">
        <w:rPr>
          <w:rFonts w:ascii="Arial" w:eastAsia="Times New Roman" w:hAnsi="Arial" w:cs="Arial"/>
          <w:color w:val="000000"/>
          <w:sz w:val="18"/>
          <w:szCs w:val="18"/>
        </w:rPr>
        <w:t>Education supplies/classroom materials (curriculum, books, toys, etc.)</w:t>
      </w:r>
    </w:p>
    <w:p w14:paraId="070E888D" w14:textId="77777777" w:rsidR="00985862" w:rsidRPr="00985862" w:rsidRDefault="00985862" w:rsidP="00985862">
      <w:pPr>
        <w:numPr>
          <w:ilvl w:val="0"/>
          <w:numId w:val="1"/>
        </w:numPr>
        <w:shd w:val="clear" w:color="auto" w:fill="FFFFFF"/>
        <w:spacing w:after="0" w:line="293" w:lineRule="atLeast"/>
        <w:ind w:left="1065" w:right="2160"/>
        <w:rPr>
          <w:rFonts w:ascii="Arial" w:eastAsia="Times New Roman" w:hAnsi="Arial" w:cs="Arial"/>
          <w:color w:val="000000"/>
          <w:sz w:val="18"/>
          <w:szCs w:val="18"/>
        </w:rPr>
      </w:pPr>
      <w:r w:rsidRPr="00985862">
        <w:rPr>
          <w:rFonts w:ascii="Arial" w:eastAsia="Times New Roman" w:hAnsi="Arial" w:cs="Arial"/>
          <w:color w:val="000000"/>
          <w:sz w:val="18"/>
          <w:szCs w:val="18"/>
        </w:rPr>
        <w:t>Permitting fees (Child Care Regulation, inspections, etc.)</w:t>
      </w:r>
    </w:p>
    <w:p w14:paraId="5399502E" w14:textId="77777777" w:rsidR="00985862" w:rsidRPr="00985862" w:rsidRDefault="00985862" w:rsidP="00985862">
      <w:pPr>
        <w:shd w:val="clear" w:color="auto" w:fill="FFFFFF"/>
        <w:spacing w:after="360" w:line="293" w:lineRule="atLeast"/>
        <w:rPr>
          <w:rFonts w:ascii="Arial" w:eastAsia="Times New Roman" w:hAnsi="Arial" w:cs="Arial"/>
          <w:color w:val="000000"/>
          <w:sz w:val="18"/>
          <w:szCs w:val="18"/>
        </w:rPr>
      </w:pPr>
      <w:r w:rsidRPr="00985862">
        <w:rPr>
          <w:rFonts w:ascii="Arial" w:eastAsia="Times New Roman" w:hAnsi="Arial" w:cs="Arial"/>
          <w:color w:val="000000"/>
          <w:sz w:val="18"/>
          <w:szCs w:val="18"/>
        </w:rPr>
        <w:t>“</w:t>
      </w:r>
      <w:r w:rsidRPr="00985862">
        <w:rPr>
          <w:rFonts w:ascii="Arial" w:eastAsia="Times New Roman" w:hAnsi="Arial" w:cs="Arial"/>
          <w:color w:val="000000"/>
          <w:sz w:val="18"/>
          <w:szCs w:val="18"/>
          <w:bdr w:val="none" w:sz="0" w:space="0" w:color="auto" w:frame="1"/>
        </w:rPr>
        <w:t>TWC</w:t>
      </w:r>
      <w:r w:rsidRPr="00985862">
        <w:rPr>
          <w:rFonts w:ascii="Arial" w:eastAsia="Times New Roman" w:hAnsi="Arial" w:cs="Arial"/>
          <w:color w:val="000000"/>
          <w:sz w:val="18"/>
          <w:szCs w:val="18"/>
        </w:rPr>
        <w:t> remains committed to supporting Texas employers, including those in the child care industry, as they respond to economic and hiring challenges,” said </w:t>
      </w:r>
      <w:r w:rsidRPr="00985862">
        <w:rPr>
          <w:rFonts w:ascii="Arial" w:eastAsia="Times New Roman" w:hAnsi="Arial" w:cs="Arial"/>
          <w:color w:val="000000"/>
          <w:sz w:val="18"/>
          <w:szCs w:val="18"/>
          <w:bdr w:val="none" w:sz="0" w:space="0" w:color="auto" w:frame="1"/>
        </w:rPr>
        <w:t>TWC</w:t>
      </w:r>
      <w:r w:rsidRPr="00985862">
        <w:rPr>
          <w:rFonts w:ascii="Arial" w:eastAsia="Times New Roman" w:hAnsi="Arial" w:cs="Arial"/>
          <w:color w:val="000000"/>
          <w:sz w:val="18"/>
          <w:szCs w:val="18"/>
        </w:rPr>
        <w:t> Chairman Bryan Daniel. “This latest action by </w:t>
      </w:r>
      <w:r w:rsidRPr="00985862">
        <w:rPr>
          <w:rFonts w:ascii="Arial" w:eastAsia="Times New Roman" w:hAnsi="Arial" w:cs="Arial"/>
          <w:color w:val="000000"/>
          <w:sz w:val="18"/>
          <w:szCs w:val="18"/>
          <w:bdr w:val="none" w:sz="0" w:space="0" w:color="auto" w:frame="1"/>
        </w:rPr>
        <w:t>TWC</w:t>
      </w:r>
      <w:r w:rsidRPr="00985862">
        <w:rPr>
          <w:rFonts w:ascii="Arial" w:eastAsia="Times New Roman" w:hAnsi="Arial" w:cs="Arial"/>
          <w:color w:val="000000"/>
          <w:sz w:val="18"/>
          <w:szCs w:val="18"/>
        </w:rPr>
        <w:t> on behalf of the child care industry reflects the importance of child care providers not just as small businesses, but as critical support to the workforce needs of our state.”</w:t>
      </w:r>
    </w:p>
    <w:p w14:paraId="3BA5CF13" w14:textId="77777777" w:rsidR="00985862" w:rsidRPr="00985862" w:rsidRDefault="00985862" w:rsidP="00985862">
      <w:pPr>
        <w:shd w:val="clear" w:color="auto" w:fill="FFFFFF"/>
        <w:spacing w:after="360" w:line="293" w:lineRule="atLeast"/>
        <w:rPr>
          <w:rFonts w:ascii="Arial" w:eastAsia="Times New Roman" w:hAnsi="Arial" w:cs="Arial"/>
          <w:color w:val="000000"/>
          <w:sz w:val="18"/>
          <w:szCs w:val="18"/>
        </w:rPr>
      </w:pPr>
      <w:r w:rsidRPr="00985862">
        <w:rPr>
          <w:rFonts w:ascii="Arial" w:eastAsia="Times New Roman" w:hAnsi="Arial" w:cs="Arial"/>
          <w:color w:val="000000"/>
          <w:sz w:val="18"/>
          <w:szCs w:val="18"/>
        </w:rPr>
        <w:lastRenderedPageBreak/>
        <w:t>The $3.4 billion 2022 Child Care Relief Fund is a new opportunity that will help strengthen a vital industry to the state’s workforce by offering direct support for existing child care programs. Beginning this month, over 13,000 eligible child care providers across the state, including licensed and regulated child care centers and homes, will have the opportunity to apply for this one-time stimulus funding.</w:t>
      </w:r>
    </w:p>
    <w:p w14:paraId="6305E7FD" w14:textId="77777777" w:rsidR="00985862" w:rsidRPr="00985862" w:rsidRDefault="00985862" w:rsidP="00985862">
      <w:pPr>
        <w:shd w:val="clear" w:color="auto" w:fill="FFFFFF"/>
        <w:spacing w:after="360" w:line="293" w:lineRule="atLeast"/>
        <w:rPr>
          <w:rFonts w:ascii="Arial" w:eastAsia="Times New Roman" w:hAnsi="Arial" w:cs="Arial"/>
          <w:color w:val="000000"/>
          <w:sz w:val="18"/>
          <w:szCs w:val="18"/>
        </w:rPr>
      </w:pPr>
      <w:r w:rsidRPr="00985862">
        <w:rPr>
          <w:rFonts w:ascii="Arial" w:eastAsia="Times New Roman" w:hAnsi="Arial" w:cs="Arial"/>
          <w:color w:val="000000"/>
          <w:sz w:val="18"/>
          <w:szCs w:val="18"/>
        </w:rPr>
        <w:t>“Texas’ workforce depends on reliable, quality child care, and the industry itself has faced staffing challenges in light of the pandemic,” said </w:t>
      </w:r>
      <w:r w:rsidRPr="00985862">
        <w:rPr>
          <w:rFonts w:ascii="Arial" w:eastAsia="Times New Roman" w:hAnsi="Arial" w:cs="Arial"/>
          <w:color w:val="000000"/>
          <w:sz w:val="18"/>
          <w:szCs w:val="18"/>
          <w:bdr w:val="none" w:sz="0" w:space="0" w:color="auto" w:frame="1"/>
        </w:rPr>
        <w:t>TWC</w:t>
      </w:r>
      <w:r w:rsidRPr="00985862">
        <w:rPr>
          <w:rFonts w:ascii="Arial" w:eastAsia="Times New Roman" w:hAnsi="Arial" w:cs="Arial"/>
          <w:color w:val="000000"/>
          <w:sz w:val="18"/>
          <w:szCs w:val="18"/>
        </w:rPr>
        <w:t> Commissioner Representing Labor Julian Alvarez. “Not only do these funds help strengthen the quality of child care available to Texans, but they also offer needed support for wages, benefits and more to those working in child care centers and homes.”</w:t>
      </w:r>
    </w:p>
    <w:p w14:paraId="74A1B7D0" w14:textId="77777777" w:rsidR="00985862" w:rsidRPr="00985862" w:rsidRDefault="00985862" w:rsidP="00985862">
      <w:pPr>
        <w:shd w:val="clear" w:color="auto" w:fill="FFFFFF"/>
        <w:spacing w:after="360" w:line="293" w:lineRule="atLeast"/>
        <w:rPr>
          <w:rFonts w:ascii="Arial" w:eastAsia="Times New Roman" w:hAnsi="Arial" w:cs="Arial"/>
          <w:color w:val="000000"/>
          <w:sz w:val="18"/>
          <w:szCs w:val="18"/>
        </w:rPr>
      </w:pPr>
      <w:r w:rsidRPr="00985862">
        <w:rPr>
          <w:rFonts w:ascii="Arial" w:eastAsia="Times New Roman" w:hAnsi="Arial" w:cs="Arial"/>
          <w:color w:val="000000"/>
          <w:sz w:val="18"/>
          <w:szCs w:val="18"/>
        </w:rPr>
        <w:t>Child Care Relief Funding award amounts are based upon provider size, type, and the average cost of child care in their area. Through the first round of Child Care Relief Funding in 2021, approximately $581 million was awarded to more than 9,500 child care providers who received, on average, over $60,000 each in support. With the new 2022 </w:t>
      </w:r>
      <w:r w:rsidRPr="00985862">
        <w:rPr>
          <w:rFonts w:ascii="Arial" w:eastAsia="Times New Roman" w:hAnsi="Arial" w:cs="Arial"/>
          <w:color w:val="000000"/>
          <w:sz w:val="18"/>
          <w:szCs w:val="18"/>
          <w:bdr w:val="none" w:sz="0" w:space="0" w:color="auto" w:frame="1"/>
        </w:rPr>
        <w:t>CCRF</w:t>
      </w:r>
      <w:r w:rsidRPr="00985862">
        <w:rPr>
          <w:rFonts w:ascii="Arial" w:eastAsia="Times New Roman" w:hAnsi="Arial" w:cs="Arial"/>
          <w:color w:val="000000"/>
          <w:sz w:val="18"/>
          <w:szCs w:val="18"/>
        </w:rPr>
        <w:t> opportunity, this year’s eligible providers have access to $3.4 billion and with an estimated average award of over $250,000.</w:t>
      </w:r>
    </w:p>
    <w:p w14:paraId="7B159DC5" w14:textId="77777777" w:rsidR="00985862" w:rsidRPr="00985862" w:rsidRDefault="00985862" w:rsidP="00985862">
      <w:pPr>
        <w:shd w:val="clear" w:color="auto" w:fill="FFFFFF"/>
        <w:spacing w:after="360" w:line="293" w:lineRule="atLeast"/>
        <w:rPr>
          <w:rFonts w:ascii="Arial" w:eastAsia="Times New Roman" w:hAnsi="Arial" w:cs="Arial"/>
          <w:color w:val="000000"/>
          <w:sz w:val="18"/>
          <w:szCs w:val="18"/>
        </w:rPr>
      </w:pPr>
      <w:r w:rsidRPr="00985862">
        <w:rPr>
          <w:rFonts w:ascii="Arial" w:eastAsia="Times New Roman" w:hAnsi="Arial" w:cs="Arial"/>
          <w:color w:val="000000"/>
          <w:sz w:val="18"/>
          <w:szCs w:val="18"/>
        </w:rPr>
        <w:t>“These funds will go a long way toward supporting our irreplaceable child care providers,” said </w:t>
      </w:r>
      <w:r w:rsidRPr="00985862">
        <w:rPr>
          <w:rFonts w:ascii="Arial" w:eastAsia="Times New Roman" w:hAnsi="Arial" w:cs="Arial"/>
          <w:color w:val="000000"/>
          <w:sz w:val="18"/>
          <w:szCs w:val="18"/>
          <w:bdr w:val="none" w:sz="0" w:space="0" w:color="auto" w:frame="1"/>
        </w:rPr>
        <w:t>TWC</w:t>
      </w:r>
      <w:r w:rsidRPr="00985862">
        <w:rPr>
          <w:rFonts w:ascii="Arial" w:eastAsia="Times New Roman" w:hAnsi="Arial" w:cs="Arial"/>
          <w:color w:val="000000"/>
          <w:sz w:val="18"/>
          <w:szCs w:val="18"/>
        </w:rPr>
        <w:t> Commissioner Representing Employers Aaron Demerson. “Supporting our child care businesses across the state is a win-win situation for our Texas employers, their staff and families that are seeking child care in order to remain and rejoin the workforce.”</w:t>
      </w:r>
    </w:p>
    <w:p w14:paraId="07528E79" w14:textId="77777777" w:rsidR="00985862" w:rsidRPr="00985862" w:rsidRDefault="00985862" w:rsidP="00985862">
      <w:pPr>
        <w:shd w:val="clear" w:color="auto" w:fill="FFFFFF"/>
        <w:spacing w:after="360" w:line="293" w:lineRule="atLeast"/>
        <w:rPr>
          <w:rFonts w:ascii="Arial" w:eastAsia="Times New Roman" w:hAnsi="Arial" w:cs="Arial"/>
          <w:color w:val="000000"/>
          <w:sz w:val="18"/>
          <w:szCs w:val="18"/>
        </w:rPr>
      </w:pPr>
      <w:r w:rsidRPr="00985862">
        <w:rPr>
          <w:rFonts w:ascii="Arial" w:eastAsia="Times New Roman" w:hAnsi="Arial" w:cs="Arial"/>
          <w:color w:val="000000"/>
          <w:sz w:val="18"/>
          <w:szCs w:val="18"/>
        </w:rPr>
        <w:t>Eligible child care providers will receive an invitation to apply for funding beginning in March. For more information and to check eligibility, visit </w:t>
      </w:r>
      <w:hyperlink r:id="rId6" w:history="1">
        <w:r w:rsidRPr="00985862">
          <w:rPr>
            <w:rFonts w:ascii="Arial" w:eastAsia="Times New Roman" w:hAnsi="Arial" w:cs="Arial"/>
            <w:color w:val="003399"/>
            <w:sz w:val="18"/>
            <w:szCs w:val="18"/>
            <w:u w:val="single"/>
          </w:rPr>
          <w:t>https://www.childcare.texas.gov/</w:t>
        </w:r>
      </w:hyperlink>
      <w:r w:rsidRPr="00985862">
        <w:rPr>
          <w:rFonts w:ascii="Arial" w:eastAsia="Times New Roman" w:hAnsi="Arial" w:cs="Arial"/>
          <w:color w:val="000000"/>
          <w:sz w:val="18"/>
          <w:szCs w:val="18"/>
        </w:rPr>
        <w:t> or email </w:t>
      </w:r>
      <w:hyperlink r:id="rId7" w:history="1">
        <w:r w:rsidRPr="00985862">
          <w:rPr>
            <w:rFonts w:ascii="Arial" w:eastAsia="Times New Roman" w:hAnsi="Arial" w:cs="Arial"/>
            <w:color w:val="003399"/>
            <w:sz w:val="18"/>
            <w:szCs w:val="18"/>
            <w:u w:val="single"/>
          </w:rPr>
          <w:t>CCReliefFunds@Trelliscompany.org</w:t>
        </w:r>
      </w:hyperlink>
      <w:r w:rsidRPr="00985862">
        <w:rPr>
          <w:rFonts w:ascii="Arial" w:eastAsia="Times New Roman" w:hAnsi="Arial" w:cs="Arial"/>
          <w:color w:val="000000"/>
          <w:sz w:val="18"/>
          <w:szCs w:val="18"/>
        </w:rPr>
        <w:t>.</w:t>
      </w:r>
    </w:p>
    <w:p w14:paraId="05306DD6" w14:textId="77777777" w:rsidR="00985862" w:rsidRPr="00985862" w:rsidRDefault="00985862" w:rsidP="00985862">
      <w:pPr>
        <w:shd w:val="clear" w:color="auto" w:fill="FFFFFF"/>
        <w:spacing w:after="360" w:line="293" w:lineRule="atLeast"/>
        <w:rPr>
          <w:rFonts w:ascii="Arial" w:eastAsia="Times New Roman" w:hAnsi="Arial" w:cs="Arial"/>
          <w:color w:val="000000"/>
          <w:sz w:val="18"/>
          <w:szCs w:val="18"/>
        </w:rPr>
      </w:pPr>
      <w:r w:rsidRPr="00985862">
        <w:rPr>
          <w:rFonts w:ascii="Arial" w:eastAsia="Times New Roman" w:hAnsi="Arial" w:cs="Arial"/>
          <w:color w:val="000000"/>
          <w:sz w:val="18"/>
          <w:szCs w:val="18"/>
        </w:rPr>
        <w:t>###eah</w:t>
      </w:r>
    </w:p>
    <w:p w14:paraId="2DF24EDC" w14:textId="77777777" w:rsidR="00985862" w:rsidRPr="00985862" w:rsidRDefault="00985862" w:rsidP="00985862">
      <w:pPr>
        <w:shd w:val="clear" w:color="auto" w:fill="FFFFFF"/>
        <w:spacing w:after="360" w:line="293" w:lineRule="atLeast"/>
        <w:rPr>
          <w:rFonts w:ascii="Arial" w:eastAsia="Times New Roman" w:hAnsi="Arial" w:cs="Arial"/>
          <w:color w:val="000000"/>
          <w:sz w:val="18"/>
          <w:szCs w:val="18"/>
        </w:rPr>
      </w:pPr>
      <w:r w:rsidRPr="00985862">
        <w:rPr>
          <w:rFonts w:ascii="Arial" w:eastAsia="Times New Roman" w:hAnsi="Arial" w:cs="Arial"/>
          <w:color w:val="000000"/>
          <w:sz w:val="18"/>
          <w:szCs w:val="18"/>
        </w:rPr>
        <w:t>The Texas Workforce Commission is a state agency dedicated to helping Texas employers, workers and communities prosper economically. For details on </w:t>
      </w:r>
      <w:r w:rsidRPr="00985862">
        <w:rPr>
          <w:rFonts w:ascii="Arial" w:eastAsia="Times New Roman" w:hAnsi="Arial" w:cs="Arial"/>
          <w:color w:val="000000"/>
          <w:sz w:val="18"/>
          <w:szCs w:val="18"/>
          <w:bdr w:val="none" w:sz="0" w:space="0" w:color="auto" w:frame="1"/>
        </w:rPr>
        <w:t>TWC</w:t>
      </w:r>
      <w:r w:rsidRPr="00985862">
        <w:rPr>
          <w:rFonts w:ascii="Arial" w:eastAsia="Times New Roman" w:hAnsi="Arial" w:cs="Arial"/>
          <w:color w:val="000000"/>
          <w:sz w:val="18"/>
          <w:szCs w:val="18"/>
        </w:rPr>
        <w:t> and the services it offers in coordination with its network of local workforce development boards, call 512-463-8942 or visit </w:t>
      </w:r>
      <w:hyperlink r:id="rId8" w:history="1">
        <w:r w:rsidRPr="00985862">
          <w:rPr>
            <w:rFonts w:ascii="Arial" w:eastAsia="Times New Roman" w:hAnsi="Arial" w:cs="Arial"/>
            <w:color w:val="003399"/>
            <w:sz w:val="18"/>
            <w:szCs w:val="18"/>
            <w:u w:val="single"/>
          </w:rPr>
          <w:t>www.texasworkforce.org</w:t>
        </w:r>
      </w:hyperlink>
      <w:r w:rsidRPr="00985862">
        <w:rPr>
          <w:rFonts w:ascii="Arial" w:eastAsia="Times New Roman" w:hAnsi="Arial" w:cs="Arial"/>
          <w:color w:val="000000"/>
          <w:sz w:val="18"/>
          <w:szCs w:val="18"/>
        </w:rPr>
        <w:t>. To receive notifications about </w:t>
      </w:r>
      <w:r w:rsidRPr="00985862">
        <w:rPr>
          <w:rFonts w:ascii="Arial" w:eastAsia="Times New Roman" w:hAnsi="Arial" w:cs="Arial"/>
          <w:color w:val="000000"/>
          <w:sz w:val="18"/>
          <w:szCs w:val="18"/>
          <w:bdr w:val="none" w:sz="0" w:space="0" w:color="auto" w:frame="1"/>
        </w:rPr>
        <w:t>TWC</w:t>
      </w:r>
      <w:r w:rsidRPr="00985862">
        <w:rPr>
          <w:rFonts w:ascii="Arial" w:eastAsia="Times New Roman" w:hAnsi="Arial" w:cs="Arial"/>
          <w:color w:val="000000"/>
          <w:sz w:val="18"/>
          <w:szCs w:val="18"/>
        </w:rPr>
        <w:t> programs and services subscribe to our </w:t>
      </w:r>
      <w:hyperlink r:id="rId9" w:history="1">
        <w:r w:rsidRPr="00985862">
          <w:rPr>
            <w:rFonts w:ascii="Arial" w:eastAsia="Times New Roman" w:hAnsi="Arial" w:cs="Arial"/>
            <w:color w:val="003399"/>
            <w:sz w:val="18"/>
            <w:szCs w:val="18"/>
            <w:u w:val="single"/>
          </w:rPr>
          <w:t>email updates</w:t>
        </w:r>
      </w:hyperlink>
      <w:r w:rsidRPr="00985862">
        <w:rPr>
          <w:rFonts w:ascii="Arial" w:eastAsia="Times New Roman" w:hAnsi="Arial" w:cs="Arial"/>
          <w:color w:val="000000"/>
          <w:sz w:val="18"/>
          <w:szCs w:val="18"/>
        </w:rPr>
        <w:t>.</w:t>
      </w:r>
    </w:p>
    <w:p w14:paraId="4841D657" w14:textId="77777777" w:rsidR="00F00871" w:rsidRDefault="00F00871"/>
    <w:sectPr w:rsidR="00F00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845FB"/>
    <w:multiLevelType w:val="multilevel"/>
    <w:tmpl w:val="F5EA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37143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862"/>
    <w:rsid w:val="00805086"/>
    <w:rsid w:val="00891916"/>
    <w:rsid w:val="00985862"/>
    <w:rsid w:val="009963BF"/>
    <w:rsid w:val="00BD5C37"/>
    <w:rsid w:val="00BF0234"/>
    <w:rsid w:val="00F00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D507"/>
  <w15:chartTrackingRefBased/>
  <w15:docId w15:val="{C3FC1F43-90F5-487C-A03E-E7D7A37C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C37"/>
    <w:rPr>
      <w:color w:val="0563C1" w:themeColor="hyperlink"/>
      <w:u w:val="single"/>
    </w:rPr>
  </w:style>
  <w:style w:type="character" w:styleId="UnresolvedMention">
    <w:name w:val="Unresolved Mention"/>
    <w:basedOn w:val="DefaultParagraphFont"/>
    <w:uiPriority w:val="99"/>
    <w:semiHidden/>
    <w:unhideWhenUsed/>
    <w:rsid w:val="00BD5C37"/>
    <w:rPr>
      <w:color w:val="605E5C"/>
      <w:shd w:val="clear" w:color="auto" w:fill="E1DFDD"/>
    </w:rPr>
  </w:style>
  <w:style w:type="character" w:styleId="FollowedHyperlink">
    <w:name w:val="FollowedHyperlink"/>
    <w:basedOn w:val="DefaultParagraphFont"/>
    <w:uiPriority w:val="99"/>
    <w:semiHidden/>
    <w:unhideWhenUsed/>
    <w:rsid w:val="00BD5C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646688">
      <w:bodyDiv w:val="1"/>
      <w:marLeft w:val="0"/>
      <w:marRight w:val="0"/>
      <w:marTop w:val="0"/>
      <w:marBottom w:val="0"/>
      <w:divBdr>
        <w:top w:val="none" w:sz="0" w:space="0" w:color="auto"/>
        <w:left w:val="none" w:sz="0" w:space="0" w:color="auto"/>
        <w:bottom w:val="none" w:sz="0" w:space="0" w:color="auto"/>
        <w:right w:val="none" w:sz="0" w:space="0" w:color="auto"/>
      </w:divBdr>
      <w:divsChild>
        <w:div w:id="909272097">
          <w:marLeft w:val="0"/>
          <w:marRight w:val="0"/>
          <w:marTop w:val="0"/>
          <w:marBottom w:val="0"/>
          <w:divBdr>
            <w:top w:val="none" w:sz="0" w:space="0" w:color="auto"/>
            <w:left w:val="none" w:sz="0" w:space="0" w:color="auto"/>
            <w:bottom w:val="none" w:sz="0" w:space="0" w:color="auto"/>
            <w:right w:val="none" w:sz="0" w:space="0" w:color="auto"/>
          </w:divBdr>
        </w:div>
        <w:div w:id="526866938">
          <w:marLeft w:val="0"/>
          <w:marRight w:val="0"/>
          <w:marTop w:val="0"/>
          <w:marBottom w:val="0"/>
          <w:divBdr>
            <w:top w:val="none" w:sz="0" w:space="0" w:color="auto"/>
            <w:left w:val="none" w:sz="0" w:space="0" w:color="auto"/>
            <w:bottom w:val="none" w:sz="0" w:space="0" w:color="auto"/>
            <w:right w:val="none" w:sz="0" w:space="0" w:color="auto"/>
          </w:divBdr>
          <w:divsChild>
            <w:div w:id="1084840964">
              <w:marLeft w:val="0"/>
              <w:marRight w:val="0"/>
              <w:marTop w:val="0"/>
              <w:marBottom w:val="0"/>
              <w:divBdr>
                <w:top w:val="none" w:sz="0" w:space="0" w:color="auto"/>
                <w:left w:val="none" w:sz="0" w:space="0" w:color="auto"/>
                <w:bottom w:val="none" w:sz="0" w:space="0" w:color="auto"/>
                <w:right w:val="none" w:sz="0" w:space="0" w:color="auto"/>
              </w:divBdr>
              <w:divsChild>
                <w:div w:id="1813984091">
                  <w:marLeft w:val="0"/>
                  <w:marRight w:val="0"/>
                  <w:marTop w:val="0"/>
                  <w:marBottom w:val="0"/>
                  <w:divBdr>
                    <w:top w:val="none" w:sz="0" w:space="0" w:color="auto"/>
                    <w:left w:val="none" w:sz="0" w:space="0" w:color="auto"/>
                    <w:bottom w:val="none" w:sz="0" w:space="0" w:color="auto"/>
                    <w:right w:val="none" w:sz="0" w:space="0" w:color="auto"/>
                  </w:divBdr>
                  <w:divsChild>
                    <w:div w:id="1457677702">
                      <w:marLeft w:val="-15"/>
                      <w:marRight w:val="0"/>
                      <w:marTop w:val="0"/>
                      <w:marBottom w:val="0"/>
                      <w:divBdr>
                        <w:top w:val="none" w:sz="0" w:space="0" w:color="auto"/>
                        <w:left w:val="none" w:sz="0" w:space="0" w:color="auto"/>
                        <w:bottom w:val="none" w:sz="0" w:space="0" w:color="auto"/>
                        <w:right w:val="none" w:sz="0" w:space="0" w:color="auto"/>
                      </w:divBdr>
                      <w:divsChild>
                        <w:div w:id="1986003994">
                          <w:marLeft w:val="0"/>
                          <w:marRight w:val="0"/>
                          <w:marTop w:val="0"/>
                          <w:marBottom w:val="0"/>
                          <w:divBdr>
                            <w:top w:val="none" w:sz="0" w:space="0" w:color="auto"/>
                            <w:left w:val="none" w:sz="0" w:space="0" w:color="auto"/>
                            <w:bottom w:val="none" w:sz="0" w:space="0" w:color="auto"/>
                            <w:right w:val="none" w:sz="0" w:space="0" w:color="auto"/>
                          </w:divBdr>
                          <w:divsChild>
                            <w:div w:id="319312034">
                              <w:marLeft w:val="0"/>
                              <w:marRight w:val="0"/>
                              <w:marTop w:val="0"/>
                              <w:marBottom w:val="0"/>
                              <w:divBdr>
                                <w:top w:val="none" w:sz="0" w:space="0" w:color="auto"/>
                                <w:left w:val="none" w:sz="0" w:space="0" w:color="auto"/>
                                <w:bottom w:val="none" w:sz="0" w:space="0" w:color="auto"/>
                                <w:right w:val="none" w:sz="0" w:space="0" w:color="auto"/>
                              </w:divBdr>
                              <w:divsChild>
                                <w:div w:id="272638712">
                                  <w:marLeft w:val="0"/>
                                  <w:marRight w:val="0"/>
                                  <w:marTop w:val="0"/>
                                  <w:marBottom w:val="0"/>
                                  <w:divBdr>
                                    <w:top w:val="none" w:sz="0" w:space="0" w:color="auto"/>
                                    <w:left w:val="none" w:sz="0" w:space="0" w:color="auto"/>
                                    <w:bottom w:val="none" w:sz="0" w:space="0" w:color="auto"/>
                                    <w:right w:val="none" w:sz="0" w:space="0" w:color="auto"/>
                                  </w:divBdr>
                                  <w:divsChild>
                                    <w:div w:id="21367058">
                                      <w:marLeft w:val="0"/>
                                      <w:marRight w:val="0"/>
                                      <w:marTop w:val="0"/>
                                      <w:marBottom w:val="0"/>
                                      <w:divBdr>
                                        <w:top w:val="none" w:sz="0" w:space="0" w:color="auto"/>
                                        <w:left w:val="none" w:sz="0" w:space="0" w:color="auto"/>
                                        <w:bottom w:val="none" w:sz="0" w:space="0" w:color="auto"/>
                                        <w:right w:val="none" w:sz="0" w:space="0" w:color="auto"/>
                                      </w:divBdr>
                                      <w:divsChild>
                                        <w:div w:id="1643805601">
                                          <w:marLeft w:val="0"/>
                                          <w:marRight w:val="1800"/>
                                          <w:marTop w:val="0"/>
                                          <w:marBottom w:val="0"/>
                                          <w:divBdr>
                                            <w:top w:val="none" w:sz="0" w:space="0" w:color="auto"/>
                                            <w:left w:val="none" w:sz="0" w:space="0" w:color="auto"/>
                                            <w:bottom w:val="single" w:sz="48" w:space="0" w:color="FFFFFF"/>
                                            <w:right w:val="none" w:sz="0" w:space="0" w:color="auto"/>
                                          </w:divBdr>
                                          <w:divsChild>
                                            <w:div w:id="15465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wc.texas.gov/" TargetMode="External"/><Relationship Id="rId3" Type="http://schemas.openxmlformats.org/officeDocument/2006/relationships/settings" Target="settings.xml"/><Relationship Id="rId7" Type="http://schemas.openxmlformats.org/officeDocument/2006/relationships/hyperlink" Target="mailto:CCReliefFunds@Trelliscompa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ildcare.texas.gov/" TargetMode="External"/><Relationship Id="rId11" Type="http://schemas.openxmlformats.org/officeDocument/2006/relationships/theme" Target="theme/theme1.xml"/><Relationship Id="rId5" Type="http://schemas.openxmlformats.org/officeDocument/2006/relationships/hyperlink" Target="https://twcpublicweb.prod.acquia-sites.com/programs/child-care/child-care-relief-fun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blic.govdelivery.com/accounts/TXWC/subscriber/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Tonche,Crystal</dc:creator>
  <cp:keywords/>
  <dc:description/>
  <cp:lastModifiedBy>Tonche,Crystal</cp:lastModifiedBy>
  <cp:revision>5</cp:revision>
  <dcterms:created xsi:type="dcterms:W3CDTF">2023-09-15T15:11:00Z</dcterms:created>
  <dcterms:modified xsi:type="dcterms:W3CDTF">2023-09-15T15:55:00Z</dcterms:modified>
</cp:coreProperties>
</file>