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8E" w:rsidRPr="00FA2A58" w:rsidRDefault="00C8678E" w:rsidP="00FA2A58">
      <w:pPr>
        <w:pStyle w:val="Title"/>
      </w:pPr>
      <w:bookmarkStart w:id="0" w:name="_GoBack"/>
      <w:bookmarkEnd w:id="0"/>
      <w:r w:rsidRPr="00FA2A58">
        <w:t>Evaluation of the Effectiveness</w:t>
      </w:r>
    </w:p>
    <w:p w:rsidR="00C8678E" w:rsidRPr="00FA2A58" w:rsidRDefault="00C8678E" w:rsidP="00FA2A58">
      <w:pPr>
        <w:pStyle w:val="Title"/>
      </w:pPr>
      <w:r w:rsidRPr="00FA2A58">
        <w:t>of the Subsidized Child Care Program</w:t>
      </w:r>
    </w:p>
    <w:p w:rsidR="00C8678E" w:rsidRPr="00BE7CF2" w:rsidRDefault="00C8678E" w:rsidP="00BE7CF2">
      <w:pPr>
        <w:pStyle w:val="Subtitle"/>
        <w:rPr>
          <w:color w:val="2F5496" w:themeColor="accent1" w:themeShade="BF"/>
          <w:szCs w:val="26"/>
        </w:rPr>
      </w:pPr>
      <w:r w:rsidRPr="00FA2A58">
        <w:rPr>
          <w:color w:val="2F5496" w:themeColor="accent1" w:themeShade="BF"/>
          <w:szCs w:val="26"/>
        </w:rPr>
        <w:t xml:space="preserve">Report to the 86th Texas Legislature, </w:t>
      </w:r>
      <w:r w:rsidRPr="00FA2A58">
        <w:rPr>
          <w:rStyle w:val="SubtleEmphasis"/>
          <w:i w:val="0"/>
          <w:color w:val="2F5496" w:themeColor="accent1" w:themeShade="BF"/>
          <w:szCs w:val="26"/>
        </w:rPr>
        <w:t>January 15, 2019</w:t>
      </w:r>
    </w:p>
    <w:p w:rsidR="00C8678E" w:rsidRPr="00855DD2" w:rsidRDefault="00C8678E" w:rsidP="00BE7CF2">
      <w:pPr>
        <w:pStyle w:val="Heading1"/>
      </w:pPr>
      <w:r w:rsidRPr="00855DD2">
        <w:t>Background</w:t>
      </w:r>
    </w:p>
    <w:p w:rsidR="00C8678E" w:rsidRDefault="00C8678E" w:rsidP="00C8678E">
      <w:r w:rsidRPr="00855DD2">
        <w:t>The Texas Workforce Commission (TWC) provides subsidized child care as a support service to help parents to become and remain employed and contribute to the Texas economy. Making affordable child care available to parents addresses a common barrier to employment. It also enhances parents’ ability to participate in workforce training activities. To receive subsidized child care, parents must be employed or participating in training or education activities leading to employment.</w:t>
      </w:r>
    </w:p>
    <w:p w:rsidR="008D6CB2" w:rsidRPr="008D6CB2" w:rsidRDefault="008D6CB2" w:rsidP="008D6CB2">
      <w:pPr>
        <w:rPr>
          <w:iCs/>
        </w:rPr>
      </w:pPr>
      <w:r w:rsidRPr="008D6CB2">
        <w:rPr>
          <w:iCs/>
        </w:rPr>
        <w:t xml:space="preserve">Child Care Services are funded through the federal Child Care and Development Fund (CCDF), which is overseen by the U.S. Department of Health and Human Services’ Office of Child Care. TWC is the lead agency for CCDF in Texas. TWC’s child care program promotes long-term self-sufficiency by enabling parents to work or attend education or training activities. </w:t>
      </w:r>
    </w:p>
    <w:p w:rsidR="008D6CB2" w:rsidRPr="008D6CB2" w:rsidRDefault="008D6CB2" w:rsidP="00C8678E">
      <w:pPr>
        <w:rPr>
          <w:iCs/>
        </w:rPr>
      </w:pPr>
      <w:r w:rsidRPr="008D6CB2">
        <w:rPr>
          <w:iCs/>
        </w:rPr>
        <w:t>Additional state agencies also play a role in the child care delivery system statewide. The Texas Health and Human Services Commission (HHSC) is responsible for regulating all child-care operations and child-placing agencies in the state of Texas to protect the health, safety, and well-being of children in care. These responsibilities include licensing and registration of providers, monitoring and follow-up to ensure compliance with requirements, and investigating potential violations. TWC also works with the Texas Department of Family and Protective Services (DFPS) to provide child care services to children in foster care or in the custody of Child Protective Services.</w:t>
      </w:r>
    </w:p>
    <w:p w:rsidR="00C8678E" w:rsidRPr="00855DD2" w:rsidRDefault="00C8678E" w:rsidP="00C8678E">
      <w:r w:rsidRPr="00855DD2">
        <w:t>Texas Labor Code §302.0043 charges that TWC “evaluate the effectiveness of the commission’s child care program in helping parents who receive subsidized child care to maintain employment . . .”</w:t>
      </w:r>
    </w:p>
    <w:p w:rsidR="00C8678E" w:rsidRPr="00855DD2" w:rsidRDefault="00C8678E" w:rsidP="00C8678E">
      <w:r w:rsidRPr="00855DD2">
        <w:t>Section 302.0043(a) directs TWC to compile the following information regarding the wage and employment status of each parent receiving TWC-funded child care:</w:t>
      </w:r>
    </w:p>
    <w:p w:rsidR="00C8678E" w:rsidRPr="00855DD2" w:rsidRDefault="00C8678E" w:rsidP="00C8678E">
      <w:pPr>
        <w:pStyle w:val="ListParagraph"/>
        <w:numPr>
          <w:ilvl w:val="0"/>
          <w:numId w:val="1"/>
        </w:numPr>
      </w:pPr>
      <w:r w:rsidRPr="00855DD2">
        <w:t>If the parent receives both Temporary Assistance for Needy Families (TANF) and subsidized child care, whether the parent:</w:t>
      </w:r>
    </w:p>
    <w:p w:rsidR="00C8678E" w:rsidRPr="00855DD2" w:rsidRDefault="00C8678E" w:rsidP="00C8678E">
      <w:pPr>
        <w:pStyle w:val="ListParagraph"/>
        <w:numPr>
          <w:ilvl w:val="1"/>
          <w:numId w:val="1"/>
        </w:numPr>
      </w:pPr>
      <w:r w:rsidRPr="00855DD2">
        <w:t>finds employment; and</w:t>
      </w:r>
    </w:p>
    <w:p w:rsidR="00C8678E" w:rsidRPr="00855DD2" w:rsidRDefault="00C8678E" w:rsidP="00C8678E">
      <w:pPr>
        <w:pStyle w:val="ListParagraph"/>
        <w:numPr>
          <w:ilvl w:val="1"/>
          <w:numId w:val="1"/>
        </w:numPr>
      </w:pPr>
      <w:r w:rsidRPr="00855DD2">
        <w:t>maintains the employment after one year.</w:t>
      </w:r>
    </w:p>
    <w:p w:rsidR="00C8678E" w:rsidRPr="00855DD2" w:rsidRDefault="00C8678E" w:rsidP="00C8678E">
      <w:pPr>
        <w:pStyle w:val="ListParagraph"/>
        <w:numPr>
          <w:ilvl w:val="0"/>
          <w:numId w:val="1"/>
        </w:numPr>
      </w:pPr>
      <w:r w:rsidRPr="00855DD2">
        <w:t>If the parent receives only subsidized child care, whether the parent:</w:t>
      </w:r>
    </w:p>
    <w:p w:rsidR="00C8678E" w:rsidRPr="00855DD2" w:rsidRDefault="00C8678E" w:rsidP="00C8678E">
      <w:pPr>
        <w:pStyle w:val="ListParagraph"/>
        <w:numPr>
          <w:ilvl w:val="1"/>
          <w:numId w:val="1"/>
        </w:numPr>
      </w:pPr>
      <w:r w:rsidRPr="00855DD2">
        <w:t>maintains the employment; and</w:t>
      </w:r>
    </w:p>
    <w:p w:rsidR="00C8678E" w:rsidRPr="00855DD2" w:rsidRDefault="00C8678E" w:rsidP="00C8678E">
      <w:pPr>
        <w:pStyle w:val="ListParagraph"/>
        <w:numPr>
          <w:ilvl w:val="1"/>
          <w:numId w:val="1"/>
        </w:numPr>
      </w:pPr>
      <w:r w:rsidRPr="00855DD2">
        <w:t>experiences a change in earnings after one year of employment.</w:t>
      </w:r>
    </w:p>
    <w:p w:rsidR="00C8678E" w:rsidRPr="00855DD2" w:rsidRDefault="00C8678E" w:rsidP="00C8678E">
      <w:pPr>
        <w:pStyle w:val="ListParagraph"/>
        <w:numPr>
          <w:ilvl w:val="0"/>
          <w:numId w:val="1"/>
        </w:numPr>
      </w:pPr>
      <w:r w:rsidRPr="00855DD2">
        <w:t>If the parent leaves the child care program:</w:t>
      </w:r>
    </w:p>
    <w:p w:rsidR="00C8678E" w:rsidRPr="00855DD2" w:rsidRDefault="00C8678E" w:rsidP="00C8678E">
      <w:pPr>
        <w:pStyle w:val="ListParagraph"/>
        <w:numPr>
          <w:ilvl w:val="1"/>
          <w:numId w:val="1"/>
        </w:numPr>
      </w:pPr>
      <w:r w:rsidRPr="00855DD2">
        <w:t>the parent’s reason for leaving the program; and</w:t>
      </w:r>
    </w:p>
    <w:p w:rsidR="00C8678E" w:rsidRPr="00855DD2" w:rsidRDefault="00C8678E" w:rsidP="00C8678E">
      <w:pPr>
        <w:pStyle w:val="ListParagraph"/>
        <w:numPr>
          <w:ilvl w:val="1"/>
          <w:numId w:val="1"/>
        </w:numPr>
      </w:pPr>
      <w:r w:rsidRPr="00855DD2">
        <w:t>whether the parent returns to TANF or becomes a TANF recipient for the first time.</w:t>
      </w:r>
    </w:p>
    <w:p w:rsidR="00C8678E" w:rsidRPr="00855DD2" w:rsidRDefault="00C8678E" w:rsidP="00C8678E">
      <w:r w:rsidRPr="00855DD2">
        <w:t>Senate Bill 208 (SB 208), 84th Texas Legislature, Regular Session (2015), amended Texas Labor Code §302.0043 to require that TWC report the findings regarding the effectiveness of the child care program to:</w:t>
      </w:r>
    </w:p>
    <w:p w:rsidR="00C8678E" w:rsidRPr="00855DD2" w:rsidRDefault="00C8678E" w:rsidP="00C8678E">
      <w:pPr>
        <w:pStyle w:val="ListParagraph"/>
        <w:numPr>
          <w:ilvl w:val="0"/>
          <w:numId w:val="2"/>
        </w:numPr>
      </w:pPr>
      <w:r w:rsidRPr="00855DD2">
        <w:t>include information on employment results, disaggregated by the local workforce development area (workforce area); and</w:t>
      </w:r>
    </w:p>
    <w:p w:rsidR="00C8678E" w:rsidRPr="00855DD2" w:rsidRDefault="00C8678E" w:rsidP="00C8678E">
      <w:pPr>
        <w:pStyle w:val="ListParagraph"/>
        <w:numPr>
          <w:ilvl w:val="0"/>
          <w:numId w:val="2"/>
        </w:numPr>
      </w:pPr>
      <w:r w:rsidRPr="00855DD2">
        <w:lastRenderedPageBreak/>
        <w:t>identify multi-year trends in the information collected and analyzed by TWC, including trends in the information for at least the five state fiscal years preceding the date of the report.</w:t>
      </w:r>
    </w:p>
    <w:p w:rsidR="00C8678E" w:rsidRPr="00855DD2" w:rsidRDefault="00C8678E" w:rsidP="00C8678E">
      <w:r w:rsidRPr="00855DD2">
        <w:t>Section 302.0043 also requires TWC to measure the effectiveness of its child care program in:</w:t>
      </w:r>
    </w:p>
    <w:p w:rsidR="00C8678E" w:rsidRPr="00855DD2" w:rsidRDefault="00C8678E" w:rsidP="00C8678E">
      <w:pPr>
        <w:pStyle w:val="ListParagraph"/>
        <w:numPr>
          <w:ilvl w:val="0"/>
          <w:numId w:val="3"/>
        </w:numPr>
      </w:pPr>
      <w:r w:rsidRPr="00855DD2">
        <w:t>improving the training of child care professionals; and</w:t>
      </w:r>
    </w:p>
    <w:p w:rsidR="00C8678E" w:rsidRPr="00855DD2" w:rsidRDefault="00C8678E" w:rsidP="00C8678E">
      <w:pPr>
        <w:pStyle w:val="ListParagraph"/>
        <w:numPr>
          <w:ilvl w:val="0"/>
          <w:numId w:val="3"/>
        </w:numPr>
      </w:pPr>
      <w:r w:rsidRPr="00855DD2">
        <w:t>facilitating the collaboration with Head Start, the Texas Education Agency</w:t>
      </w:r>
      <w:r w:rsidR="008D6CB2">
        <w:t xml:space="preserve"> (TEA), DFPS, and HHSC</w:t>
      </w:r>
      <w:r w:rsidRPr="00855DD2">
        <w:t>.</w:t>
      </w:r>
    </w:p>
    <w:p w:rsidR="00413F4B" w:rsidRPr="00855DD2" w:rsidRDefault="00C8678E" w:rsidP="00C8678E">
      <w:r w:rsidRPr="00855DD2">
        <w:t>TWC is required to report the results of the evaluation to the legislature no later than January 15 of each odd-numbered year.</w:t>
      </w:r>
    </w:p>
    <w:p w:rsidR="00C8678E" w:rsidRPr="00855DD2" w:rsidRDefault="00C8678E" w:rsidP="00BE7CF2">
      <w:pPr>
        <w:pStyle w:val="Heading1"/>
      </w:pPr>
      <w:r w:rsidRPr="00855DD2">
        <w:t>Definitions</w:t>
      </w:r>
    </w:p>
    <w:p w:rsidR="00C8678E" w:rsidRPr="00855DD2" w:rsidRDefault="00C8678E" w:rsidP="00C8678E">
      <w:r w:rsidRPr="00855DD2">
        <w:t>For this report, TWC used wage and employment records to determine the parent’s employment status.</w:t>
      </w:r>
    </w:p>
    <w:p w:rsidR="00C8678E" w:rsidRPr="00855DD2" w:rsidRDefault="00C8678E" w:rsidP="00FA2A58">
      <w:pPr>
        <w:pStyle w:val="Heading3"/>
      </w:pPr>
      <w:r w:rsidRPr="00855DD2">
        <w:t>Finding Employment</w:t>
      </w:r>
    </w:p>
    <w:p w:rsidR="00C8678E" w:rsidRPr="00855DD2" w:rsidRDefault="00C8678E" w:rsidP="00C8678E">
      <w:r w:rsidRPr="00855DD2">
        <w:t>A parent is considered to have found employment if the parent became employed at any time during the four quarters following the quarter that the child entered child care that year.</w:t>
      </w:r>
    </w:p>
    <w:p w:rsidR="00A32A13" w:rsidRPr="00855DD2" w:rsidRDefault="00A32A13" w:rsidP="00FA2A58">
      <w:pPr>
        <w:pStyle w:val="Heading3"/>
      </w:pPr>
      <w:r w:rsidRPr="00855DD2">
        <w:t>Leaving Child Care</w:t>
      </w:r>
    </w:p>
    <w:p w:rsidR="00A32A13" w:rsidRPr="00855DD2" w:rsidRDefault="00A32A13" w:rsidP="00C8678E">
      <w:pPr>
        <w:rPr>
          <w:szCs w:val="24"/>
        </w:rPr>
      </w:pPr>
      <w:r w:rsidRPr="00855DD2">
        <w:rPr>
          <w:szCs w:val="24"/>
        </w:rPr>
        <w:t>A child is considered to have left child care if the child does not receive child care for one month during the year.</w:t>
      </w:r>
    </w:p>
    <w:p w:rsidR="00C8678E" w:rsidRPr="00855DD2" w:rsidRDefault="00C8678E" w:rsidP="00FA2A58">
      <w:pPr>
        <w:pStyle w:val="Heading3"/>
      </w:pPr>
      <w:r w:rsidRPr="00855DD2">
        <w:t>Maintaining Employment</w:t>
      </w:r>
    </w:p>
    <w:p w:rsidR="00C8678E" w:rsidRPr="00855DD2" w:rsidRDefault="00C8678E" w:rsidP="00C8678E">
      <w:r w:rsidRPr="00855DD2">
        <w:t>A parent is considered to have maintained employment if the parent has wages in the fourth quarter after the quarter that the child entered child care that year.</w:t>
      </w:r>
    </w:p>
    <w:p w:rsidR="00C8678E" w:rsidRPr="00855DD2" w:rsidRDefault="00A32A13" w:rsidP="00FA2A58">
      <w:pPr>
        <w:pStyle w:val="Heading3"/>
      </w:pPr>
      <w:r w:rsidRPr="00855DD2">
        <w:t>Receiving both TANF and Subsidized</w:t>
      </w:r>
      <w:r w:rsidR="00C8678E" w:rsidRPr="00855DD2">
        <w:t xml:space="preserve"> Child Care</w:t>
      </w:r>
    </w:p>
    <w:p w:rsidR="00C8678E" w:rsidRPr="00855DD2" w:rsidRDefault="00C8678E" w:rsidP="00C8678E">
      <w:r w:rsidRPr="00855DD2">
        <w:t xml:space="preserve">A </w:t>
      </w:r>
      <w:r w:rsidR="00A32A13" w:rsidRPr="00855DD2">
        <w:rPr>
          <w:szCs w:val="24"/>
        </w:rPr>
        <w:t>parent</w:t>
      </w:r>
      <w:r w:rsidRPr="00855DD2">
        <w:t xml:space="preserve"> is considered to </w:t>
      </w:r>
      <w:r w:rsidR="00A32A13" w:rsidRPr="00855DD2">
        <w:rPr>
          <w:szCs w:val="24"/>
        </w:rPr>
        <w:t>be receiving both TANF and subsidized</w:t>
      </w:r>
      <w:r w:rsidRPr="00855DD2">
        <w:t xml:space="preserve"> child care if the </w:t>
      </w:r>
      <w:r w:rsidR="00A32A13" w:rsidRPr="00855DD2">
        <w:rPr>
          <w:szCs w:val="24"/>
        </w:rPr>
        <w:t xml:space="preserve">parent received both in the same </w:t>
      </w:r>
      <w:r w:rsidRPr="00855DD2">
        <w:t xml:space="preserve">month </w:t>
      </w:r>
      <w:r w:rsidR="00A32A13" w:rsidRPr="00855DD2">
        <w:rPr>
          <w:szCs w:val="24"/>
        </w:rPr>
        <w:t xml:space="preserve">at some point </w:t>
      </w:r>
      <w:r w:rsidRPr="00855DD2">
        <w:t>during the year.</w:t>
      </w:r>
    </w:p>
    <w:p w:rsidR="00A32A13" w:rsidRPr="00855DD2" w:rsidRDefault="00A32A13" w:rsidP="00FA2A58">
      <w:pPr>
        <w:pStyle w:val="Heading3"/>
      </w:pPr>
      <w:r w:rsidRPr="00855DD2">
        <w:t>Receiving Only Subsidized Child Care (non-TANF)</w:t>
      </w:r>
    </w:p>
    <w:p w:rsidR="00A32A13" w:rsidRPr="00855DD2" w:rsidRDefault="00A32A13" w:rsidP="00C8678E">
      <w:pPr>
        <w:rPr>
          <w:szCs w:val="24"/>
        </w:rPr>
      </w:pPr>
      <w:r w:rsidRPr="00855DD2">
        <w:rPr>
          <w:szCs w:val="24"/>
        </w:rPr>
        <w:t>A parent is considered to be receiving only subsidized child care if the parent did not receive TANF during the year.</w:t>
      </w:r>
    </w:p>
    <w:p w:rsidR="00A32A13" w:rsidRPr="00855DD2" w:rsidRDefault="00A32A13" w:rsidP="00FA2A58">
      <w:pPr>
        <w:pStyle w:val="Heading3"/>
      </w:pPr>
      <w:r w:rsidRPr="00855DD2">
        <w:t>Receiving Subsidized Child Care</w:t>
      </w:r>
    </w:p>
    <w:p w:rsidR="00A32A13" w:rsidRPr="00855DD2" w:rsidRDefault="00A32A13" w:rsidP="00C8678E">
      <w:pPr>
        <w:rPr>
          <w:szCs w:val="24"/>
        </w:rPr>
      </w:pPr>
      <w:r w:rsidRPr="00855DD2">
        <w:rPr>
          <w:szCs w:val="24"/>
        </w:rPr>
        <w:t>A parent is considered to be receiving subsidized child care if the parent’s child received at least one billed unit of care during a calendar year. Parents may appear in one or multiple years.</w:t>
      </w:r>
    </w:p>
    <w:p w:rsidR="00C8678E" w:rsidRPr="00855DD2" w:rsidRDefault="00C8678E" w:rsidP="00FA2A58">
      <w:pPr>
        <w:pStyle w:val="Heading3"/>
      </w:pPr>
      <w:r w:rsidRPr="00855DD2">
        <w:t>Returning to TANF or Receiving TANF for the First Time</w:t>
      </w:r>
    </w:p>
    <w:p w:rsidR="00C8678E" w:rsidRPr="00855DD2" w:rsidRDefault="00C8678E" w:rsidP="00C8678E">
      <w:r w:rsidRPr="00855DD2">
        <w:t>A parent is considered to have returned to TANF or received TANF for the first time if the parent leaves subsidized child care and received TANF within a 12-month period.</w:t>
      </w:r>
    </w:p>
    <w:p w:rsidR="00A32A13" w:rsidRPr="00855DD2" w:rsidRDefault="00A32A13" w:rsidP="00FA2A58">
      <w:pPr>
        <w:pStyle w:val="Heading3"/>
      </w:pPr>
      <w:r w:rsidRPr="00855DD2">
        <w:t>Wage Gain</w:t>
      </w:r>
    </w:p>
    <w:p w:rsidR="00A32A13" w:rsidRPr="00855DD2" w:rsidRDefault="00A32A13" w:rsidP="00C8678E">
      <w:pPr>
        <w:rPr>
          <w:szCs w:val="24"/>
        </w:rPr>
      </w:pPr>
      <w:r w:rsidRPr="00855DD2">
        <w:rPr>
          <w:szCs w:val="24"/>
        </w:rPr>
        <w:t>The wage gain is the amount that the parent</w:t>
      </w:r>
      <w:r w:rsidR="00116A81" w:rsidRPr="00855DD2">
        <w:rPr>
          <w:szCs w:val="24"/>
        </w:rPr>
        <w:t>’</w:t>
      </w:r>
      <w:r w:rsidRPr="00855DD2">
        <w:rPr>
          <w:szCs w:val="24"/>
        </w:rPr>
        <w:t>s income increased after the parent became employed in the fourth quarter after the quarter that the child entered child care compared to the quarter before the child entered child care for each year.</w:t>
      </w:r>
    </w:p>
    <w:p w:rsidR="00FA2A58" w:rsidRPr="00855DD2" w:rsidRDefault="00FA2A58" w:rsidP="00BE7CF2">
      <w:pPr>
        <w:pStyle w:val="Heading1"/>
      </w:pPr>
      <w:r w:rsidRPr="00855DD2">
        <w:t>Findings</w:t>
      </w:r>
    </w:p>
    <w:p w:rsidR="00FA2A58" w:rsidRPr="00855DD2" w:rsidRDefault="00FA2A58" w:rsidP="00BE7CF2">
      <w:pPr>
        <w:pStyle w:val="Heading2"/>
      </w:pPr>
      <w:r w:rsidRPr="00855DD2">
        <w:t>Employment and Wage Outcomes</w:t>
      </w:r>
    </w:p>
    <w:p w:rsidR="00FA2A58" w:rsidRPr="00855DD2" w:rsidRDefault="00FA2A58" w:rsidP="00FA2A58">
      <w:pPr>
        <w:pStyle w:val="Heading3"/>
      </w:pPr>
      <w:r w:rsidRPr="00855DD2">
        <w:t>TANF Parents</w:t>
      </w:r>
    </w:p>
    <w:p w:rsidR="00FF1AEB" w:rsidRPr="00855DD2" w:rsidRDefault="00FA2A58" w:rsidP="00FA2A58">
      <w:r w:rsidRPr="00855DD2">
        <w:t xml:space="preserve">Subsidized child care is available for parents receiving TANF </w:t>
      </w:r>
      <w:r w:rsidR="00D71D13" w:rsidRPr="00855DD2">
        <w:t>for</w:t>
      </w:r>
      <w:r w:rsidRPr="00855DD2">
        <w:t xml:space="preserve"> them to participate in workforce training and work-related activities (in TWC’s Choices program). For parents receiving both TANF and TWC-subsidized child care, Texas Labor Code §302.0043(a)(1) directs TW</w:t>
      </w:r>
      <w:r w:rsidR="00FF1AEB" w:rsidRPr="00855DD2">
        <w:t>C to report whether the parent:</w:t>
      </w:r>
    </w:p>
    <w:p w:rsidR="00FF1AEB" w:rsidRPr="00855DD2" w:rsidRDefault="00FA2A58" w:rsidP="00FA2A58">
      <w:pPr>
        <w:pStyle w:val="ListParagraph"/>
        <w:numPr>
          <w:ilvl w:val="0"/>
          <w:numId w:val="4"/>
        </w:numPr>
      </w:pPr>
      <w:r w:rsidRPr="00855DD2">
        <w:t>finds employment; and</w:t>
      </w:r>
    </w:p>
    <w:p w:rsidR="00FA2A58" w:rsidRPr="00855DD2" w:rsidRDefault="00FA2A58" w:rsidP="00FA2A58">
      <w:pPr>
        <w:pStyle w:val="ListParagraph"/>
        <w:numPr>
          <w:ilvl w:val="0"/>
          <w:numId w:val="4"/>
        </w:numPr>
      </w:pPr>
      <w:r w:rsidRPr="00855DD2">
        <w:t>maintains the employment after one year.</w:t>
      </w:r>
    </w:p>
    <w:p w:rsidR="00F271AE" w:rsidRPr="00855DD2" w:rsidRDefault="00FA2A58" w:rsidP="00FA2A58">
      <w:r w:rsidRPr="00855DD2">
        <w:t>The five-year state</w:t>
      </w:r>
      <w:r w:rsidR="00F271AE" w:rsidRPr="00855DD2">
        <w:t>wide trends are shown</w:t>
      </w:r>
      <w:r w:rsidRPr="00855DD2">
        <w:t xml:space="preserve"> below:</w:t>
      </w:r>
    </w:p>
    <w:p w:rsidR="00F271AE" w:rsidRPr="00855DD2" w:rsidRDefault="00F271AE" w:rsidP="00BD4DB5">
      <w:pPr>
        <w:pStyle w:val="Caption"/>
        <w:keepNext/>
      </w:pPr>
      <w:r w:rsidRPr="00855DD2">
        <w:t xml:space="preserve">Table </w:t>
      </w:r>
      <w:r w:rsidR="006D4B8F">
        <w:fldChar w:fldCharType="begin"/>
      </w:r>
      <w:r w:rsidR="006D4B8F">
        <w:instrText xml:space="preserve"> SEQ Table \* ARABIC </w:instrText>
      </w:r>
      <w:r w:rsidR="006D4B8F">
        <w:fldChar w:fldCharType="separate"/>
      </w:r>
      <w:r w:rsidR="00DF34E4">
        <w:rPr>
          <w:noProof/>
        </w:rPr>
        <w:t>1</w:t>
      </w:r>
      <w:r w:rsidR="006D4B8F">
        <w:rPr>
          <w:noProof/>
        </w:rPr>
        <w:fldChar w:fldCharType="end"/>
      </w:r>
      <w:r w:rsidRPr="00855DD2">
        <w:t xml:space="preserve"> – Parents Receiving TANF and Child Care</w:t>
      </w:r>
    </w:p>
    <w:tbl>
      <w:tblPr>
        <w:tblStyle w:val="ListTable2-Accent1"/>
        <w:tblW w:w="0" w:type="auto"/>
        <w:tblInd w:w="-108" w:type="dxa"/>
        <w:tblLook w:val="04A0" w:firstRow="1" w:lastRow="0" w:firstColumn="1" w:lastColumn="0" w:noHBand="0" w:noVBand="1"/>
        <w:tblCaption w:val="Table 1 – Parents Receiving TANF and Child Care"/>
      </w:tblPr>
      <w:tblGrid>
        <w:gridCol w:w="2126"/>
        <w:gridCol w:w="3117"/>
        <w:gridCol w:w="3117"/>
      </w:tblGrid>
      <w:tr w:rsidR="00FF1AEB" w:rsidRPr="00855DD2" w:rsidTr="00BD4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t>Year</w:t>
            </w:r>
          </w:p>
        </w:tc>
        <w:tc>
          <w:tcPr>
            <w:tcW w:w="3117" w:type="dxa"/>
            <w:vAlign w:val="center"/>
          </w:tcPr>
          <w:p w:rsidR="00FF1AEB" w:rsidRPr="00855DD2" w:rsidRDefault="00FF1AEB" w:rsidP="003B418A">
            <w:pPr>
              <w:cnfStyle w:val="100000000000" w:firstRow="1" w:lastRow="0" w:firstColumn="0" w:lastColumn="0" w:oddVBand="0" w:evenVBand="0" w:oddHBand="0" w:evenHBand="0" w:firstRowFirstColumn="0" w:firstRowLastColumn="0" w:lastRowFirstColumn="0" w:lastRowLastColumn="0"/>
            </w:pPr>
            <w:r w:rsidRPr="00855DD2">
              <w:t>Percentage Finding Employment in the Year</w:t>
            </w:r>
          </w:p>
        </w:tc>
        <w:tc>
          <w:tcPr>
            <w:tcW w:w="3117" w:type="dxa"/>
            <w:vAlign w:val="center"/>
          </w:tcPr>
          <w:p w:rsidR="00FF1AEB" w:rsidRPr="00855DD2" w:rsidRDefault="00FF1AEB" w:rsidP="003B418A">
            <w:pPr>
              <w:cnfStyle w:val="100000000000" w:firstRow="1" w:lastRow="0" w:firstColumn="0" w:lastColumn="0" w:oddVBand="0" w:evenVBand="0" w:oddHBand="0" w:evenHBand="0" w:firstRowFirstColumn="0" w:firstRowLastColumn="0" w:lastRowFirstColumn="0" w:lastRowLastColumn="0"/>
            </w:pPr>
            <w:r w:rsidRPr="00855DD2">
              <w:t>Percentage Maintaining Employment after One Year</w:t>
            </w:r>
          </w:p>
        </w:tc>
      </w:tr>
      <w:tr w:rsidR="00FF1AEB"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rPr>
                <w:sz w:val="24"/>
              </w:rPr>
              <w:t>2012</w:t>
            </w:r>
          </w:p>
        </w:tc>
        <w:tc>
          <w:tcPr>
            <w:tcW w:w="3117" w:type="dxa"/>
            <w:vAlign w:val="center"/>
          </w:tcPr>
          <w:p w:rsidR="00FF1AEB" w:rsidRPr="00855DD2" w:rsidRDefault="00FF1AEB" w:rsidP="003B418A">
            <w:pPr>
              <w:cnfStyle w:val="000000100000" w:firstRow="0" w:lastRow="0" w:firstColumn="0" w:lastColumn="0" w:oddVBand="0" w:evenVBand="0" w:oddHBand="1" w:evenHBand="0" w:firstRowFirstColumn="0" w:firstRowLastColumn="0" w:lastRowFirstColumn="0" w:lastRowLastColumn="0"/>
            </w:pPr>
            <w:r w:rsidRPr="00855DD2">
              <w:rPr>
                <w:sz w:val="24"/>
              </w:rPr>
              <w:t>81.46%</w:t>
            </w:r>
          </w:p>
        </w:tc>
        <w:tc>
          <w:tcPr>
            <w:tcW w:w="3117" w:type="dxa"/>
            <w:vAlign w:val="center"/>
          </w:tcPr>
          <w:p w:rsidR="00FF1AEB" w:rsidRPr="00855DD2" w:rsidRDefault="00FF1AEB" w:rsidP="003B418A">
            <w:pPr>
              <w:cnfStyle w:val="000000100000" w:firstRow="0" w:lastRow="0" w:firstColumn="0" w:lastColumn="0" w:oddVBand="0" w:evenVBand="0" w:oddHBand="1" w:evenHBand="0" w:firstRowFirstColumn="0" w:firstRowLastColumn="0" w:lastRowFirstColumn="0" w:lastRowLastColumn="0"/>
            </w:pPr>
            <w:r w:rsidRPr="00855DD2">
              <w:rPr>
                <w:sz w:val="24"/>
              </w:rPr>
              <w:t>58.93%</w:t>
            </w:r>
          </w:p>
        </w:tc>
      </w:tr>
      <w:tr w:rsidR="00FF1AEB" w:rsidRPr="00855DD2" w:rsidTr="00BD4DB5">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rPr>
                <w:sz w:val="24"/>
              </w:rPr>
              <w:t>2013</w:t>
            </w:r>
          </w:p>
        </w:tc>
        <w:tc>
          <w:tcPr>
            <w:tcW w:w="3117" w:type="dxa"/>
            <w:vAlign w:val="center"/>
          </w:tcPr>
          <w:p w:rsidR="00FF1AEB" w:rsidRPr="00855DD2" w:rsidRDefault="00FF1AEB" w:rsidP="003B418A">
            <w:pPr>
              <w:cnfStyle w:val="000000000000" w:firstRow="0" w:lastRow="0" w:firstColumn="0" w:lastColumn="0" w:oddVBand="0" w:evenVBand="0" w:oddHBand="0" w:evenHBand="0" w:firstRowFirstColumn="0" w:firstRowLastColumn="0" w:lastRowFirstColumn="0" w:lastRowLastColumn="0"/>
            </w:pPr>
            <w:r w:rsidRPr="00855DD2">
              <w:rPr>
                <w:sz w:val="24"/>
              </w:rPr>
              <w:t>84.48%</w:t>
            </w:r>
          </w:p>
        </w:tc>
        <w:tc>
          <w:tcPr>
            <w:tcW w:w="3117" w:type="dxa"/>
            <w:vAlign w:val="center"/>
          </w:tcPr>
          <w:p w:rsidR="00FF1AEB" w:rsidRPr="00855DD2" w:rsidRDefault="00FF1AEB" w:rsidP="003B418A">
            <w:pPr>
              <w:cnfStyle w:val="000000000000" w:firstRow="0" w:lastRow="0" w:firstColumn="0" w:lastColumn="0" w:oddVBand="0" w:evenVBand="0" w:oddHBand="0" w:evenHBand="0" w:firstRowFirstColumn="0" w:firstRowLastColumn="0" w:lastRowFirstColumn="0" w:lastRowLastColumn="0"/>
            </w:pPr>
            <w:r w:rsidRPr="00855DD2">
              <w:rPr>
                <w:sz w:val="24"/>
              </w:rPr>
              <w:t>62.07%</w:t>
            </w:r>
          </w:p>
        </w:tc>
      </w:tr>
      <w:tr w:rsidR="00FF1AEB"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rPr>
                <w:sz w:val="24"/>
              </w:rPr>
              <w:t>2014</w:t>
            </w:r>
          </w:p>
        </w:tc>
        <w:tc>
          <w:tcPr>
            <w:tcW w:w="3117" w:type="dxa"/>
            <w:vAlign w:val="center"/>
          </w:tcPr>
          <w:p w:rsidR="00FF1AEB" w:rsidRPr="00855DD2" w:rsidRDefault="00FF1AEB" w:rsidP="003B418A">
            <w:pPr>
              <w:cnfStyle w:val="000000100000" w:firstRow="0" w:lastRow="0" w:firstColumn="0" w:lastColumn="0" w:oddVBand="0" w:evenVBand="0" w:oddHBand="1" w:evenHBand="0" w:firstRowFirstColumn="0" w:firstRowLastColumn="0" w:lastRowFirstColumn="0" w:lastRowLastColumn="0"/>
            </w:pPr>
            <w:r w:rsidRPr="00855DD2">
              <w:rPr>
                <w:sz w:val="24"/>
              </w:rPr>
              <w:t>86.47%</w:t>
            </w:r>
          </w:p>
        </w:tc>
        <w:tc>
          <w:tcPr>
            <w:tcW w:w="3117" w:type="dxa"/>
            <w:vAlign w:val="center"/>
          </w:tcPr>
          <w:p w:rsidR="00FF1AEB" w:rsidRPr="00855DD2" w:rsidRDefault="00FF1AEB" w:rsidP="003B418A">
            <w:pPr>
              <w:cnfStyle w:val="000000100000" w:firstRow="0" w:lastRow="0" w:firstColumn="0" w:lastColumn="0" w:oddVBand="0" w:evenVBand="0" w:oddHBand="1" w:evenHBand="0" w:firstRowFirstColumn="0" w:firstRowLastColumn="0" w:lastRowFirstColumn="0" w:lastRowLastColumn="0"/>
            </w:pPr>
            <w:r w:rsidRPr="00855DD2">
              <w:rPr>
                <w:sz w:val="24"/>
              </w:rPr>
              <w:t>64.20%</w:t>
            </w:r>
          </w:p>
        </w:tc>
      </w:tr>
      <w:tr w:rsidR="00FF1AEB" w:rsidRPr="00855DD2" w:rsidTr="00BD4DB5">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rPr>
                <w:sz w:val="24"/>
              </w:rPr>
              <w:t>2015</w:t>
            </w:r>
          </w:p>
        </w:tc>
        <w:tc>
          <w:tcPr>
            <w:tcW w:w="3117" w:type="dxa"/>
            <w:vAlign w:val="center"/>
          </w:tcPr>
          <w:p w:rsidR="00FF1AEB" w:rsidRPr="00855DD2" w:rsidRDefault="00FF1AEB" w:rsidP="003B418A">
            <w:pPr>
              <w:cnfStyle w:val="000000000000" w:firstRow="0" w:lastRow="0" w:firstColumn="0" w:lastColumn="0" w:oddVBand="0" w:evenVBand="0" w:oddHBand="0" w:evenHBand="0" w:firstRowFirstColumn="0" w:firstRowLastColumn="0" w:lastRowFirstColumn="0" w:lastRowLastColumn="0"/>
            </w:pPr>
            <w:r w:rsidRPr="00855DD2">
              <w:rPr>
                <w:sz w:val="24"/>
              </w:rPr>
              <w:t>83.91%</w:t>
            </w:r>
          </w:p>
        </w:tc>
        <w:tc>
          <w:tcPr>
            <w:tcW w:w="3117" w:type="dxa"/>
            <w:vAlign w:val="center"/>
          </w:tcPr>
          <w:p w:rsidR="00FF1AEB" w:rsidRPr="00855DD2" w:rsidRDefault="00FF1AEB" w:rsidP="003B418A">
            <w:pPr>
              <w:cnfStyle w:val="000000000000" w:firstRow="0" w:lastRow="0" w:firstColumn="0" w:lastColumn="0" w:oddVBand="0" w:evenVBand="0" w:oddHBand="0" w:evenHBand="0" w:firstRowFirstColumn="0" w:firstRowLastColumn="0" w:lastRowFirstColumn="0" w:lastRowLastColumn="0"/>
            </w:pPr>
            <w:r w:rsidRPr="00855DD2">
              <w:rPr>
                <w:sz w:val="24"/>
              </w:rPr>
              <w:t>63.09%</w:t>
            </w:r>
          </w:p>
        </w:tc>
      </w:tr>
      <w:tr w:rsidR="00FF1AEB"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FF1AEB" w:rsidRPr="00855DD2" w:rsidRDefault="00FF1AEB" w:rsidP="003B418A">
            <w:r w:rsidRPr="00855DD2">
              <w:rPr>
                <w:sz w:val="24"/>
              </w:rPr>
              <w:t>2016</w:t>
            </w:r>
          </w:p>
        </w:tc>
        <w:tc>
          <w:tcPr>
            <w:tcW w:w="3117" w:type="dxa"/>
            <w:vAlign w:val="center"/>
          </w:tcPr>
          <w:p w:rsidR="00FF1AEB" w:rsidRPr="00855DD2" w:rsidRDefault="00FF1AEB" w:rsidP="003B418A">
            <w:pPr>
              <w:cnfStyle w:val="000000100000" w:firstRow="0" w:lastRow="0" w:firstColumn="0" w:lastColumn="0" w:oddVBand="0" w:evenVBand="0" w:oddHBand="1" w:evenHBand="0" w:firstRowFirstColumn="0" w:firstRowLastColumn="0" w:lastRowFirstColumn="0" w:lastRowLastColumn="0"/>
            </w:pPr>
            <w:r w:rsidRPr="00855DD2">
              <w:rPr>
                <w:sz w:val="24"/>
              </w:rPr>
              <w:t>84.55%</w:t>
            </w:r>
          </w:p>
        </w:tc>
        <w:tc>
          <w:tcPr>
            <w:tcW w:w="3117" w:type="dxa"/>
            <w:vAlign w:val="center"/>
          </w:tcPr>
          <w:p w:rsidR="00FF1AEB" w:rsidRPr="00855DD2" w:rsidRDefault="00FF1AEB" w:rsidP="003B418A">
            <w:pPr>
              <w:keepNext/>
              <w:cnfStyle w:val="000000100000" w:firstRow="0" w:lastRow="0" w:firstColumn="0" w:lastColumn="0" w:oddVBand="0" w:evenVBand="0" w:oddHBand="1" w:evenHBand="0" w:firstRowFirstColumn="0" w:firstRowLastColumn="0" w:lastRowFirstColumn="0" w:lastRowLastColumn="0"/>
            </w:pPr>
            <w:r w:rsidRPr="00855DD2">
              <w:rPr>
                <w:sz w:val="24"/>
              </w:rPr>
              <w:t>65.12%</w:t>
            </w:r>
          </w:p>
        </w:tc>
      </w:tr>
    </w:tbl>
    <w:p w:rsidR="00A10D3C" w:rsidRPr="00855DD2" w:rsidRDefault="00A10D3C" w:rsidP="00D71D13">
      <w:pPr>
        <w:spacing w:before="120"/>
      </w:pPr>
      <w:r w:rsidRPr="00855DD2">
        <w:t>The five-year trends by workforce areas are shown in Ta</w:t>
      </w:r>
      <w:r w:rsidR="00AA6F11" w:rsidRPr="00855DD2">
        <w:t>bles 1A and 1B in the Appendix.</w:t>
      </w:r>
    </w:p>
    <w:p w:rsidR="00A10D3C" w:rsidRPr="00855DD2" w:rsidRDefault="00A10D3C" w:rsidP="00AA6F11">
      <w:pPr>
        <w:pStyle w:val="Heading3"/>
      </w:pPr>
      <w:r w:rsidRPr="00855DD2">
        <w:t>Non-TANF Parents</w:t>
      </w:r>
    </w:p>
    <w:p w:rsidR="00A10D3C" w:rsidRPr="00855DD2" w:rsidRDefault="00A10D3C" w:rsidP="00A10D3C">
      <w:r w:rsidRPr="00855DD2">
        <w:t>Subsidized child care also provides a vital work support to non-TANF working parents that helps them remain in the Texas workforce. For non-TANF working parents receiving TWC-subsidized child care, Texas Labor Code §302.0043(a)(2) directs TWC to report whether the parent:</w:t>
      </w:r>
    </w:p>
    <w:p w:rsidR="00AA6F11" w:rsidRPr="00855DD2" w:rsidRDefault="00A10D3C" w:rsidP="00A10D3C">
      <w:pPr>
        <w:pStyle w:val="ListParagraph"/>
        <w:numPr>
          <w:ilvl w:val="0"/>
          <w:numId w:val="5"/>
        </w:numPr>
      </w:pPr>
      <w:r w:rsidRPr="00855DD2">
        <w:t>maintains the employment; and</w:t>
      </w:r>
    </w:p>
    <w:p w:rsidR="00A10D3C" w:rsidRPr="00855DD2" w:rsidRDefault="00A10D3C" w:rsidP="00A10D3C">
      <w:pPr>
        <w:pStyle w:val="ListParagraph"/>
        <w:numPr>
          <w:ilvl w:val="0"/>
          <w:numId w:val="5"/>
        </w:numPr>
      </w:pPr>
      <w:r w:rsidRPr="00855DD2">
        <w:t>experiences a change in earnings after one year of employment. The five-year statewide trends are shown in Table 2 below:</w:t>
      </w:r>
    </w:p>
    <w:p w:rsidR="00AA6F11" w:rsidRDefault="00AA6F11" w:rsidP="00BD4DB5">
      <w:pPr>
        <w:pStyle w:val="Caption"/>
        <w:keepNext/>
      </w:pPr>
      <w:r>
        <w:t xml:space="preserve">Table </w:t>
      </w:r>
      <w:r w:rsidR="006D4B8F">
        <w:fldChar w:fldCharType="begin"/>
      </w:r>
      <w:r w:rsidR="006D4B8F">
        <w:instrText xml:space="preserve"> SEQ Table \* ARABIC </w:instrText>
      </w:r>
      <w:r w:rsidR="006D4B8F">
        <w:fldChar w:fldCharType="separate"/>
      </w:r>
      <w:r w:rsidR="00DF34E4">
        <w:rPr>
          <w:noProof/>
        </w:rPr>
        <w:t>2</w:t>
      </w:r>
      <w:r w:rsidR="006D4B8F">
        <w:rPr>
          <w:noProof/>
        </w:rPr>
        <w:fldChar w:fldCharType="end"/>
      </w:r>
      <w:r>
        <w:t xml:space="preserve"> </w:t>
      </w:r>
      <w:r w:rsidRPr="004A795D">
        <w:t>– Working Parents Only Receiving Child Care (Non-TANF)</w:t>
      </w:r>
    </w:p>
    <w:tbl>
      <w:tblPr>
        <w:tblStyle w:val="ListTable2-Accent1"/>
        <w:tblW w:w="0" w:type="auto"/>
        <w:tblInd w:w="-108" w:type="dxa"/>
        <w:tblLook w:val="04A0" w:firstRow="1" w:lastRow="0" w:firstColumn="1" w:lastColumn="0" w:noHBand="0" w:noVBand="1"/>
        <w:tblCaption w:val="Table 2 – Working Parents Only Receiving Child Care (Non-TANF)"/>
      </w:tblPr>
      <w:tblGrid>
        <w:gridCol w:w="2126"/>
        <w:gridCol w:w="3112"/>
        <w:gridCol w:w="2700"/>
      </w:tblGrid>
      <w:tr w:rsidR="00D55DBA" w:rsidRPr="00FF1AEB" w:rsidTr="00BD4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Pr="00FF1AEB" w:rsidRDefault="00AA6F11" w:rsidP="00D55DBA">
            <w:r w:rsidRPr="00FF1AEB">
              <w:t>Year</w:t>
            </w:r>
          </w:p>
        </w:tc>
        <w:tc>
          <w:tcPr>
            <w:tcW w:w="3112" w:type="dxa"/>
            <w:vAlign w:val="center"/>
          </w:tcPr>
          <w:p w:rsidR="00AA6F11" w:rsidRPr="00FF1AEB" w:rsidRDefault="00AA6F11" w:rsidP="00D55DBA">
            <w:pPr>
              <w:cnfStyle w:val="100000000000" w:firstRow="1" w:lastRow="0" w:firstColumn="0" w:lastColumn="0" w:oddVBand="0" w:evenVBand="0" w:oddHBand="0" w:evenHBand="0" w:firstRowFirstColumn="0" w:firstRowLastColumn="0" w:lastRowFirstColumn="0" w:lastRowLastColumn="0"/>
            </w:pPr>
            <w:r w:rsidRPr="00AA0727">
              <w:t xml:space="preserve">Percentage Maintaining Employment </w:t>
            </w:r>
            <w:r w:rsidR="00D55DBA">
              <w:t>A</w:t>
            </w:r>
            <w:r w:rsidRPr="00AA0727">
              <w:t>fter One Year</w:t>
            </w:r>
          </w:p>
        </w:tc>
        <w:tc>
          <w:tcPr>
            <w:tcW w:w="2700" w:type="dxa"/>
            <w:vAlign w:val="center"/>
          </w:tcPr>
          <w:p w:rsidR="00D55DBA" w:rsidRDefault="00477593" w:rsidP="00D55DBA">
            <w:pPr>
              <w:cnfStyle w:val="100000000000" w:firstRow="1" w:lastRow="0" w:firstColumn="0" w:lastColumn="0" w:oddVBand="0" w:evenVBand="0" w:oddHBand="0" w:evenHBand="0" w:firstRowFirstColumn="0" w:firstRowLastColumn="0" w:lastRowFirstColumn="0" w:lastRowLastColumn="0"/>
            </w:pPr>
            <w:r>
              <w:t xml:space="preserve">Quarterly </w:t>
            </w:r>
            <w:r w:rsidR="00D55DBA">
              <w:t xml:space="preserve">Change in </w:t>
            </w:r>
          </w:p>
          <w:p w:rsidR="00AA6F11" w:rsidRPr="00FF1AEB" w:rsidRDefault="00D55DBA" w:rsidP="00D55DBA">
            <w:pPr>
              <w:cnfStyle w:val="100000000000" w:firstRow="1" w:lastRow="0" w:firstColumn="0" w:lastColumn="0" w:oddVBand="0" w:evenVBand="0" w:oddHBand="0" w:evenHBand="0" w:firstRowFirstColumn="0" w:firstRowLastColumn="0" w:lastRowFirstColumn="0" w:lastRowLastColumn="0"/>
            </w:pPr>
            <w:r>
              <w:t>Earnings A</w:t>
            </w:r>
            <w:r w:rsidR="00AA6F11" w:rsidRPr="00AA0727">
              <w:t>fter One Year</w:t>
            </w:r>
          </w:p>
        </w:tc>
      </w:tr>
      <w:tr w:rsidR="00AA6F11"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Default="00AA6F11" w:rsidP="00D55DBA">
            <w:r w:rsidRPr="00BC4B52">
              <w:rPr>
                <w:sz w:val="24"/>
              </w:rPr>
              <w:t>2012</w:t>
            </w:r>
          </w:p>
        </w:tc>
        <w:tc>
          <w:tcPr>
            <w:tcW w:w="3112" w:type="dxa"/>
            <w:vAlign w:val="center"/>
          </w:tcPr>
          <w:p w:rsidR="00AA6F11" w:rsidRDefault="00AA6F11" w:rsidP="00D55DBA">
            <w:pPr>
              <w:cnfStyle w:val="000000100000" w:firstRow="0" w:lastRow="0" w:firstColumn="0" w:lastColumn="0" w:oddVBand="0" w:evenVBand="0" w:oddHBand="1" w:evenHBand="0" w:firstRowFirstColumn="0" w:firstRowLastColumn="0" w:lastRowFirstColumn="0" w:lastRowLastColumn="0"/>
            </w:pPr>
            <w:r w:rsidRPr="00AA0727">
              <w:t>74.26%</w:t>
            </w:r>
          </w:p>
        </w:tc>
        <w:tc>
          <w:tcPr>
            <w:tcW w:w="2700" w:type="dxa"/>
            <w:vAlign w:val="center"/>
          </w:tcPr>
          <w:p w:rsidR="00AA6F11" w:rsidRDefault="00AA6F11" w:rsidP="00D55DBA">
            <w:pPr>
              <w:cnfStyle w:val="000000100000" w:firstRow="0" w:lastRow="0" w:firstColumn="0" w:lastColumn="0" w:oddVBand="0" w:evenVBand="0" w:oddHBand="1" w:evenHBand="0" w:firstRowFirstColumn="0" w:firstRowLastColumn="0" w:lastRowFirstColumn="0" w:lastRowLastColumn="0"/>
            </w:pPr>
            <w:r w:rsidRPr="00AA0727">
              <w:t>$671.81</w:t>
            </w:r>
          </w:p>
        </w:tc>
      </w:tr>
      <w:tr w:rsidR="00AA6F11" w:rsidTr="00BD4DB5">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Default="00AA6F11" w:rsidP="00D55DBA">
            <w:r w:rsidRPr="00FB130F">
              <w:rPr>
                <w:sz w:val="24"/>
              </w:rPr>
              <w:t>2013</w:t>
            </w:r>
          </w:p>
        </w:tc>
        <w:tc>
          <w:tcPr>
            <w:tcW w:w="3112" w:type="dxa"/>
            <w:vAlign w:val="center"/>
          </w:tcPr>
          <w:p w:rsidR="00AA6F11" w:rsidRDefault="00AA6F11" w:rsidP="00D55DBA">
            <w:pPr>
              <w:cnfStyle w:val="000000000000" w:firstRow="0" w:lastRow="0" w:firstColumn="0" w:lastColumn="0" w:oddVBand="0" w:evenVBand="0" w:oddHBand="0" w:evenHBand="0" w:firstRowFirstColumn="0" w:firstRowLastColumn="0" w:lastRowFirstColumn="0" w:lastRowLastColumn="0"/>
            </w:pPr>
            <w:r w:rsidRPr="00AA0727">
              <w:t>76.29%</w:t>
            </w:r>
          </w:p>
        </w:tc>
        <w:tc>
          <w:tcPr>
            <w:tcW w:w="2700" w:type="dxa"/>
            <w:vAlign w:val="center"/>
          </w:tcPr>
          <w:p w:rsidR="00AA6F11" w:rsidRDefault="00AA6F11" w:rsidP="00D55DBA">
            <w:pPr>
              <w:cnfStyle w:val="000000000000" w:firstRow="0" w:lastRow="0" w:firstColumn="0" w:lastColumn="0" w:oddVBand="0" w:evenVBand="0" w:oddHBand="0" w:evenHBand="0" w:firstRowFirstColumn="0" w:firstRowLastColumn="0" w:lastRowFirstColumn="0" w:lastRowLastColumn="0"/>
            </w:pPr>
            <w:r w:rsidRPr="00AA0727">
              <w:t>$700.50</w:t>
            </w:r>
          </w:p>
        </w:tc>
      </w:tr>
      <w:tr w:rsidR="00AA6F11"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Default="00AA6F11" w:rsidP="00D55DBA">
            <w:r w:rsidRPr="00FB130F">
              <w:rPr>
                <w:sz w:val="24"/>
              </w:rPr>
              <w:t>2014</w:t>
            </w:r>
          </w:p>
        </w:tc>
        <w:tc>
          <w:tcPr>
            <w:tcW w:w="3112" w:type="dxa"/>
            <w:vAlign w:val="center"/>
          </w:tcPr>
          <w:p w:rsidR="00AA6F11" w:rsidRDefault="00AA6F11" w:rsidP="00D55DBA">
            <w:pPr>
              <w:cnfStyle w:val="000000100000" w:firstRow="0" w:lastRow="0" w:firstColumn="0" w:lastColumn="0" w:oddVBand="0" w:evenVBand="0" w:oddHBand="1" w:evenHBand="0" w:firstRowFirstColumn="0" w:firstRowLastColumn="0" w:lastRowFirstColumn="0" w:lastRowLastColumn="0"/>
            </w:pPr>
            <w:r w:rsidRPr="00AA0727">
              <w:t>77.45%</w:t>
            </w:r>
          </w:p>
        </w:tc>
        <w:tc>
          <w:tcPr>
            <w:tcW w:w="2700" w:type="dxa"/>
            <w:vAlign w:val="center"/>
          </w:tcPr>
          <w:p w:rsidR="00AA6F11" w:rsidRDefault="00AA6F11" w:rsidP="00D55DBA">
            <w:pPr>
              <w:cnfStyle w:val="000000100000" w:firstRow="0" w:lastRow="0" w:firstColumn="0" w:lastColumn="0" w:oddVBand="0" w:evenVBand="0" w:oddHBand="1" w:evenHBand="0" w:firstRowFirstColumn="0" w:firstRowLastColumn="0" w:lastRowFirstColumn="0" w:lastRowLastColumn="0"/>
            </w:pPr>
            <w:r w:rsidRPr="00AA0727">
              <w:t>$617.72</w:t>
            </w:r>
          </w:p>
        </w:tc>
      </w:tr>
      <w:tr w:rsidR="00AA6F11" w:rsidTr="00BD4DB5">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Default="00AA6F11" w:rsidP="00D55DBA">
            <w:r w:rsidRPr="00FB130F">
              <w:rPr>
                <w:sz w:val="24"/>
              </w:rPr>
              <w:t>2015</w:t>
            </w:r>
          </w:p>
        </w:tc>
        <w:tc>
          <w:tcPr>
            <w:tcW w:w="3112" w:type="dxa"/>
            <w:vAlign w:val="center"/>
          </w:tcPr>
          <w:p w:rsidR="00AA6F11" w:rsidRDefault="00AA6F11" w:rsidP="00D55DBA">
            <w:pPr>
              <w:cnfStyle w:val="000000000000" w:firstRow="0" w:lastRow="0" w:firstColumn="0" w:lastColumn="0" w:oddVBand="0" w:evenVBand="0" w:oddHBand="0" w:evenHBand="0" w:firstRowFirstColumn="0" w:firstRowLastColumn="0" w:lastRowFirstColumn="0" w:lastRowLastColumn="0"/>
            </w:pPr>
            <w:r w:rsidRPr="00AA0727">
              <w:t>78.76%</w:t>
            </w:r>
          </w:p>
        </w:tc>
        <w:tc>
          <w:tcPr>
            <w:tcW w:w="2700" w:type="dxa"/>
            <w:vAlign w:val="center"/>
          </w:tcPr>
          <w:p w:rsidR="00AA6F11" w:rsidRDefault="00AA6F11" w:rsidP="00D55DBA">
            <w:pPr>
              <w:cnfStyle w:val="000000000000" w:firstRow="0" w:lastRow="0" w:firstColumn="0" w:lastColumn="0" w:oddVBand="0" w:evenVBand="0" w:oddHBand="0" w:evenHBand="0" w:firstRowFirstColumn="0" w:firstRowLastColumn="0" w:lastRowFirstColumn="0" w:lastRowLastColumn="0"/>
            </w:pPr>
            <w:r w:rsidRPr="00AA0727">
              <w:t>$581.26</w:t>
            </w:r>
          </w:p>
        </w:tc>
      </w:tr>
      <w:tr w:rsidR="00AA6F11"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AA6F11" w:rsidRDefault="00AA6F11" w:rsidP="00D55DBA">
            <w:r w:rsidRPr="00FB130F">
              <w:rPr>
                <w:sz w:val="24"/>
              </w:rPr>
              <w:t>2016</w:t>
            </w:r>
          </w:p>
        </w:tc>
        <w:tc>
          <w:tcPr>
            <w:tcW w:w="3112" w:type="dxa"/>
            <w:vAlign w:val="center"/>
          </w:tcPr>
          <w:p w:rsidR="00AA6F11" w:rsidRDefault="00AA6F11" w:rsidP="00D55DBA">
            <w:pPr>
              <w:cnfStyle w:val="000000100000" w:firstRow="0" w:lastRow="0" w:firstColumn="0" w:lastColumn="0" w:oddVBand="0" w:evenVBand="0" w:oddHBand="1" w:evenHBand="0" w:firstRowFirstColumn="0" w:firstRowLastColumn="0" w:lastRowFirstColumn="0" w:lastRowLastColumn="0"/>
            </w:pPr>
            <w:r w:rsidRPr="00AA0727">
              <w:t>79.21%</w:t>
            </w:r>
          </w:p>
        </w:tc>
        <w:tc>
          <w:tcPr>
            <w:tcW w:w="2700" w:type="dxa"/>
            <w:vAlign w:val="center"/>
          </w:tcPr>
          <w:p w:rsidR="00AA6F11" w:rsidRDefault="00AA6F11" w:rsidP="00D55DBA">
            <w:pPr>
              <w:keepNext/>
              <w:cnfStyle w:val="000000100000" w:firstRow="0" w:lastRow="0" w:firstColumn="0" w:lastColumn="0" w:oddVBand="0" w:evenVBand="0" w:oddHBand="1" w:evenHBand="0" w:firstRowFirstColumn="0" w:firstRowLastColumn="0" w:lastRowFirstColumn="0" w:lastRowLastColumn="0"/>
            </w:pPr>
            <w:r w:rsidRPr="00AA0727">
              <w:t>$471.57</w:t>
            </w:r>
          </w:p>
        </w:tc>
      </w:tr>
    </w:tbl>
    <w:p w:rsidR="00315182" w:rsidRPr="00855DD2" w:rsidRDefault="00315182" w:rsidP="00D71D13">
      <w:pPr>
        <w:spacing w:before="120"/>
      </w:pPr>
      <w:r w:rsidRPr="00855DD2">
        <w:t>The five-year trends by workforce areas are shown in Tables 2A and 2B in the Appendix.</w:t>
      </w:r>
    </w:p>
    <w:p w:rsidR="00315182" w:rsidRPr="00855DD2" w:rsidRDefault="00315182" w:rsidP="00315182">
      <w:pPr>
        <w:pStyle w:val="Heading3"/>
      </w:pPr>
      <w:r w:rsidRPr="00855DD2">
        <w:t>Parents Leaving Child Care</w:t>
      </w:r>
    </w:p>
    <w:p w:rsidR="00315182" w:rsidRPr="00855DD2" w:rsidRDefault="00315182" w:rsidP="00315182">
      <w:r w:rsidRPr="00855DD2">
        <w:t>Texas Labor Code §302.0043(a)(3) directs TWC to report:</w:t>
      </w:r>
    </w:p>
    <w:p w:rsidR="00315182" w:rsidRPr="00855DD2" w:rsidRDefault="00315182" w:rsidP="00315182">
      <w:pPr>
        <w:pStyle w:val="ListParagraph"/>
        <w:numPr>
          <w:ilvl w:val="0"/>
          <w:numId w:val="7"/>
        </w:numPr>
      </w:pPr>
      <w:r w:rsidRPr="00855DD2">
        <w:t>the parent’s reason for leaving the program; and</w:t>
      </w:r>
    </w:p>
    <w:p w:rsidR="00315182" w:rsidRPr="00855DD2" w:rsidRDefault="00315182" w:rsidP="00315182">
      <w:pPr>
        <w:pStyle w:val="ListParagraph"/>
        <w:numPr>
          <w:ilvl w:val="0"/>
          <w:numId w:val="7"/>
        </w:numPr>
      </w:pPr>
      <w:r w:rsidRPr="00855DD2">
        <w:t>whether the parent returns to TANF or becomes a TANF recipient for the first time.</w:t>
      </w:r>
    </w:p>
    <w:p w:rsidR="00315182" w:rsidRDefault="00315182" w:rsidP="00315182">
      <w:r w:rsidRPr="00855DD2">
        <w:t>From Oc</w:t>
      </w:r>
      <w:r w:rsidR="004E0FCA" w:rsidRPr="00855DD2">
        <w:t>tober 1, 2017</w:t>
      </w:r>
      <w:r w:rsidRPr="00855DD2">
        <w:t xml:space="preserve">, through September 30, 2018, a total of </w:t>
      </w:r>
      <w:r w:rsidR="00D71D13" w:rsidRPr="00855DD2">
        <w:t>38,233</w:t>
      </w:r>
      <w:r w:rsidRPr="00855DD2">
        <w:t xml:space="preserve"> children left TWC-subsidized child</w:t>
      </w:r>
      <w:r>
        <w:t xml:space="preserve"> care for at least one month during the year. The reasons for leaving care are shown below:</w:t>
      </w:r>
    </w:p>
    <w:p w:rsidR="003B418A" w:rsidRDefault="003B418A" w:rsidP="00627B16">
      <w:pPr>
        <w:pStyle w:val="Caption"/>
        <w:keepNext/>
      </w:pPr>
      <w:r>
        <w:t xml:space="preserve">Table </w:t>
      </w:r>
      <w:r w:rsidR="006D4B8F">
        <w:fldChar w:fldCharType="begin"/>
      </w:r>
      <w:r w:rsidR="006D4B8F">
        <w:instrText xml:space="preserve"> SEQ Table \* ARABIC </w:instrText>
      </w:r>
      <w:r w:rsidR="006D4B8F">
        <w:fldChar w:fldCharType="separate"/>
      </w:r>
      <w:r w:rsidR="00DF34E4">
        <w:rPr>
          <w:noProof/>
        </w:rPr>
        <w:t>3</w:t>
      </w:r>
      <w:r w:rsidR="006D4B8F">
        <w:rPr>
          <w:noProof/>
        </w:rPr>
        <w:fldChar w:fldCharType="end"/>
      </w:r>
      <w:r w:rsidR="00DF5298">
        <w:rPr>
          <w:noProof/>
          <w:sz w:val="24"/>
          <w:szCs w:val="24"/>
        </w:rPr>
        <w:t>A</w:t>
      </w:r>
      <w:r w:rsidRPr="009A1E25">
        <w:t xml:space="preserve"> – Reason for Leaving Child Care</w:t>
      </w:r>
    </w:p>
    <w:tbl>
      <w:tblPr>
        <w:tblStyle w:val="ListTable2-Accent1"/>
        <w:tblW w:w="8838" w:type="dxa"/>
        <w:tblInd w:w="-108" w:type="dxa"/>
        <w:tblLayout w:type="fixed"/>
        <w:tblLook w:val="04A0" w:firstRow="1" w:lastRow="0" w:firstColumn="1" w:lastColumn="0" w:noHBand="0" w:noVBand="1"/>
        <w:tblCaption w:val="Table 3A – Reason for Leaving Child Care"/>
      </w:tblPr>
      <w:tblGrid>
        <w:gridCol w:w="7261"/>
        <w:gridCol w:w="1577"/>
      </w:tblGrid>
      <w:tr w:rsidR="00D55DBA" w:rsidTr="00D71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61" w:type="dxa"/>
            <w:vAlign w:val="center"/>
          </w:tcPr>
          <w:p w:rsidR="00D55DBA" w:rsidRDefault="00D55DBA" w:rsidP="00BD4DB5">
            <w:r>
              <w:t>Reason for Leaving Child Care</w:t>
            </w:r>
          </w:p>
        </w:tc>
        <w:tc>
          <w:tcPr>
            <w:tcW w:w="1577" w:type="dxa"/>
            <w:vAlign w:val="center"/>
          </w:tcPr>
          <w:p w:rsidR="00D55DBA" w:rsidRDefault="00D55DBA" w:rsidP="00D55DBA">
            <w:pPr>
              <w:cnfStyle w:val="100000000000" w:firstRow="1" w:lastRow="0" w:firstColumn="0" w:lastColumn="0" w:oddVBand="0" w:evenVBand="0" w:oddHBand="0" w:evenHBand="0" w:firstRowFirstColumn="0" w:firstRowLastColumn="0" w:lastRowFirstColumn="0" w:lastRowLastColumn="0"/>
            </w:pPr>
            <w:r>
              <w:t>% of Children</w:t>
            </w:r>
          </w:p>
        </w:tc>
      </w:tr>
      <w:tr w:rsidR="00D55DBA" w:rsidTr="00D7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D55DBA" w:rsidP="00D55DBA">
            <w:pPr>
              <w:rPr>
                <w:b w:val="0"/>
              </w:rPr>
            </w:pPr>
            <w:r w:rsidRPr="00D71D13">
              <w:rPr>
                <w:b w:val="0"/>
              </w:rPr>
              <w:t>Parent Voluntarily Withdrew from Child</w:t>
            </w:r>
            <w:r w:rsidRPr="00D71D13">
              <w:rPr>
                <w:b w:val="0"/>
                <w:spacing w:val="-16"/>
              </w:rPr>
              <w:t xml:space="preserve"> </w:t>
            </w:r>
            <w:r w:rsidRPr="00D71D13">
              <w:rPr>
                <w:b w:val="0"/>
              </w:rPr>
              <w:t>Care</w:t>
            </w:r>
          </w:p>
        </w:tc>
        <w:tc>
          <w:tcPr>
            <w:tcW w:w="1577" w:type="dxa"/>
          </w:tcPr>
          <w:p w:rsidR="00D55DBA" w:rsidRPr="00D71D13" w:rsidRDefault="004258C5" w:rsidP="00D71D13">
            <w:pPr>
              <w:jc w:val="right"/>
              <w:cnfStyle w:val="000000100000" w:firstRow="0" w:lastRow="0" w:firstColumn="0" w:lastColumn="0" w:oddVBand="0" w:evenVBand="0" w:oddHBand="1" w:evenHBand="0" w:firstRowFirstColumn="0" w:firstRowLastColumn="0" w:lastRowFirstColumn="0" w:lastRowLastColumn="0"/>
              <w:rPr>
                <w:szCs w:val="20"/>
              </w:rPr>
            </w:pPr>
            <w:r w:rsidRPr="00D71D13">
              <w:rPr>
                <w:szCs w:val="20"/>
              </w:rPr>
              <w:t>20</w:t>
            </w:r>
            <w:r w:rsidR="000A6A11" w:rsidRPr="00D71D13">
              <w:rPr>
                <w:szCs w:val="20"/>
              </w:rPr>
              <w:t>%</w:t>
            </w:r>
          </w:p>
        </w:tc>
      </w:tr>
      <w:tr w:rsidR="00D55DBA" w:rsidTr="00D71D13">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D55DBA" w:rsidP="00D55DBA">
            <w:pPr>
              <w:rPr>
                <w:b w:val="0"/>
              </w:rPr>
            </w:pPr>
            <w:r w:rsidRPr="00D71D13">
              <w:rPr>
                <w:b w:val="0"/>
              </w:rPr>
              <w:t>Parent Missed Redetermination and/or Did Not Return</w:t>
            </w:r>
            <w:r w:rsidRPr="00D71D13">
              <w:rPr>
                <w:b w:val="0"/>
                <w:spacing w:val="-15"/>
              </w:rPr>
              <w:t xml:space="preserve"> </w:t>
            </w:r>
            <w:r w:rsidRPr="00D71D13">
              <w:rPr>
                <w:b w:val="0"/>
              </w:rPr>
              <w:t>Paperwork</w:t>
            </w:r>
          </w:p>
        </w:tc>
        <w:tc>
          <w:tcPr>
            <w:tcW w:w="1577" w:type="dxa"/>
          </w:tcPr>
          <w:p w:rsidR="00D55DBA" w:rsidRPr="00D71D13" w:rsidRDefault="004258C5" w:rsidP="00D71D13">
            <w:pPr>
              <w:jc w:val="right"/>
              <w:cnfStyle w:val="000000000000" w:firstRow="0" w:lastRow="0" w:firstColumn="0" w:lastColumn="0" w:oddVBand="0" w:evenVBand="0" w:oddHBand="0" w:evenHBand="0" w:firstRowFirstColumn="0" w:firstRowLastColumn="0" w:lastRowFirstColumn="0" w:lastRowLastColumn="0"/>
              <w:rPr>
                <w:szCs w:val="20"/>
              </w:rPr>
            </w:pPr>
            <w:r w:rsidRPr="00D71D13">
              <w:rPr>
                <w:szCs w:val="20"/>
              </w:rPr>
              <w:t>45%</w:t>
            </w:r>
          </w:p>
        </w:tc>
      </w:tr>
      <w:tr w:rsidR="00D55DBA" w:rsidTr="00D7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D55DBA" w:rsidP="00D55DBA">
            <w:pPr>
              <w:rPr>
                <w:b w:val="0"/>
              </w:rPr>
            </w:pPr>
            <w:r w:rsidRPr="00D71D13">
              <w:rPr>
                <w:b w:val="0"/>
              </w:rPr>
              <w:t xml:space="preserve">Excessive Absences </w:t>
            </w:r>
          </w:p>
        </w:tc>
        <w:tc>
          <w:tcPr>
            <w:tcW w:w="1577" w:type="dxa"/>
          </w:tcPr>
          <w:p w:rsidR="00D55DBA" w:rsidRPr="00D71D13" w:rsidRDefault="00D71D13" w:rsidP="00D71D13">
            <w:pPr>
              <w:jc w:val="right"/>
              <w:cnfStyle w:val="000000100000" w:firstRow="0" w:lastRow="0" w:firstColumn="0" w:lastColumn="0" w:oddVBand="0" w:evenVBand="0" w:oddHBand="1" w:evenHBand="0" w:firstRowFirstColumn="0" w:firstRowLastColumn="0" w:lastRowFirstColumn="0" w:lastRowLastColumn="0"/>
              <w:rPr>
                <w:szCs w:val="20"/>
              </w:rPr>
            </w:pPr>
            <w:r w:rsidRPr="00D71D13">
              <w:rPr>
                <w:szCs w:val="20"/>
              </w:rPr>
              <w:t>13</w:t>
            </w:r>
            <w:r w:rsidR="004258C5" w:rsidRPr="00D71D13">
              <w:rPr>
                <w:szCs w:val="20"/>
              </w:rPr>
              <w:t>%</w:t>
            </w:r>
          </w:p>
        </w:tc>
      </w:tr>
      <w:tr w:rsidR="00D55DBA" w:rsidTr="00D71D13">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D55DBA" w:rsidP="00D55DBA">
            <w:pPr>
              <w:rPr>
                <w:b w:val="0"/>
              </w:rPr>
            </w:pPr>
            <w:r w:rsidRPr="00D71D13">
              <w:rPr>
                <w:b w:val="0"/>
              </w:rPr>
              <w:t>Family Is No Longer Eligible Due to</w:t>
            </w:r>
            <w:r w:rsidRPr="00D71D13">
              <w:rPr>
                <w:b w:val="0"/>
                <w:spacing w:val="-17"/>
              </w:rPr>
              <w:t xml:space="preserve"> </w:t>
            </w:r>
            <w:r w:rsidRPr="00D71D13">
              <w:rPr>
                <w:b w:val="0"/>
              </w:rPr>
              <w:t>Income</w:t>
            </w:r>
          </w:p>
        </w:tc>
        <w:tc>
          <w:tcPr>
            <w:tcW w:w="1577" w:type="dxa"/>
          </w:tcPr>
          <w:p w:rsidR="00D55DBA" w:rsidRPr="00D71D13" w:rsidRDefault="00D71D13" w:rsidP="00D71D13">
            <w:pPr>
              <w:jc w:val="right"/>
              <w:cnfStyle w:val="000000000000" w:firstRow="0" w:lastRow="0" w:firstColumn="0" w:lastColumn="0" w:oddVBand="0" w:evenVBand="0" w:oddHBand="0" w:evenHBand="0" w:firstRowFirstColumn="0" w:firstRowLastColumn="0" w:lastRowFirstColumn="0" w:lastRowLastColumn="0"/>
              <w:rPr>
                <w:szCs w:val="20"/>
              </w:rPr>
            </w:pPr>
            <w:r w:rsidRPr="00D71D13">
              <w:rPr>
                <w:szCs w:val="20"/>
              </w:rPr>
              <w:t>3</w:t>
            </w:r>
            <w:r w:rsidR="004258C5" w:rsidRPr="00D71D13">
              <w:rPr>
                <w:szCs w:val="20"/>
              </w:rPr>
              <w:t>%</w:t>
            </w:r>
          </w:p>
        </w:tc>
      </w:tr>
      <w:tr w:rsidR="00D55DBA" w:rsidTr="00D7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4258C5" w:rsidP="00D55DBA">
            <w:pPr>
              <w:rPr>
                <w:b w:val="0"/>
              </w:rPr>
            </w:pPr>
            <w:r w:rsidRPr="00D71D13">
              <w:rPr>
                <w:b w:val="0"/>
              </w:rPr>
              <w:t>Permanent end of activities after three-month job search</w:t>
            </w:r>
          </w:p>
        </w:tc>
        <w:tc>
          <w:tcPr>
            <w:tcW w:w="1577" w:type="dxa"/>
          </w:tcPr>
          <w:p w:rsidR="00D55DBA" w:rsidRPr="00D71D13" w:rsidRDefault="003C4B38" w:rsidP="00D71D13">
            <w:pPr>
              <w:jc w:val="right"/>
              <w:cnfStyle w:val="000000100000" w:firstRow="0" w:lastRow="0" w:firstColumn="0" w:lastColumn="0" w:oddVBand="0" w:evenVBand="0" w:oddHBand="1" w:evenHBand="0" w:firstRowFirstColumn="0" w:firstRowLastColumn="0" w:lastRowFirstColumn="0" w:lastRowLastColumn="0"/>
              <w:rPr>
                <w:szCs w:val="20"/>
              </w:rPr>
            </w:pPr>
            <w:r w:rsidRPr="00D71D13">
              <w:rPr>
                <w:szCs w:val="20"/>
              </w:rPr>
              <w:t>1</w:t>
            </w:r>
            <w:r w:rsidR="00D71D13" w:rsidRPr="00D71D13">
              <w:rPr>
                <w:szCs w:val="20"/>
              </w:rPr>
              <w:t>5</w:t>
            </w:r>
            <w:r w:rsidR="004258C5" w:rsidRPr="00D71D13">
              <w:rPr>
                <w:szCs w:val="20"/>
              </w:rPr>
              <w:t>%</w:t>
            </w:r>
          </w:p>
        </w:tc>
      </w:tr>
      <w:tr w:rsidR="00D55DBA" w:rsidTr="00D71D13">
        <w:tc>
          <w:tcPr>
            <w:cnfStyle w:val="001000000000" w:firstRow="0" w:lastRow="0" w:firstColumn="1" w:lastColumn="0" w:oddVBand="0" w:evenVBand="0" w:oddHBand="0" w:evenHBand="0" w:firstRowFirstColumn="0" w:firstRowLastColumn="0" w:lastRowFirstColumn="0" w:lastRowLastColumn="0"/>
            <w:tcW w:w="7261" w:type="dxa"/>
          </w:tcPr>
          <w:p w:rsidR="00D55DBA" w:rsidRPr="00D71D13" w:rsidRDefault="00D55DBA" w:rsidP="00D55DBA">
            <w:pPr>
              <w:rPr>
                <w:b w:val="0"/>
              </w:rPr>
            </w:pPr>
            <w:r w:rsidRPr="00D71D13">
              <w:rPr>
                <w:b w:val="0"/>
              </w:rPr>
              <w:t>Other</w:t>
            </w:r>
          </w:p>
        </w:tc>
        <w:tc>
          <w:tcPr>
            <w:tcW w:w="1577" w:type="dxa"/>
          </w:tcPr>
          <w:p w:rsidR="00D55DBA" w:rsidRPr="00D71D13" w:rsidRDefault="00D71D13" w:rsidP="00D71D13">
            <w:pPr>
              <w:jc w:val="right"/>
              <w:cnfStyle w:val="000000000000" w:firstRow="0" w:lastRow="0" w:firstColumn="0" w:lastColumn="0" w:oddVBand="0" w:evenVBand="0" w:oddHBand="0" w:evenHBand="0" w:firstRowFirstColumn="0" w:firstRowLastColumn="0" w:lastRowFirstColumn="0" w:lastRowLastColumn="0"/>
              <w:rPr>
                <w:szCs w:val="20"/>
              </w:rPr>
            </w:pPr>
            <w:r w:rsidRPr="00D71D13">
              <w:rPr>
                <w:szCs w:val="20"/>
              </w:rPr>
              <w:t>1%</w:t>
            </w:r>
          </w:p>
        </w:tc>
      </w:tr>
    </w:tbl>
    <w:p w:rsidR="009038CE" w:rsidRPr="00855DD2" w:rsidRDefault="009038CE" w:rsidP="00D71D13">
      <w:pPr>
        <w:spacing w:before="120"/>
      </w:pPr>
      <w:r w:rsidRPr="00855DD2">
        <w:t>The five-year statewide trends for all parents whose children left TWC-subsidized child care and received TANF within 12 months of their children leaving care are shown in Table 3B below:</w:t>
      </w:r>
    </w:p>
    <w:p w:rsidR="009038CE" w:rsidRPr="00855DD2" w:rsidRDefault="009038CE" w:rsidP="00BD4DB5">
      <w:pPr>
        <w:pStyle w:val="Caption"/>
        <w:keepNext/>
      </w:pPr>
      <w:r w:rsidRPr="00855DD2">
        <w:t>Table 3B – Parents Receiving TANF within One Year of Leaving Child Care</w:t>
      </w:r>
    </w:p>
    <w:tbl>
      <w:tblPr>
        <w:tblStyle w:val="ListTable2-Accent1"/>
        <w:tblW w:w="4158" w:type="dxa"/>
        <w:tblInd w:w="-108" w:type="dxa"/>
        <w:tblLook w:val="04A0" w:firstRow="1" w:lastRow="0" w:firstColumn="1" w:lastColumn="0" w:noHBand="0" w:noVBand="1"/>
      </w:tblPr>
      <w:tblGrid>
        <w:gridCol w:w="1278"/>
        <w:gridCol w:w="2880"/>
      </w:tblGrid>
      <w:tr w:rsidR="009038CE" w:rsidRPr="00855DD2" w:rsidTr="00BD4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9038CE" w:rsidP="009038CE">
            <w:r w:rsidRPr="00855DD2">
              <w:t>Year</w:t>
            </w:r>
          </w:p>
        </w:tc>
        <w:tc>
          <w:tcPr>
            <w:tcW w:w="2880" w:type="dxa"/>
          </w:tcPr>
          <w:p w:rsidR="009038CE" w:rsidRPr="00855DD2" w:rsidRDefault="009038CE" w:rsidP="009038CE">
            <w:pPr>
              <w:cnfStyle w:val="100000000000" w:firstRow="1" w:lastRow="0" w:firstColumn="0" w:lastColumn="0" w:oddVBand="0" w:evenVBand="0" w:oddHBand="0" w:evenHBand="0" w:firstRowFirstColumn="0" w:firstRowLastColumn="0" w:lastRowFirstColumn="0" w:lastRowLastColumn="0"/>
            </w:pPr>
            <w:r w:rsidRPr="00855DD2">
              <w:t>Percentage Receiving TANF After Leaving Child Care</w:t>
            </w:r>
          </w:p>
        </w:tc>
      </w:tr>
      <w:tr w:rsidR="009038CE"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C53B56" w:rsidP="009038CE">
            <w:r w:rsidRPr="00855DD2">
              <w:t>2012</w:t>
            </w:r>
          </w:p>
        </w:tc>
        <w:tc>
          <w:tcPr>
            <w:tcW w:w="2880" w:type="dxa"/>
          </w:tcPr>
          <w:p w:rsidR="009038CE" w:rsidRPr="00855DD2" w:rsidRDefault="009038CE" w:rsidP="009038CE">
            <w:pPr>
              <w:cnfStyle w:val="000000100000" w:firstRow="0" w:lastRow="0" w:firstColumn="0" w:lastColumn="0" w:oddVBand="0" w:evenVBand="0" w:oddHBand="1" w:evenHBand="0" w:firstRowFirstColumn="0" w:firstRowLastColumn="0" w:lastRowFirstColumn="0" w:lastRowLastColumn="0"/>
            </w:pPr>
            <w:r w:rsidRPr="00855DD2">
              <w:t>12.00%</w:t>
            </w:r>
          </w:p>
        </w:tc>
      </w:tr>
      <w:tr w:rsidR="009038CE" w:rsidRPr="00855DD2" w:rsidTr="00BD4DB5">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C53B56" w:rsidP="009038CE">
            <w:r w:rsidRPr="00855DD2">
              <w:t>2013</w:t>
            </w:r>
          </w:p>
        </w:tc>
        <w:tc>
          <w:tcPr>
            <w:tcW w:w="2880" w:type="dxa"/>
          </w:tcPr>
          <w:p w:rsidR="009038CE" w:rsidRPr="00855DD2" w:rsidRDefault="009038CE" w:rsidP="009038CE">
            <w:pPr>
              <w:cnfStyle w:val="000000000000" w:firstRow="0" w:lastRow="0" w:firstColumn="0" w:lastColumn="0" w:oddVBand="0" w:evenVBand="0" w:oddHBand="0" w:evenHBand="0" w:firstRowFirstColumn="0" w:firstRowLastColumn="0" w:lastRowFirstColumn="0" w:lastRowLastColumn="0"/>
            </w:pPr>
            <w:r w:rsidRPr="00855DD2">
              <w:t>11.39%</w:t>
            </w:r>
          </w:p>
        </w:tc>
      </w:tr>
      <w:tr w:rsidR="009038CE"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C53B56" w:rsidP="009038CE">
            <w:r w:rsidRPr="00855DD2">
              <w:t>2014</w:t>
            </w:r>
          </w:p>
        </w:tc>
        <w:tc>
          <w:tcPr>
            <w:tcW w:w="2880" w:type="dxa"/>
          </w:tcPr>
          <w:p w:rsidR="009038CE" w:rsidRPr="00855DD2" w:rsidRDefault="009038CE" w:rsidP="009038CE">
            <w:pPr>
              <w:cnfStyle w:val="000000100000" w:firstRow="0" w:lastRow="0" w:firstColumn="0" w:lastColumn="0" w:oddVBand="0" w:evenVBand="0" w:oddHBand="1" w:evenHBand="0" w:firstRowFirstColumn="0" w:firstRowLastColumn="0" w:lastRowFirstColumn="0" w:lastRowLastColumn="0"/>
            </w:pPr>
            <w:r w:rsidRPr="00855DD2">
              <w:t>9.50%</w:t>
            </w:r>
          </w:p>
        </w:tc>
      </w:tr>
      <w:tr w:rsidR="009038CE" w:rsidRPr="00855DD2" w:rsidTr="00BD4DB5">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C53B56" w:rsidP="009038CE">
            <w:r w:rsidRPr="00855DD2">
              <w:t>2015</w:t>
            </w:r>
          </w:p>
        </w:tc>
        <w:tc>
          <w:tcPr>
            <w:tcW w:w="2880" w:type="dxa"/>
          </w:tcPr>
          <w:p w:rsidR="009038CE" w:rsidRPr="00855DD2" w:rsidRDefault="009038CE" w:rsidP="009038CE">
            <w:pPr>
              <w:cnfStyle w:val="000000000000" w:firstRow="0" w:lastRow="0" w:firstColumn="0" w:lastColumn="0" w:oddVBand="0" w:evenVBand="0" w:oddHBand="0" w:evenHBand="0" w:firstRowFirstColumn="0" w:firstRowLastColumn="0" w:lastRowFirstColumn="0" w:lastRowLastColumn="0"/>
            </w:pPr>
            <w:r w:rsidRPr="00855DD2">
              <w:t>9.98%</w:t>
            </w:r>
          </w:p>
        </w:tc>
      </w:tr>
      <w:tr w:rsidR="009038CE" w:rsidRPr="00855DD2" w:rsidTr="00BD4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9038CE" w:rsidRPr="00855DD2" w:rsidRDefault="00C53B56" w:rsidP="009038CE">
            <w:r w:rsidRPr="00855DD2">
              <w:t>2016</w:t>
            </w:r>
          </w:p>
        </w:tc>
        <w:tc>
          <w:tcPr>
            <w:tcW w:w="2880" w:type="dxa"/>
          </w:tcPr>
          <w:p w:rsidR="009038CE" w:rsidRPr="00855DD2" w:rsidRDefault="009038CE" w:rsidP="009038CE">
            <w:pPr>
              <w:cnfStyle w:val="000000100000" w:firstRow="0" w:lastRow="0" w:firstColumn="0" w:lastColumn="0" w:oddVBand="0" w:evenVBand="0" w:oddHBand="1" w:evenHBand="0" w:firstRowFirstColumn="0" w:firstRowLastColumn="0" w:lastRowFirstColumn="0" w:lastRowLastColumn="0"/>
            </w:pPr>
            <w:r w:rsidRPr="00855DD2">
              <w:t>9.56%</w:t>
            </w:r>
          </w:p>
        </w:tc>
      </w:tr>
    </w:tbl>
    <w:p w:rsidR="00CD5B30" w:rsidRPr="00855DD2" w:rsidRDefault="00CD5B30" w:rsidP="00D71D13">
      <w:pPr>
        <w:spacing w:before="120"/>
      </w:pPr>
      <w:r w:rsidRPr="00855DD2">
        <w:t>The five-year trends by workforce areas are shown in Table 3C in the Appendix.</w:t>
      </w:r>
    </w:p>
    <w:p w:rsidR="00CD5B30" w:rsidRPr="00855DD2" w:rsidRDefault="00CD5B30" w:rsidP="00BE7CF2">
      <w:pPr>
        <w:pStyle w:val="Heading2"/>
      </w:pPr>
      <w:r w:rsidRPr="00855DD2">
        <w:t xml:space="preserve">Child Care Professional Development </w:t>
      </w:r>
      <w:r w:rsidR="00CF040B" w:rsidRPr="00855DD2">
        <w:t>and</w:t>
      </w:r>
      <w:r w:rsidRPr="00855DD2">
        <w:t xml:space="preserve"> State Agency Collaboration</w:t>
      </w:r>
    </w:p>
    <w:p w:rsidR="00CD5B30" w:rsidRPr="00855DD2" w:rsidRDefault="00CD5B30" w:rsidP="00CD5B30">
      <w:r w:rsidRPr="00855DD2">
        <w:t>Texas Labor Code §302.0043 also requires TWC to evaluate the effectiveness of its child care program in improving the training of child care professionals and in facilitating collaboration with Head Start, TEA, DFPS, and HHSC.</w:t>
      </w:r>
    </w:p>
    <w:p w:rsidR="00C53B56" w:rsidRPr="00855DD2" w:rsidRDefault="00C53B56" w:rsidP="00CD5B30">
      <w:r w:rsidRPr="00855DD2">
        <w:t>As part of the development of the CCDF Fiscal Year 2019</w:t>
      </w:r>
      <w:r w:rsidR="008A139F" w:rsidRPr="00855DD2">
        <w:rPr>
          <w:szCs w:val="24"/>
        </w:rPr>
        <w:t>–</w:t>
      </w:r>
      <w:r w:rsidRPr="00855DD2">
        <w:t xml:space="preserve">2021 State Plan, </w:t>
      </w:r>
      <w:r w:rsidR="008A139F" w:rsidRPr="00855DD2">
        <w:rPr>
          <w:szCs w:val="24"/>
        </w:rPr>
        <w:t xml:space="preserve">in 2018 </w:t>
      </w:r>
      <w:r w:rsidRPr="00855DD2">
        <w:t xml:space="preserve">TWC convened </w:t>
      </w:r>
      <w:r w:rsidR="003174D0" w:rsidRPr="00855DD2">
        <w:t>an</w:t>
      </w:r>
      <w:r w:rsidRPr="00855DD2">
        <w:t xml:space="preserve"> Interagency Team for Early Care and Education to provide input on the plan</w:t>
      </w:r>
      <w:r w:rsidR="008A139F" w:rsidRPr="00855DD2">
        <w:rPr>
          <w:szCs w:val="24"/>
        </w:rPr>
        <w:t>,</w:t>
      </w:r>
      <w:r w:rsidRPr="00855DD2">
        <w:t xml:space="preserve"> which includes professional development and partnership activities.</w:t>
      </w:r>
      <w:r w:rsidR="003174D0" w:rsidRPr="00855DD2">
        <w:t xml:space="preserve"> TWC continues to meet regularly with representatives from Head Start, TEA, DFPS, and HHSC.</w:t>
      </w:r>
    </w:p>
    <w:p w:rsidR="00C53B56" w:rsidRPr="00855DD2" w:rsidRDefault="003B51A5" w:rsidP="00CD5B30">
      <w:r w:rsidRPr="00855DD2">
        <w:rPr>
          <w:szCs w:val="24"/>
        </w:rPr>
        <w:t>Additionally</w:t>
      </w:r>
      <w:r w:rsidR="00C53B56" w:rsidRPr="00855DD2">
        <w:t>, TWC is active on multiple workgroup</w:t>
      </w:r>
      <w:r w:rsidR="003174D0" w:rsidRPr="00855DD2">
        <w:t>s and projects that bring state and local partners together to increase collaboration and streamline professional development activities across programs and funding streams.</w:t>
      </w:r>
    </w:p>
    <w:p w:rsidR="009038CE" w:rsidRPr="00855DD2" w:rsidRDefault="00CD5B30" w:rsidP="00CD5B30">
      <w:pPr>
        <w:pStyle w:val="Heading3"/>
      </w:pPr>
      <w:bookmarkStart w:id="1" w:name="_Hlk533061533"/>
      <w:bookmarkStart w:id="2" w:name="_Hlk532300030"/>
      <w:r w:rsidRPr="00855DD2">
        <w:t>Professional Development for Early Childhood Education</w:t>
      </w:r>
    </w:p>
    <w:bookmarkEnd w:id="1"/>
    <w:p w:rsidR="00CD5B30" w:rsidRPr="00855DD2" w:rsidRDefault="00CD5B30" w:rsidP="00CD5B30">
      <w:r w:rsidRPr="00855DD2">
        <w:t>Rider 29 of TW</w:t>
      </w:r>
      <w:r w:rsidR="00257C1A" w:rsidRPr="00855DD2">
        <w:t xml:space="preserve">C’s General Appropriations Act </w:t>
      </w:r>
      <w:r w:rsidRPr="00855DD2">
        <w:t>required TWC to dedicate $1 million over the Fiscal Years 2018–2019 (FY’18–’19) biennium for programs that encourage increased participation in continuing professional development for early childhood professionals. Funding may be used to fund teacher training programs, programs that lead to a national credential in early childhood education, or work-study programs in child care.</w:t>
      </w:r>
    </w:p>
    <w:bookmarkEnd w:id="2"/>
    <w:p w:rsidR="00CD5B30" w:rsidRPr="00855DD2" w:rsidRDefault="00CD5B30" w:rsidP="00CD5B30">
      <w:r w:rsidRPr="00855DD2">
        <w:t xml:space="preserve">Through a competitive procurement process, TWC awarded $1 million to the Texas Association for the Education of Young Children (TXAEYC) for the </w:t>
      </w:r>
      <w:r w:rsidR="00032D1F" w:rsidRPr="00855DD2">
        <w:rPr>
          <w:szCs w:val="24"/>
          <w:lang w:val="en"/>
        </w:rPr>
        <w:t>Teacher Education and Compensation Helps</w:t>
      </w:r>
      <w:r w:rsidR="00032D1F" w:rsidRPr="00855DD2">
        <w:rPr>
          <w:rFonts w:ascii="Arial" w:hAnsi="Arial" w:cs="Arial"/>
          <w:sz w:val="20"/>
          <w:szCs w:val="20"/>
          <w:lang w:val="en"/>
        </w:rPr>
        <w:t xml:space="preserve"> (</w:t>
      </w:r>
      <w:r w:rsidRPr="00855DD2">
        <w:t>T.E.A.C.H</w:t>
      </w:r>
      <w:r w:rsidRPr="00855DD2">
        <w:rPr>
          <w:szCs w:val="24"/>
        </w:rPr>
        <w:t>.</w:t>
      </w:r>
      <w:r w:rsidR="00032D1F" w:rsidRPr="00855DD2">
        <w:rPr>
          <w:szCs w:val="24"/>
        </w:rPr>
        <w:t>)</w:t>
      </w:r>
      <w:r w:rsidRPr="00855DD2">
        <w:t xml:space="preserve"> program to provide scholarships for child care professionals</w:t>
      </w:r>
      <w:r w:rsidRPr="00855DD2">
        <w:rPr>
          <w:szCs w:val="24"/>
        </w:rPr>
        <w:t xml:space="preserve"> </w:t>
      </w:r>
      <w:r w:rsidR="00032D1F" w:rsidRPr="00855DD2">
        <w:rPr>
          <w:szCs w:val="24"/>
        </w:rPr>
        <w:t>who want</w:t>
      </w:r>
      <w:r w:rsidRPr="00855DD2">
        <w:t xml:space="preserve"> to obtain a Child Development Associate (CDA) certificate or a Certified Childcare Professional (CCP) credential. TXAEYC also uses the funds to provide scholarships to child care professionals to pursue courses that will lead to an associate’s degree in early childhood education.</w:t>
      </w:r>
    </w:p>
    <w:p w:rsidR="00CD5B30" w:rsidRPr="00855DD2" w:rsidRDefault="00CD5B30" w:rsidP="00CD5B30">
      <w:r w:rsidRPr="00855DD2">
        <w:t>As of November 2018</w:t>
      </w:r>
      <w:r w:rsidR="00032D1F" w:rsidRPr="00855DD2">
        <w:rPr>
          <w:szCs w:val="24"/>
        </w:rPr>
        <w:t>, TXAEYC was instrumental in the following advances in child care professional development</w:t>
      </w:r>
      <w:r w:rsidRPr="00855DD2">
        <w:t>:</w:t>
      </w:r>
    </w:p>
    <w:p w:rsidR="00CD5B30" w:rsidRPr="00855DD2" w:rsidRDefault="00CD5B30" w:rsidP="00CD5B30">
      <w:pPr>
        <w:pStyle w:val="ListParagraph"/>
        <w:numPr>
          <w:ilvl w:val="0"/>
          <w:numId w:val="8"/>
        </w:numPr>
      </w:pPr>
      <w:r w:rsidRPr="00855DD2">
        <w:t>409 CDA Assessment Fee Scholarships</w:t>
      </w:r>
      <w:r w:rsidR="00032D1F" w:rsidRPr="00855DD2">
        <w:rPr>
          <w:szCs w:val="24"/>
        </w:rPr>
        <w:t xml:space="preserve"> were awarded</w:t>
      </w:r>
    </w:p>
    <w:p w:rsidR="00CD5B30" w:rsidRPr="00855DD2" w:rsidRDefault="00CD5B30" w:rsidP="00CD5B30">
      <w:pPr>
        <w:pStyle w:val="ListParagraph"/>
        <w:numPr>
          <w:ilvl w:val="0"/>
          <w:numId w:val="8"/>
        </w:numPr>
      </w:pPr>
      <w:r w:rsidRPr="00855DD2">
        <w:t xml:space="preserve">106 Associate Degree Scholarships </w:t>
      </w:r>
      <w:r w:rsidR="00032D1F" w:rsidRPr="00855DD2">
        <w:rPr>
          <w:szCs w:val="24"/>
        </w:rPr>
        <w:t xml:space="preserve">were awarded </w:t>
      </w:r>
      <w:r w:rsidRPr="00855DD2">
        <w:t>to 80 Caregivers</w:t>
      </w:r>
    </w:p>
    <w:p w:rsidR="00CD5B30" w:rsidRPr="00855DD2" w:rsidRDefault="006E4CDD" w:rsidP="00CD5B30">
      <w:pPr>
        <w:pStyle w:val="ListParagraph"/>
        <w:numPr>
          <w:ilvl w:val="0"/>
          <w:numId w:val="8"/>
        </w:numPr>
      </w:pPr>
      <w:r w:rsidRPr="00855DD2">
        <w:t>349 (85 percent</w:t>
      </w:r>
      <w:r w:rsidR="00CD5B30" w:rsidRPr="00855DD2">
        <w:t xml:space="preserve">) earned the CDA credential </w:t>
      </w:r>
    </w:p>
    <w:p w:rsidR="00CD5B30" w:rsidRPr="00855DD2" w:rsidRDefault="00CD5B30" w:rsidP="00CD5B30">
      <w:pPr>
        <w:pStyle w:val="ListParagraph"/>
        <w:numPr>
          <w:ilvl w:val="0"/>
          <w:numId w:val="8"/>
        </w:numPr>
      </w:pPr>
      <w:r w:rsidRPr="00855DD2">
        <w:t xml:space="preserve">10 Caregivers earned </w:t>
      </w:r>
      <w:r w:rsidR="00032D1F" w:rsidRPr="00855DD2">
        <w:rPr>
          <w:szCs w:val="24"/>
        </w:rPr>
        <w:t>an a</w:t>
      </w:r>
      <w:r w:rsidRPr="00855DD2">
        <w:rPr>
          <w:szCs w:val="24"/>
        </w:rPr>
        <w:t>ssociate</w:t>
      </w:r>
      <w:r w:rsidR="00A643EF" w:rsidRPr="00855DD2">
        <w:rPr>
          <w:szCs w:val="24"/>
        </w:rPr>
        <w:t>’s</w:t>
      </w:r>
      <w:r w:rsidRPr="00855DD2">
        <w:t xml:space="preserve"> Degree</w:t>
      </w:r>
    </w:p>
    <w:p w:rsidR="00CD5B30" w:rsidRDefault="00CD5B30" w:rsidP="00CD5B30">
      <w:pPr>
        <w:pStyle w:val="ListParagraph"/>
        <w:numPr>
          <w:ilvl w:val="0"/>
          <w:numId w:val="8"/>
        </w:numPr>
      </w:pPr>
      <w:r>
        <w:t>The average increase in wages for recipients in FY</w:t>
      </w:r>
      <w:r w:rsidR="00032D1F">
        <w:rPr>
          <w:szCs w:val="24"/>
        </w:rPr>
        <w:t>’</w:t>
      </w:r>
      <w:r>
        <w:t>18 was seven to ten percent</w:t>
      </w:r>
    </w:p>
    <w:p w:rsidR="00CD5B30" w:rsidRPr="00855DD2" w:rsidRDefault="00CD5B30" w:rsidP="00CD5B30">
      <w:r w:rsidRPr="00855DD2">
        <w:t>Additionally, in FY’14, TWC entered into an Interagency Contract with DFPS Child Care Licensing for $500,000 of Rider 30 funds (83rd Texas Legislature, Regular Session (2013)) to expand online training courses related to health and safety for child care providers and caregivers. Child Care Licensing partnered with Texas A&amp;M AgriLife Extension Services to develop online training and technical assistance resources relating to health and safety practices in child care settings for child care providers and parents. The training courses are aligned with the reauthorization of the Child Care and Development B</w:t>
      </w:r>
      <w:r w:rsidR="006E4CDD" w:rsidRPr="00855DD2">
        <w:t xml:space="preserve">lock Grant </w:t>
      </w:r>
      <w:r w:rsidR="00423C35" w:rsidRPr="00855DD2">
        <w:t>Act</w:t>
      </w:r>
      <w:r w:rsidR="006E4CDD" w:rsidRPr="00855DD2">
        <w:t xml:space="preserve"> of 2014</w:t>
      </w:r>
      <w:r w:rsidR="00423C35" w:rsidRPr="00855DD2">
        <w:t xml:space="preserve"> (CCDBG).</w:t>
      </w:r>
    </w:p>
    <w:p w:rsidR="00CD5B30" w:rsidRPr="00855DD2" w:rsidRDefault="00CD5B30" w:rsidP="00CD5B30">
      <w:r w:rsidRPr="00855DD2">
        <w:t>During FY’18, Texas caregivers completed:</w:t>
      </w:r>
    </w:p>
    <w:p w:rsidR="00423C35" w:rsidRPr="00855DD2" w:rsidRDefault="00260446" w:rsidP="00CD5B30">
      <w:pPr>
        <w:pStyle w:val="ListParagraph"/>
        <w:numPr>
          <w:ilvl w:val="0"/>
          <w:numId w:val="9"/>
        </w:numPr>
      </w:pPr>
      <w:r w:rsidRPr="00855DD2">
        <w:rPr>
          <w:szCs w:val="24"/>
        </w:rPr>
        <w:t>370,169</w:t>
      </w:r>
      <w:r w:rsidR="00CD5B30" w:rsidRPr="00855DD2">
        <w:t xml:space="preserve"> AgriLife online courses, including </w:t>
      </w:r>
      <w:r w:rsidRPr="00855DD2">
        <w:rPr>
          <w:szCs w:val="24"/>
        </w:rPr>
        <w:t>32,352</w:t>
      </w:r>
      <w:r w:rsidR="00CD5B30" w:rsidRPr="00855DD2">
        <w:t xml:space="preserve"> infant and toddler inclusion courses;</w:t>
      </w:r>
    </w:p>
    <w:p w:rsidR="00423C35" w:rsidRPr="00855DD2" w:rsidRDefault="00260446" w:rsidP="00CD5B30">
      <w:pPr>
        <w:pStyle w:val="ListParagraph"/>
        <w:numPr>
          <w:ilvl w:val="0"/>
          <w:numId w:val="9"/>
        </w:numPr>
      </w:pPr>
      <w:r w:rsidRPr="00855DD2">
        <w:rPr>
          <w:szCs w:val="24"/>
        </w:rPr>
        <w:t>27,904</w:t>
      </w:r>
      <w:r w:rsidR="00CD5B30" w:rsidRPr="00855DD2">
        <w:t xml:space="preserve"> preschool and school-age inclusion courses; and</w:t>
      </w:r>
    </w:p>
    <w:p w:rsidR="00CD5B30" w:rsidRPr="00855DD2" w:rsidRDefault="00260446" w:rsidP="00CD5B30">
      <w:pPr>
        <w:pStyle w:val="ListParagraph"/>
        <w:numPr>
          <w:ilvl w:val="0"/>
          <w:numId w:val="9"/>
        </w:numPr>
      </w:pPr>
      <w:r w:rsidRPr="00855DD2">
        <w:rPr>
          <w:szCs w:val="24"/>
        </w:rPr>
        <w:t>259,784</w:t>
      </w:r>
      <w:r w:rsidR="00B46F67" w:rsidRPr="00855DD2">
        <w:t xml:space="preserve"> </w:t>
      </w:r>
      <w:r w:rsidR="00CD5B30" w:rsidRPr="00855DD2">
        <w:t>health and safety courses.</w:t>
      </w:r>
    </w:p>
    <w:p w:rsidR="00062E48" w:rsidRDefault="00062E48" w:rsidP="00062E48">
      <w:pPr>
        <w:pStyle w:val="Heading3"/>
      </w:pPr>
      <w:r>
        <w:t xml:space="preserve">New Statewide </w:t>
      </w:r>
      <w:r w:rsidRPr="00CD5B30">
        <w:t xml:space="preserve">Professional Development </w:t>
      </w:r>
      <w:r>
        <w:t>Initiatives</w:t>
      </w:r>
    </w:p>
    <w:p w:rsidR="00962CB3" w:rsidRPr="00962CB3" w:rsidRDefault="00E43ADF" w:rsidP="00062E48">
      <w:pPr>
        <w:rPr>
          <w:color w:val="000000"/>
        </w:rPr>
      </w:pPr>
      <w:r w:rsidRPr="00962CB3">
        <w:t xml:space="preserve">On February 9, 2018, passage of the federal Bipartisan Budget Act of 2018 (Act) provided a historic increase in funding for the CCDF through an increase in the Child Care and Development Block Grant. As a result, the State of Texas received an additional $229.9 million in CCDF funds. </w:t>
      </w:r>
      <w:r w:rsidR="00FE484C" w:rsidRPr="00962CB3">
        <w:t xml:space="preserve">TWC has </w:t>
      </w:r>
      <w:r w:rsidR="00FE484C" w:rsidRPr="00962CB3">
        <w:rPr>
          <w:color w:val="000000"/>
        </w:rPr>
        <w:t>approved plans for the use of the additional federal funding for Fiscal Year (</w:t>
      </w:r>
      <w:r w:rsidR="00FE484C" w:rsidRPr="00962CB3">
        <w:rPr>
          <w:rStyle w:val="HTMLAcronym"/>
          <w:color w:val="000000"/>
          <w:bdr w:val="none" w:sz="0" w:space="0" w:color="auto" w:frame="1"/>
        </w:rPr>
        <w:t>FY</w:t>
      </w:r>
      <w:r w:rsidR="00FE484C" w:rsidRPr="00962CB3">
        <w:rPr>
          <w:color w:val="000000"/>
        </w:rPr>
        <w:t xml:space="preserve">) 2019 with a clear focus on working to increase the quality of care and strengthen early learning across the state. It is the single largest federal allocation increase in the history of the Texas </w:t>
      </w:r>
      <w:r w:rsidR="00962CB3">
        <w:rPr>
          <w:color w:val="000000"/>
        </w:rPr>
        <w:t>CCDF</w:t>
      </w:r>
      <w:r w:rsidR="00FE484C" w:rsidRPr="00962CB3">
        <w:rPr>
          <w:color w:val="000000"/>
        </w:rPr>
        <w:t xml:space="preserve"> program. </w:t>
      </w:r>
      <w:r w:rsidR="00FE484C" w:rsidRPr="00962CB3">
        <w:rPr>
          <w:rStyle w:val="HTMLAcronym"/>
          <w:color w:val="000000"/>
          <w:bdr w:val="none" w:sz="0" w:space="0" w:color="auto" w:frame="1"/>
        </w:rPr>
        <w:t>TWC</w:t>
      </w:r>
      <w:r w:rsidR="00FE484C" w:rsidRPr="00962CB3">
        <w:rPr>
          <w:color w:val="000000"/>
        </w:rPr>
        <w:t>, through its netw</w:t>
      </w:r>
      <w:r w:rsidR="00962CB3">
        <w:rPr>
          <w:color w:val="000000"/>
        </w:rPr>
        <w:t>ork of 28 Local Workforce Development B</w:t>
      </w:r>
      <w:r w:rsidR="00FE484C" w:rsidRPr="00962CB3">
        <w:rPr>
          <w:color w:val="000000"/>
        </w:rPr>
        <w:t>oards</w:t>
      </w:r>
      <w:r w:rsidR="00962CB3">
        <w:rPr>
          <w:color w:val="000000"/>
        </w:rPr>
        <w:t xml:space="preserve"> (Boards)</w:t>
      </w:r>
      <w:r w:rsidR="00FE484C" w:rsidRPr="00962CB3">
        <w:rPr>
          <w:color w:val="000000"/>
        </w:rPr>
        <w:t xml:space="preserve">, will use the funding to expand high quality early childhood education and child care service programs to an estimated 28,000 additional Texas children per day in </w:t>
      </w:r>
      <w:r w:rsidR="00FE484C" w:rsidRPr="00962CB3">
        <w:rPr>
          <w:rStyle w:val="HTMLAcronym"/>
          <w:color w:val="000000"/>
          <w:bdr w:val="none" w:sz="0" w:space="0" w:color="auto" w:frame="1"/>
        </w:rPr>
        <w:t>FY</w:t>
      </w:r>
      <w:r w:rsidR="00FE484C" w:rsidRPr="00962CB3">
        <w:rPr>
          <w:color w:val="000000"/>
        </w:rPr>
        <w:t xml:space="preserve"> 2019. </w:t>
      </w:r>
    </w:p>
    <w:p w:rsidR="00962CB3" w:rsidRPr="00962CB3" w:rsidRDefault="00962CB3" w:rsidP="00062E48">
      <w:r w:rsidRPr="00962CB3">
        <w:rPr>
          <w:color w:val="000000"/>
        </w:rPr>
        <w:t>TWC allocated</w:t>
      </w:r>
      <w:r w:rsidR="00FE484C" w:rsidRPr="00962CB3">
        <w:rPr>
          <w:color w:val="000000"/>
        </w:rPr>
        <w:t xml:space="preserve"> $189 million, including funds for rate increases with a clear focus on </w:t>
      </w:r>
      <w:hyperlink r:id="rId11" w:history="1">
        <w:r w:rsidR="00FE484C" w:rsidRPr="00962CB3">
          <w:rPr>
            <w:rStyle w:val="Hyperlink"/>
            <w:color w:val="003399"/>
          </w:rPr>
          <w:t>Texas Rising Star</w:t>
        </w:r>
      </w:hyperlink>
      <w:r w:rsidR="00FE484C" w:rsidRPr="00962CB3">
        <w:rPr>
          <w:color w:val="000000"/>
        </w:rPr>
        <w:t xml:space="preserve"> (</w:t>
      </w:r>
      <w:r w:rsidR="00FE484C" w:rsidRPr="00962CB3">
        <w:rPr>
          <w:rStyle w:val="HTMLAcronym"/>
          <w:color w:val="000000"/>
          <w:bdr w:val="none" w:sz="0" w:space="0" w:color="auto" w:frame="1"/>
        </w:rPr>
        <w:t>TRS</w:t>
      </w:r>
      <w:r w:rsidR="00FE484C" w:rsidRPr="00962CB3">
        <w:rPr>
          <w:color w:val="000000"/>
        </w:rPr>
        <w:t>) quality care, to support Direct Child Care Services, a</w:t>
      </w:r>
      <w:r>
        <w:rPr>
          <w:color w:val="000000"/>
        </w:rPr>
        <w:t>nd designating an additional $44.5</w:t>
      </w:r>
      <w:r w:rsidR="00FE484C" w:rsidRPr="00962CB3">
        <w:rPr>
          <w:color w:val="000000"/>
        </w:rPr>
        <w:t xml:space="preserve"> million dollars to help providers enhance the quality of care they offer and to support partnerships that build school readiness.</w:t>
      </w:r>
      <w:r w:rsidRPr="00962CB3">
        <w:t xml:space="preserve"> </w:t>
      </w:r>
    </w:p>
    <w:p w:rsidR="00D95829" w:rsidRDefault="00D95829" w:rsidP="00062E48">
      <w:r>
        <w:t>TWC has approved the following professional development and child care quality improvement initiatives:</w:t>
      </w:r>
    </w:p>
    <w:p w:rsidR="00062E48" w:rsidRDefault="00D95829" w:rsidP="00962CB3">
      <w:pPr>
        <w:pStyle w:val="ListParagraph"/>
        <w:numPr>
          <w:ilvl w:val="0"/>
          <w:numId w:val="21"/>
        </w:numPr>
      </w:pPr>
      <w:r>
        <w:t>Pre-Kindergarten – Child Care Partnerships ($10 million) – to</w:t>
      </w:r>
      <w:r w:rsidRPr="00D95829">
        <w:t xml:space="preserve"> support planning grants to build </w:t>
      </w:r>
      <w:r>
        <w:t xml:space="preserve">and expand </w:t>
      </w:r>
      <w:r w:rsidRPr="00D95829">
        <w:t xml:space="preserve">partnerships between ISDs and TRS 4-Star Program Providers to expand pre-K service capacity.  </w:t>
      </w:r>
    </w:p>
    <w:p w:rsidR="00D95829" w:rsidRDefault="00FD279A" w:rsidP="00962CB3">
      <w:pPr>
        <w:pStyle w:val="ListParagraph"/>
        <w:numPr>
          <w:ilvl w:val="0"/>
          <w:numId w:val="21"/>
        </w:numPr>
      </w:pPr>
      <w:r>
        <w:t>Local Workforce Development Board (Board) Quality Initiatives ($7 million) – to e</w:t>
      </w:r>
      <w:r w:rsidRPr="00FD279A">
        <w:t>xpand above the state minimum of 2% of a Board’s child care allocation amount for quality improvement activities, with majority of funding focused on infant and toddlers as required to meet CCDF minimums.</w:t>
      </w:r>
    </w:p>
    <w:p w:rsidR="00FE484C" w:rsidRDefault="00FE484C" w:rsidP="00962CB3">
      <w:pPr>
        <w:pStyle w:val="ListParagraph"/>
        <w:numPr>
          <w:ilvl w:val="0"/>
          <w:numId w:val="21"/>
        </w:numPr>
      </w:pPr>
      <w:r>
        <w:t>Board TRS Assessor and Mentor Funding ($10 million) – to Boards for hiring additional and supporting current TRS assessors and mentors to provide technical assistance and professional development for TRS providers and providers working to become TRS certified.</w:t>
      </w:r>
    </w:p>
    <w:p w:rsidR="00FD279A" w:rsidRDefault="00FD279A" w:rsidP="00962CB3">
      <w:pPr>
        <w:pStyle w:val="ListParagraph"/>
        <w:numPr>
          <w:ilvl w:val="0"/>
          <w:numId w:val="21"/>
        </w:numPr>
      </w:pPr>
      <w:r>
        <w:t>Child Care Business Forums ($3 million) - r</w:t>
      </w:r>
      <w:r w:rsidRPr="00FD279A">
        <w:t xml:space="preserve">egional trainings focused on business practices tailored to the needs of child care administrators. Objectives include: business management, financial stability, personnel management, increased recruitment and retention of staff, communication, family and community engagement. Trainings will also incorporate information on </w:t>
      </w:r>
      <w:r w:rsidR="00EC4AFF">
        <w:t>TRS</w:t>
      </w:r>
      <w:r w:rsidRPr="00FD279A">
        <w:t xml:space="preserve"> and opportunities to become a recognized quality provider.</w:t>
      </w:r>
    </w:p>
    <w:p w:rsidR="00FD279A" w:rsidRDefault="00FD279A" w:rsidP="00962CB3">
      <w:pPr>
        <w:pStyle w:val="ListParagraph"/>
        <w:numPr>
          <w:ilvl w:val="0"/>
          <w:numId w:val="21"/>
        </w:numPr>
      </w:pPr>
      <w:r>
        <w:t>Collaborative Matching Grants ($6 million) - m</w:t>
      </w:r>
      <w:r w:rsidRPr="00FD279A">
        <w:t>atching grants to work with stakeholders, including non-profit groups and research organizations, to develop efforts focused on increasing TRS providers and star levels, and on improving the implementation of quality focused efforts.</w:t>
      </w:r>
    </w:p>
    <w:p w:rsidR="00FD279A" w:rsidRDefault="00FD279A" w:rsidP="00962CB3">
      <w:pPr>
        <w:pStyle w:val="ListParagraph"/>
        <w:numPr>
          <w:ilvl w:val="0"/>
          <w:numId w:val="21"/>
        </w:numPr>
      </w:pPr>
      <w:r>
        <w:t>Infant and Toddler Collaborative Matching Grants ($2 million) – matching g</w:t>
      </w:r>
      <w:r w:rsidRPr="00FD279A">
        <w:t>rants to work with stakeholders, to develop infant and toddler focused efforts for TRS providers, and on improving the quality of care for infants and toddlers.</w:t>
      </w:r>
    </w:p>
    <w:p w:rsidR="00962CB3" w:rsidRDefault="00962CB3" w:rsidP="00962CB3">
      <w:pPr>
        <w:pStyle w:val="ListParagraph"/>
        <w:numPr>
          <w:ilvl w:val="0"/>
          <w:numId w:val="21"/>
        </w:numPr>
      </w:pPr>
      <w:r>
        <w:t xml:space="preserve">Cost of Quality Study ($1 million) - </w:t>
      </w:r>
      <w:r w:rsidRPr="00962CB3">
        <w:t>statewide study on the costs of providing quality care, with in-depth provider interviews and rigorous analyses of expenditures associated with TRS. The study also examines provider business practices to help identify areas of weakness and strategies to improve providers’ operational efficiencies and free up resources for activities that directly benefit child care quality.</w:t>
      </w:r>
    </w:p>
    <w:p w:rsidR="00E43ADF" w:rsidRDefault="00962CB3" w:rsidP="00962CB3">
      <w:pPr>
        <w:pStyle w:val="ListParagraph"/>
        <w:numPr>
          <w:ilvl w:val="0"/>
          <w:numId w:val="21"/>
        </w:numPr>
      </w:pPr>
      <w:r>
        <w:t>Hurricane Harvey Child Care Response ($5.5 million) – to p</w:t>
      </w:r>
      <w:r w:rsidRPr="00962CB3">
        <w:t>rovide quality focused resources to child care providers impacted by Hurricane Harvey, including classroom material, curriculum, equipment and other resources that improve the quality of care.</w:t>
      </w:r>
    </w:p>
    <w:p w:rsidR="003A74F6" w:rsidRDefault="00517AA1" w:rsidP="00BE7CF2">
      <w:pPr>
        <w:pStyle w:val="Heading2"/>
        <w:spacing w:before="360"/>
      </w:pPr>
      <w:r>
        <w:t xml:space="preserve">Texas Rising Star and </w:t>
      </w:r>
      <w:r w:rsidR="00E06B0D">
        <w:t>Local Board</w:t>
      </w:r>
      <w:r w:rsidR="003A74F6">
        <w:t xml:space="preserve"> Professional Development</w:t>
      </w:r>
      <w:r w:rsidR="00E06B0D">
        <w:t xml:space="preserve"> Activities</w:t>
      </w:r>
    </w:p>
    <w:p w:rsidR="003A74F6" w:rsidRPr="00855DD2" w:rsidRDefault="003A74F6" w:rsidP="00E06B0D">
      <w:pPr>
        <w:pStyle w:val="Heading3"/>
      </w:pPr>
      <w:r w:rsidRPr="00855DD2">
        <w:t>Quality Improvement Activities</w:t>
      </w:r>
    </w:p>
    <w:p w:rsidR="003A74F6" w:rsidRPr="00855DD2" w:rsidRDefault="003A74F6" w:rsidP="003A74F6">
      <w:r w:rsidRPr="00855DD2">
        <w:t xml:space="preserve">Texas Government Code §2308.317(c) requires each </w:t>
      </w:r>
      <w:r w:rsidR="007F31BD" w:rsidRPr="00855DD2">
        <w:rPr>
          <w:szCs w:val="24"/>
        </w:rPr>
        <w:t xml:space="preserve">Local Workforce Development </w:t>
      </w:r>
      <w:r w:rsidRPr="00855DD2">
        <w:t xml:space="preserve">Board </w:t>
      </w:r>
      <w:r w:rsidR="007F31BD" w:rsidRPr="00855DD2">
        <w:rPr>
          <w:szCs w:val="24"/>
        </w:rPr>
        <w:t>(</w:t>
      </w:r>
      <w:r w:rsidRPr="00855DD2">
        <w:rPr>
          <w:szCs w:val="24"/>
        </w:rPr>
        <w:t>Board</w:t>
      </w:r>
      <w:r w:rsidR="007F31BD" w:rsidRPr="00855DD2">
        <w:rPr>
          <w:szCs w:val="24"/>
        </w:rPr>
        <w:t>)</w:t>
      </w:r>
      <w:r w:rsidRPr="00855DD2">
        <w:rPr>
          <w:szCs w:val="24"/>
        </w:rPr>
        <w:t xml:space="preserve"> </w:t>
      </w:r>
      <w:r w:rsidRPr="00855DD2">
        <w:t xml:space="preserve">to use at least </w:t>
      </w:r>
      <w:r w:rsidR="00C26105" w:rsidRPr="00855DD2">
        <w:rPr>
          <w:szCs w:val="24"/>
        </w:rPr>
        <w:t>2</w:t>
      </w:r>
      <w:r w:rsidRPr="00855DD2">
        <w:t xml:space="preserve"> percent of its yearly child care allocation for quality initiatives. Boards must ensure that the </w:t>
      </w:r>
      <w:r w:rsidR="00C26105" w:rsidRPr="00855DD2">
        <w:rPr>
          <w:szCs w:val="24"/>
        </w:rPr>
        <w:t>2</w:t>
      </w:r>
      <w:r w:rsidRPr="00855DD2">
        <w:t xml:space="preserve"> percent allocation dedicated to quality child care initiatives is used for the following:</w:t>
      </w:r>
    </w:p>
    <w:p w:rsidR="00E06B0D" w:rsidRDefault="003A74F6" w:rsidP="003A74F6">
      <w:pPr>
        <w:pStyle w:val="ListParagraph"/>
        <w:numPr>
          <w:ilvl w:val="0"/>
          <w:numId w:val="10"/>
        </w:numPr>
      </w:pPr>
      <w:r w:rsidRPr="00855DD2">
        <w:t xml:space="preserve">Quality child care programs, including programs </w:t>
      </w:r>
      <w:r w:rsidR="00C26105" w:rsidRPr="00855DD2">
        <w:rPr>
          <w:szCs w:val="24"/>
        </w:rPr>
        <w:t>that meet</w:t>
      </w:r>
      <w:r w:rsidRPr="00855DD2">
        <w:t xml:space="preserve"> one of the following</w:t>
      </w:r>
      <w:r>
        <w:t xml:space="preserve"> conditions:</w:t>
      </w:r>
    </w:p>
    <w:p w:rsidR="00E06B0D" w:rsidRDefault="00C26105" w:rsidP="003A74F6">
      <w:pPr>
        <w:pStyle w:val="ListParagraph"/>
        <w:numPr>
          <w:ilvl w:val="1"/>
          <w:numId w:val="10"/>
        </w:numPr>
      </w:pPr>
      <w:r>
        <w:rPr>
          <w:szCs w:val="24"/>
        </w:rPr>
        <w:t xml:space="preserve">The </w:t>
      </w:r>
      <w:r w:rsidR="003A74F6">
        <w:t>Director receives monitoring</w:t>
      </w:r>
    </w:p>
    <w:p w:rsidR="00E06B0D" w:rsidRDefault="00C26105" w:rsidP="003A74F6">
      <w:pPr>
        <w:pStyle w:val="ListParagraph"/>
        <w:numPr>
          <w:ilvl w:val="1"/>
          <w:numId w:val="10"/>
        </w:numPr>
      </w:pPr>
      <w:r>
        <w:rPr>
          <w:szCs w:val="24"/>
        </w:rPr>
        <w:t xml:space="preserve">The </w:t>
      </w:r>
      <w:r w:rsidR="003A74F6">
        <w:t>Program is in the process of obtaining TRS certification</w:t>
      </w:r>
    </w:p>
    <w:p w:rsidR="00E06B0D" w:rsidRDefault="003A74F6" w:rsidP="003A74F6">
      <w:pPr>
        <w:pStyle w:val="ListParagraph"/>
        <w:numPr>
          <w:ilvl w:val="0"/>
          <w:numId w:val="10"/>
        </w:numPr>
      </w:pPr>
      <w:r>
        <w:t>Technical assistance, including the following:</w:t>
      </w:r>
    </w:p>
    <w:p w:rsidR="00E06B0D" w:rsidRDefault="003A74F6" w:rsidP="003A74F6">
      <w:pPr>
        <w:pStyle w:val="ListParagraph"/>
        <w:numPr>
          <w:ilvl w:val="1"/>
          <w:numId w:val="10"/>
        </w:numPr>
      </w:pPr>
      <w:r>
        <w:t>Assistance to TRS providers and child care providers seeking TRS certification</w:t>
      </w:r>
    </w:p>
    <w:p w:rsidR="00E06B0D" w:rsidRDefault="003A74F6" w:rsidP="003A74F6">
      <w:pPr>
        <w:pStyle w:val="ListParagraph"/>
        <w:numPr>
          <w:ilvl w:val="1"/>
          <w:numId w:val="10"/>
        </w:numPr>
      </w:pPr>
      <w:r>
        <w:t>Consumer information regarding the selection of the quality for parents</w:t>
      </w:r>
    </w:p>
    <w:p w:rsidR="00E06B0D" w:rsidRDefault="003A74F6" w:rsidP="003A74F6">
      <w:pPr>
        <w:pStyle w:val="ListParagraph"/>
        <w:numPr>
          <w:ilvl w:val="1"/>
          <w:numId w:val="10"/>
        </w:numPr>
      </w:pPr>
      <w:r>
        <w:t>Parenting education information</w:t>
      </w:r>
    </w:p>
    <w:p w:rsidR="00E06B0D" w:rsidRDefault="003A74F6" w:rsidP="003A74F6">
      <w:pPr>
        <w:pStyle w:val="ListParagraph"/>
        <w:numPr>
          <w:ilvl w:val="0"/>
          <w:numId w:val="10"/>
        </w:numPr>
      </w:pPr>
      <w:r>
        <w:t>Professional development for child care providers, directors, and employees</w:t>
      </w:r>
    </w:p>
    <w:p w:rsidR="00E06B0D" w:rsidRDefault="003A74F6" w:rsidP="003A74F6">
      <w:pPr>
        <w:pStyle w:val="ListParagraph"/>
        <w:numPr>
          <w:ilvl w:val="0"/>
          <w:numId w:val="10"/>
        </w:numPr>
      </w:pPr>
      <w:r>
        <w:t>Educational materials for children served by child care providers</w:t>
      </w:r>
    </w:p>
    <w:p w:rsidR="003A74F6" w:rsidRDefault="003A74F6" w:rsidP="003A74F6">
      <w:pPr>
        <w:pStyle w:val="ListParagraph"/>
        <w:numPr>
          <w:ilvl w:val="0"/>
          <w:numId w:val="10"/>
        </w:numPr>
      </w:pPr>
      <w:r>
        <w:t>Educational information for parents on the development of children under age five</w:t>
      </w:r>
    </w:p>
    <w:p w:rsidR="003A74F6" w:rsidRDefault="003A74F6" w:rsidP="003A74F6">
      <w:r>
        <w:t>Boards mus</w:t>
      </w:r>
      <w:r w:rsidR="00E06B0D">
        <w:t xml:space="preserve">t ensure that priority for the </w:t>
      </w:r>
      <w:r w:rsidR="00C26105">
        <w:rPr>
          <w:szCs w:val="24"/>
        </w:rPr>
        <w:t>2</w:t>
      </w:r>
      <w:r>
        <w:t xml:space="preserve"> percent allocation is given to quality child care initiatives </w:t>
      </w:r>
      <w:r w:rsidR="00C26105">
        <w:rPr>
          <w:szCs w:val="24"/>
        </w:rPr>
        <w:t>that benefit</w:t>
      </w:r>
      <w:r>
        <w:t xml:space="preserve"> child care facilities that are working toward TRS certification or are TRS providers working toward a higher </w:t>
      </w:r>
      <w:r w:rsidR="00C26105">
        <w:rPr>
          <w:szCs w:val="24"/>
        </w:rPr>
        <w:t xml:space="preserve">TRS </w:t>
      </w:r>
      <w:r>
        <w:t xml:space="preserve">certification level. </w:t>
      </w:r>
    </w:p>
    <w:p w:rsidR="003A74F6" w:rsidRPr="00855DD2" w:rsidRDefault="003A74F6" w:rsidP="003A74F6">
      <w:r w:rsidRPr="00855DD2">
        <w:t>In FY’18, Boards used the quality funds to provide training on:</w:t>
      </w:r>
    </w:p>
    <w:p w:rsidR="00E06B0D" w:rsidRPr="00855DD2" w:rsidRDefault="003A74F6" w:rsidP="003A74F6">
      <w:pPr>
        <w:pStyle w:val="ListParagraph"/>
        <w:numPr>
          <w:ilvl w:val="0"/>
          <w:numId w:val="11"/>
        </w:numPr>
      </w:pPr>
      <w:r w:rsidRPr="00855DD2">
        <w:t>the infant and toddler guidelines to:</w:t>
      </w:r>
    </w:p>
    <w:p w:rsidR="00E06B0D" w:rsidRPr="00855DD2" w:rsidRDefault="003A74F6" w:rsidP="003A74F6">
      <w:pPr>
        <w:pStyle w:val="ListParagraph"/>
        <w:numPr>
          <w:ilvl w:val="1"/>
          <w:numId w:val="11"/>
        </w:numPr>
      </w:pPr>
      <w:r w:rsidRPr="00855DD2">
        <w:t>547 licensed child care centers; and</w:t>
      </w:r>
    </w:p>
    <w:p w:rsidR="00E06B0D" w:rsidRPr="00855DD2" w:rsidRDefault="003A74F6" w:rsidP="003A74F6">
      <w:pPr>
        <w:pStyle w:val="ListParagraph"/>
        <w:numPr>
          <w:ilvl w:val="1"/>
          <w:numId w:val="11"/>
        </w:numPr>
      </w:pPr>
      <w:r w:rsidRPr="00855DD2">
        <w:t>36</w:t>
      </w:r>
      <w:r w:rsidR="00945B5B" w:rsidRPr="00855DD2">
        <w:t xml:space="preserve"> </w:t>
      </w:r>
      <w:r w:rsidRPr="00855DD2">
        <w:t>licensed or registered child care homes; and</w:t>
      </w:r>
    </w:p>
    <w:p w:rsidR="00E06B0D" w:rsidRPr="00855DD2" w:rsidRDefault="003A74F6" w:rsidP="003A74F6">
      <w:pPr>
        <w:pStyle w:val="ListParagraph"/>
        <w:numPr>
          <w:ilvl w:val="0"/>
          <w:numId w:val="11"/>
        </w:numPr>
      </w:pPr>
      <w:r w:rsidRPr="00855DD2">
        <w:t>the prekindergarten guidelines to:</w:t>
      </w:r>
    </w:p>
    <w:p w:rsidR="00E06B0D" w:rsidRPr="00855DD2" w:rsidRDefault="003A74F6" w:rsidP="003A74F6">
      <w:pPr>
        <w:pStyle w:val="ListParagraph"/>
        <w:numPr>
          <w:ilvl w:val="1"/>
          <w:numId w:val="11"/>
        </w:numPr>
      </w:pPr>
      <w:r w:rsidRPr="00855DD2">
        <w:t>442 licensed child care centers; and</w:t>
      </w:r>
    </w:p>
    <w:p w:rsidR="003A74F6" w:rsidRPr="00855DD2" w:rsidRDefault="003A74F6" w:rsidP="003A74F6">
      <w:pPr>
        <w:pStyle w:val="ListParagraph"/>
        <w:numPr>
          <w:ilvl w:val="1"/>
          <w:numId w:val="11"/>
        </w:numPr>
      </w:pPr>
      <w:r w:rsidRPr="00855DD2">
        <w:t>63 licensed or registered child care homes.</w:t>
      </w:r>
    </w:p>
    <w:p w:rsidR="003A74F6" w:rsidRDefault="003A74F6" w:rsidP="00E06B0D">
      <w:pPr>
        <w:pStyle w:val="Heading3"/>
      </w:pPr>
      <w:r>
        <w:t>T</w:t>
      </w:r>
      <w:r w:rsidR="00E06B0D">
        <w:t>RS Assessor and Mentor Funding</w:t>
      </w:r>
    </w:p>
    <w:p w:rsidR="00E06B0D" w:rsidRDefault="003A74F6" w:rsidP="003A74F6">
      <w:r>
        <w:t xml:space="preserve">Texas Government Code §2308.3155(c) requires TWC to provide funding to Boards for TRS assessors and mentors. TRS assessors are responsible for conducting on-site assessments of providers to determine compliance with TRS standards. TRS mentors provide technical assistance to providers </w:t>
      </w:r>
      <w:r w:rsidR="00C26105">
        <w:rPr>
          <w:szCs w:val="24"/>
        </w:rPr>
        <w:t xml:space="preserve">that are </w:t>
      </w:r>
      <w:r>
        <w:t xml:space="preserve">working to become TRS-certified and to TRS providers working </w:t>
      </w:r>
      <w:r w:rsidR="00C26105">
        <w:rPr>
          <w:szCs w:val="24"/>
        </w:rPr>
        <w:t>toward</w:t>
      </w:r>
      <w:r>
        <w:t xml:space="preserve"> higher levels of TRS c</w:t>
      </w:r>
      <w:r w:rsidR="00E06B0D">
        <w:t xml:space="preserve">ertification. </w:t>
      </w:r>
    </w:p>
    <w:p w:rsidR="003A74F6" w:rsidRDefault="003A74F6" w:rsidP="003A74F6">
      <w:r>
        <w:t xml:space="preserve">Mentoring and technical assistance services were provided </w:t>
      </w:r>
      <w:r w:rsidR="00743E9A">
        <w:rPr>
          <w:szCs w:val="24"/>
        </w:rPr>
        <w:t>as follows</w:t>
      </w:r>
      <w:r>
        <w:t>:</w:t>
      </w:r>
    </w:p>
    <w:p w:rsidR="00E06B0D" w:rsidRDefault="003A74F6" w:rsidP="003A74F6">
      <w:pPr>
        <w:pStyle w:val="ListParagraph"/>
        <w:numPr>
          <w:ilvl w:val="0"/>
          <w:numId w:val="12"/>
        </w:numPr>
      </w:pPr>
      <w:r>
        <w:t>10,263 caregiv</w:t>
      </w:r>
      <w:r w:rsidR="00E06B0D">
        <w:t>ers received mentoring services</w:t>
      </w:r>
    </w:p>
    <w:p w:rsidR="00E06B0D" w:rsidRDefault="003A74F6" w:rsidP="003A74F6">
      <w:pPr>
        <w:pStyle w:val="ListParagraph"/>
        <w:numPr>
          <w:ilvl w:val="0"/>
          <w:numId w:val="12"/>
        </w:numPr>
      </w:pPr>
      <w:r>
        <w:t>1,515 provid</w:t>
      </w:r>
      <w:r w:rsidR="00E06B0D">
        <w:t>ers received mentoring services</w:t>
      </w:r>
    </w:p>
    <w:p w:rsidR="003A74F6" w:rsidRDefault="003A74F6" w:rsidP="003A74F6">
      <w:pPr>
        <w:pStyle w:val="ListParagraph"/>
        <w:numPr>
          <w:ilvl w:val="0"/>
          <w:numId w:val="12"/>
        </w:numPr>
      </w:pPr>
      <w:r>
        <w:t>4,314 providers received target technical assistance</w:t>
      </w:r>
    </w:p>
    <w:p w:rsidR="003A74F6" w:rsidRDefault="003A74F6" w:rsidP="003A74F6">
      <w:r>
        <w:t xml:space="preserve">In addition to providing training and technical assistance, the Boards used the quality funds to provide 1,574 child care staff </w:t>
      </w:r>
      <w:r w:rsidR="00BA6FE6">
        <w:rPr>
          <w:szCs w:val="24"/>
        </w:rPr>
        <w:t xml:space="preserve">members </w:t>
      </w:r>
      <w:r w:rsidR="00743E9A">
        <w:rPr>
          <w:szCs w:val="24"/>
        </w:rPr>
        <w:t xml:space="preserve">with </w:t>
      </w:r>
      <w:r>
        <w:t>CDA or college scholarships and 2,000 child care staff</w:t>
      </w:r>
      <w:r w:rsidR="00BA6FE6">
        <w:rPr>
          <w:szCs w:val="24"/>
        </w:rPr>
        <w:t xml:space="preserve"> members</w:t>
      </w:r>
      <w:r w:rsidRPr="00046513">
        <w:rPr>
          <w:szCs w:val="24"/>
        </w:rPr>
        <w:t xml:space="preserve"> </w:t>
      </w:r>
      <w:r w:rsidR="00743E9A">
        <w:rPr>
          <w:szCs w:val="24"/>
        </w:rPr>
        <w:t>with</w:t>
      </w:r>
      <w:r>
        <w:t xml:space="preserve"> other financial assistance for professional development.</w:t>
      </w:r>
    </w:p>
    <w:p w:rsidR="00517AA1" w:rsidRDefault="00517AA1" w:rsidP="003A74F6">
      <w:r>
        <w:t xml:space="preserve">As of </w:t>
      </w:r>
      <w:r w:rsidR="00D67C45">
        <w:t>September 30, 2018,</w:t>
      </w:r>
      <w:r>
        <w:t xml:space="preserve"> there </w:t>
      </w:r>
      <w:r w:rsidR="00AA02BB">
        <w:t>were</w:t>
      </w:r>
      <w:r>
        <w:t xml:space="preserve"> 1,370 TRS-certified child care prov</w:t>
      </w:r>
      <w:r w:rsidR="00D67C45">
        <w:t>iders serving approximately 30,85</w:t>
      </w:r>
      <w:r>
        <w:t>0</w:t>
      </w:r>
      <w:r w:rsidR="00D67C45">
        <w:t xml:space="preserve"> TW</w:t>
      </w:r>
      <w:r>
        <w:t>C-subsidized children per day.</w:t>
      </w:r>
    </w:p>
    <w:p w:rsidR="008E2505" w:rsidRPr="00855DD2" w:rsidRDefault="008E2505" w:rsidP="00BE7CF2">
      <w:pPr>
        <w:pStyle w:val="Heading2"/>
      </w:pPr>
      <w:r w:rsidRPr="00855DD2">
        <w:t>Leveraging Local Funds</w:t>
      </w:r>
    </w:p>
    <w:p w:rsidR="008E2505" w:rsidRDefault="008E2505" w:rsidP="008E2505">
      <w:r w:rsidRPr="00855DD2">
        <w:t>TWC and Boards also work</w:t>
      </w:r>
      <w:r w:rsidR="00A712CD" w:rsidRPr="00855DD2">
        <w:rPr>
          <w:szCs w:val="24"/>
        </w:rPr>
        <w:t>ed</w:t>
      </w:r>
      <w:r w:rsidRPr="00855DD2">
        <w:t xml:space="preserve"> closely with other state agencies and local governmental entities, especially independent school districts (ISDs), </w:t>
      </w:r>
      <w:r w:rsidR="00CF6CB1" w:rsidRPr="00855DD2">
        <w:t xml:space="preserve">cities, </w:t>
      </w:r>
      <w:r w:rsidRPr="00855DD2">
        <w:t xml:space="preserve">colleges and universities, </w:t>
      </w:r>
      <w:r w:rsidR="00CF6CB1" w:rsidRPr="00855DD2">
        <w:t xml:space="preserve">and private donors </w:t>
      </w:r>
      <w:r w:rsidRPr="00855DD2">
        <w:t>to leverage funds for quality initiatives.</w:t>
      </w:r>
    </w:p>
    <w:p w:rsidR="008E2505" w:rsidRDefault="008E2505" w:rsidP="008E2505">
      <w:pPr>
        <w:pStyle w:val="Heading3"/>
      </w:pPr>
      <w:r>
        <w:t>Local Match</w:t>
      </w:r>
    </w:p>
    <w:p w:rsidR="00CF6CB1" w:rsidRDefault="008E2505" w:rsidP="008E2505">
      <w:r>
        <w:t xml:space="preserve">Boards leverage local public expenditures in the workforce areas </w:t>
      </w:r>
      <w:r w:rsidR="00BA617E">
        <w:rPr>
          <w:szCs w:val="24"/>
        </w:rPr>
        <w:t>to draw down</w:t>
      </w:r>
      <w:r>
        <w:t xml:space="preserve"> federal </w:t>
      </w:r>
      <w:r w:rsidR="00A41352" w:rsidRPr="00046513">
        <w:rPr>
          <w:szCs w:val="24"/>
        </w:rPr>
        <w:t xml:space="preserve">Child Care and Development Fund </w:t>
      </w:r>
      <w:r w:rsidR="00A41352">
        <w:rPr>
          <w:szCs w:val="24"/>
        </w:rPr>
        <w:t>(</w:t>
      </w:r>
      <w:r>
        <w:t>CCDF</w:t>
      </w:r>
      <w:r w:rsidR="00A41352">
        <w:rPr>
          <w:szCs w:val="24"/>
        </w:rPr>
        <w:t>)</w:t>
      </w:r>
      <w:r>
        <w:t xml:space="preserve"> matching funds. Boards work with public institutions of higher education, ISDs, and local governments to certify local public expenditures for direct child care services to low-income families and for child care quality improvement activities. </w:t>
      </w:r>
      <w:r w:rsidR="00A712CD">
        <w:rPr>
          <w:szCs w:val="24"/>
        </w:rPr>
        <w:t>T</w:t>
      </w:r>
      <w:r w:rsidR="00A712CD" w:rsidRPr="00046513">
        <w:rPr>
          <w:szCs w:val="24"/>
        </w:rPr>
        <w:t>o meet the child care needs in workforce areas</w:t>
      </w:r>
      <w:r w:rsidR="00A712CD">
        <w:rPr>
          <w:szCs w:val="24"/>
        </w:rPr>
        <w:t>,</w:t>
      </w:r>
      <w:r w:rsidR="00A712CD" w:rsidRPr="00046513">
        <w:rPr>
          <w:szCs w:val="24"/>
        </w:rPr>
        <w:t xml:space="preserve"> </w:t>
      </w:r>
      <w:r>
        <w:t xml:space="preserve">Boards use the federal CCDF matching funds </w:t>
      </w:r>
      <w:r w:rsidR="00A712CD">
        <w:rPr>
          <w:szCs w:val="24"/>
        </w:rPr>
        <w:t>that result</w:t>
      </w:r>
      <w:r>
        <w:t xml:space="preserve"> from the public certifications to increase direct child care services to CCDF-eligible families</w:t>
      </w:r>
      <w:r w:rsidRPr="00046513">
        <w:rPr>
          <w:szCs w:val="24"/>
        </w:rPr>
        <w:t>.</w:t>
      </w:r>
      <w:r>
        <w:t xml:space="preserve"> The funds also</w:t>
      </w:r>
      <w:r w:rsidR="00A712CD">
        <w:rPr>
          <w:szCs w:val="24"/>
        </w:rPr>
        <w:t xml:space="preserve"> </w:t>
      </w:r>
      <w:r w:rsidRPr="00046513">
        <w:rPr>
          <w:szCs w:val="24"/>
        </w:rPr>
        <w:t>are</w:t>
      </w:r>
      <w:r>
        <w:t xml:space="preserve"> used to expand quality improvement activities in the workforce areas.</w:t>
      </w:r>
    </w:p>
    <w:p w:rsidR="00CF6CB1" w:rsidRDefault="00A7003C" w:rsidP="008E2505">
      <w:r>
        <w:t>In FY’17</w:t>
      </w:r>
      <w:r w:rsidR="00A712CD">
        <w:rPr>
          <w:szCs w:val="24"/>
        </w:rPr>
        <w:t>,</w:t>
      </w:r>
      <w:r>
        <w:t xml:space="preserve"> Boards entered into 135</w:t>
      </w:r>
      <w:r w:rsidR="008E2505">
        <w:t xml:space="preserve"> local match agreements with colleges and universities</w:t>
      </w:r>
      <w:r w:rsidR="00A41352">
        <w:rPr>
          <w:szCs w:val="24"/>
        </w:rPr>
        <w:t>,</w:t>
      </w:r>
      <w:r w:rsidR="008E2505">
        <w:t xml:space="preserve"> and in </w:t>
      </w:r>
      <w:r w:rsidR="008E2505" w:rsidRPr="00046513">
        <w:rPr>
          <w:szCs w:val="24"/>
        </w:rPr>
        <w:t>FY’18</w:t>
      </w:r>
      <w:r w:rsidR="00A41352">
        <w:rPr>
          <w:szCs w:val="24"/>
        </w:rPr>
        <w:t>,</w:t>
      </w:r>
      <w:r w:rsidR="008E2505">
        <w:t xml:space="preserve"> </w:t>
      </w:r>
      <w:r>
        <w:t>142</w:t>
      </w:r>
      <w:r w:rsidR="008E2505">
        <w:t xml:space="preserve"> agreements. Through these agreements, colleges and universities certified </w:t>
      </w:r>
      <w:r w:rsidR="008E2505" w:rsidRPr="004F4D22">
        <w:t>approximately $</w:t>
      </w:r>
      <w:r w:rsidR="00BF7443" w:rsidRPr="004F4D22">
        <w:t>30</w:t>
      </w:r>
      <w:r w:rsidR="008E2505">
        <w:t xml:space="preserve"> million </w:t>
      </w:r>
      <w:r w:rsidR="00A41352">
        <w:rPr>
          <w:szCs w:val="24"/>
        </w:rPr>
        <w:t>in</w:t>
      </w:r>
      <w:r w:rsidR="00A41352" w:rsidRPr="00046513">
        <w:rPr>
          <w:szCs w:val="24"/>
        </w:rPr>
        <w:t xml:space="preserve"> </w:t>
      </w:r>
      <w:r w:rsidR="008E2505" w:rsidRPr="00046513">
        <w:rPr>
          <w:szCs w:val="24"/>
        </w:rPr>
        <w:t>FY’17</w:t>
      </w:r>
      <w:r w:rsidR="008E2505">
        <w:t xml:space="preserve"> and </w:t>
      </w:r>
      <w:r w:rsidR="00BF7443" w:rsidRPr="004F4D22">
        <w:t>$32</w:t>
      </w:r>
      <w:r w:rsidR="008E2505">
        <w:t xml:space="preserve"> </w:t>
      </w:r>
      <w:r w:rsidR="00A41352">
        <w:rPr>
          <w:szCs w:val="24"/>
        </w:rPr>
        <w:t xml:space="preserve">million </w:t>
      </w:r>
      <w:r w:rsidR="008E2505">
        <w:t xml:space="preserve">in </w:t>
      </w:r>
      <w:r w:rsidR="008E2505" w:rsidRPr="00046513">
        <w:rPr>
          <w:szCs w:val="24"/>
        </w:rPr>
        <w:t>FY’18</w:t>
      </w:r>
      <w:r w:rsidR="008E2505">
        <w:t xml:space="preserve"> in child care and early education professional development expenses to draw down </w:t>
      </w:r>
      <w:r w:rsidR="008E2505" w:rsidRPr="00D40EC9">
        <w:t xml:space="preserve">approximately $90.9 million in </w:t>
      </w:r>
      <w:r w:rsidR="008E2505" w:rsidRPr="00046513">
        <w:rPr>
          <w:szCs w:val="24"/>
        </w:rPr>
        <w:t>FY’17</w:t>
      </w:r>
      <w:r w:rsidR="008E2505" w:rsidRPr="00D40EC9">
        <w:t xml:space="preserve"> and </w:t>
      </w:r>
      <w:r w:rsidR="00D40EC9" w:rsidRPr="00D40EC9">
        <w:t>$91</w:t>
      </w:r>
      <w:r w:rsidR="00A41352">
        <w:rPr>
          <w:szCs w:val="24"/>
        </w:rPr>
        <w:t xml:space="preserve"> million</w:t>
      </w:r>
      <w:r w:rsidR="008E2505">
        <w:t xml:space="preserve"> in </w:t>
      </w:r>
      <w:r w:rsidR="008E2505" w:rsidRPr="00046513">
        <w:rPr>
          <w:szCs w:val="24"/>
        </w:rPr>
        <w:t>FY</w:t>
      </w:r>
      <w:r w:rsidR="00A41352">
        <w:rPr>
          <w:szCs w:val="24"/>
        </w:rPr>
        <w:t>’</w:t>
      </w:r>
      <w:r w:rsidR="008E2505" w:rsidRPr="00046513">
        <w:rPr>
          <w:szCs w:val="24"/>
        </w:rPr>
        <w:t>18</w:t>
      </w:r>
      <w:r w:rsidR="008E2505">
        <w:t xml:space="preserve"> in federal CCDF matching funds. </w:t>
      </w:r>
    </w:p>
    <w:p w:rsidR="008E2505" w:rsidRDefault="008E2505" w:rsidP="008E2505">
      <w:r w:rsidRPr="00D40EC9">
        <w:t xml:space="preserve">Although Boards used most of the resulting federal matching funds to subsidize direct child care services, approximately $4.7 million of the federal matching funds were used in </w:t>
      </w:r>
      <w:r w:rsidRPr="00046513">
        <w:rPr>
          <w:szCs w:val="24"/>
        </w:rPr>
        <w:t>FY’17</w:t>
      </w:r>
      <w:r w:rsidRPr="00D40EC9">
        <w:t xml:space="preserve"> and </w:t>
      </w:r>
      <w:r w:rsidR="00D40EC9" w:rsidRPr="00D40EC9">
        <w:t>$4.8</w:t>
      </w:r>
      <w:r w:rsidRPr="00D40EC9">
        <w:t xml:space="preserve"> million in </w:t>
      </w:r>
      <w:r w:rsidRPr="00046513">
        <w:rPr>
          <w:szCs w:val="24"/>
        </w:rPr>
        <w:t>FY’18</w:t>
      </w:r>
      <w:r w:rsidRPr="00D40EC9">
        <w:t xml:space="preserve"> for quality improvement activities, including professional development and training for child care professionals.</w:t>
      </w:r>
    </w:p>
    <w:p w:rsidR="0071638B" w:rsidRDefault="0071638B" w:rsidP="0071638B">
      <w:r>
        <w:t>Boards also work closely with local ISDs and education se</w:t>
      </w:r>
      <w:r w:rsidR="00945B5B">
        <w:t xml:space="preserve">rvice centers to leverage local </w:t>
      </w:r>
      <w:r w:rsidRPr="004A03CC">
        <w:t>funds f</w:t>
      </w:r>
      <w:r w:rsidR="00545A04" w:rsidRPr="004A03CC">
        <w:t xml:space="preserve">or child care services. </w:t>
      </w:r>
      <w:r w:rsidR="0007211A" w:rsidRPr="004A03CC">
        <w:t xml:space="preserve">In FY’18, Boards entered into 71 local agreements in which ISDs contributed approximately $12.8 million in local child care funds, </w:t>
      </w:r>
      <w:r w:rsidR="00A572C6" w:rsidRPr="004A03CC">
        <w:t xml:space="preserve">drawing down </w:t>
      </w:r>
      <w:r w:rsidR="0007211A" w:rsidRPr="004A03CC">
        <w:t>$</w:t>
      </w:r>
      <w:r w:rsidR="004A03CC" w:rsidRPr="004A03CC">
        <w:t>24.6</w:t>
      </w:r>
      <w:r w:rsidR="0007211A" w:rsidRPr="004A03CC">
        <w:t xml:space="preserve"> million in federal CCDF funds.</w:t>
      </w:r>
      <w:r w:rsidRPr="004A03CC">
        <w:t xml:space="preserve"> Boards use</w:t>
      </w:r>
      <w:r w:rsidR="0007211A" w:rsidRPr="004A03CC">
        <w:t xml:space="preserve"> the federal matching funds</w:t>
      </w:r>
      <w:r w:rsidRPr="004A03CC">
        <w:t xml:space="preserve"> for direct child care services or child care quality improvement activities. </w:t>
      </w:r>
      <w:r w:rsidR="00757107" w:rsidRPr="004A03CC">
        <w:t>A significant percentage</w:t>
      </w:r>
      <w:r w:rsidRPr="004A03CC">
        <w:t xml:space="preserve"> of the federal funds is used to provide before- and after-school child care for children in the local ISDs.</w:t>
      </w:r>
    </w:p>
    <w:p w:rsidR="00A16BBD" w:rsidRDefault="00A16BBD" w:rsidP="004B4761">
      <w:pPr>
        <w:pStyle w:val="Heading2"/>
      </w:pPr>
      <w:r>
        <w:t xml:space="preserve">Partnerships </w:t>
      </w:r>
      <w:r w:rsidR="00D55E46">
        <w:t xml:space="preserve">to Improve the Quality of Early Care </w:t>
      </w:r>
      <w:r w:rsidR="00A41352">
        <w:t>and</w:t>
      </w:r>
      <w:r w:rsidR="00D55E46">
        <w:t xml:space="preserve"> Education</w:t>
      </w:r>
    </w:p>
    <w:p w:rsidR="000A6CCE" w:rsidRDefault="000A6CCE" w:rsidP="000A6CCE">
      <w:pPr>
        <w:pStyle w:val="Heading3"/>
      </w:pPr>
      <w:r>
        <w:t>Prekindergarten</w:t>
      </w:r>
      <w:r w:rsidR="007F31BD">
        <w:t>–</w:t>
      </w:r>
      <w:r>
        <w:t xml:space="preserve">Child Care Partnership Planning </w:t>
      </w:r>
      <w:r w:rsidRPr="00046513">
        <w:t>Grant</w:t>
      </w:r>
      <w:r w:rsidR="007F31BD">
        <w:t xml:space="preserve"> Program</w:t>
      </w:r>
    </w:p>
    <w:p w:rsidR="000A6CCE" w:rsidRDefault="000A6CCE" w:rsidP="000A6CCE">
      <w:r>
        <w:t xml:space="preserve">TWC has provided funding to TEA for </w:t>
      </w:r>
      <w:r w:rsidR="007F31BD">
        <w:rPr>
          <w:szCs w:val="24"/>
        </w:rPr>
        <w:t xml:space="preserve">the </w:t>
      </w:r>
      <w:r>
        <w:t xml:space="preserve">PreK Partnership Planning </w:t>
      </w:r>
      <w:r w:rsidRPr="00046513">
        <w:rPr>
          <w:szCs w:val="24"/>
        </w:rPr>
        <w:t xml:space="preserve">Grant </w:t>
      </w:r>
      <w:r w:rsidR="007F31BD">
        <w:rPr>
          <w:szCs w:val="24"/>
        </w:rPr>
        <w:t>program</w:t>
      </w:r>
      <w:r>
        <w:t xml:space="preserve"> to </w:t>
      </w:r>
      <w:r w:rsidR="00313599">
        <w:rPr>
          <w:szCs w:val="24"/>
        </w:rPr>
        <w:t>help</w:t>
      </w:r>
      <w:r>
        <w:t xml:space="preserve"> local education agencies </w:t>
      </w:r>
      <w:r w:rsidRPr="00046513">
        <w:rPr>
          <w:szCs w:val="24"/>
        </w:rPr>
        <w:t>develop</w:t>
      </w:r>
      <w:r>
        <w:t xml:space="preserve"> partnerships with </w:t>
      </w:r>
      <w:r w:rsidR="00313599">
        <w:rPr>
          <w:szCs w:val="24"/>
        </w:rPr>
        <w:t>TRS</w:t>
      </w:r>
      <w:r>
        <w:t xml:space="preserve"> 4-star certified private child care providers to expand access and service delivery models for the provision of </w:t>
      </w:r>
      <w:r w:rsidR="00313599" w:rsidRPr="00046513">
        <w:rPr>
          <w:szCs w:val="24"/>
        </w:rPr>
        <w:t xml:space="preserve">prekindergarten </w:t>
      </w:r>
      <w:r w:rsidR="00313599">
        <w:rPr>
          <w:szCs w:val="24"/>
        </w:rPr>
        <w:t xml:space="preserve">to </w:t>
      </w:r>
      <w:r w:rsidR="00A41352">
        <w:rPr>
          <w:szCs w:val="24"/>
        </w:rPr>
        <w:t>three-</w:t>
      </w:r>
      <w:r>
        <w:t xml:space="preserve"> and </w:t>
      </w:r>
      <w:r w:rsidR="00A41352">
        <w:rPr>
          <w:szCs w:val="24"/>
        </w:rPr>
        <w:t>four</w:t>
      </w:r>
      <w:r>
        <w:t xml:space="preserve">-year </w:t>
      </w:r>
      <w:r w:rsidR="009630EC">
        <w:rPr>
          <w:szCs w:val="24"/>
        </w:rPr>
        <w:t>-</w:t>
      </w:r>
      <w:r>
        <w:t xml:space="preserve">old </w:t>
      </w:r>
      <w:r w:rsidR="00313599">
        <w:rPr>
          <w:szCs w:val="24"/>
        </w:rPr>
        <w:t>children</w:t>
      </w:r>
      <w:r>
        <w:t>. In FY’18, 36 child care partnerships were entered into with 18 ISDs.</w:t>
      </w:r>
    </w:p>
    <w:p w:rsidR="00A16BBD" w:rsidRDefault="00A16BBD" w:rsidP="004B4761">
      <w:pPr>
        <w:pStyle w:val="Heading3"/>
      </w:pPr>
      <w:r>
        <w:t>Early Childhood Education Partnerships (Professional Development Partnerships)</w:t>
      </w:r>
    </w:p>
    <w:p w:rsidR="00A16BBD" w:rsidRDefault="00A16BBD" w:rsidP="00A16BBD">
      <w:pPr>
        <w:tabs>
          <w:tab w:val="left" w:pos="1260"/>
        </w:tabs>
      </w:pPr>
      <w:r>
        <w:t>Rider 25 of TWC’s General Appropriations Act</w:t>
      </w:r>
      <w:r w:rsidR="009E22FE">
        <w:t xml:space="preserve"> </w:t>
      </w:r>
      <w:r>
        <w:t xml:space="preserve">requires TWC to transfer $500,000 in federal CCDF funds to TEA during </w:t>
      </w:r>
      <w:r w:rsidRPr="00046513">
        <w:rPr>
          <w:szCs w:val="24"/>
        </w:rPr>
        <w:t>FY’17</w:t>
      </w:r>
      <w:r>
        <w:t xml:space="preserve"> and </w:t>
      </w:r>
      <w:r w:rsidR="00007EC4">
        <w:rPr>
          <w:szCs w:val="24"/>
        </w:rPr>
        <w:t>FY’</w:t>
      </w:r>
      <w:r>
        <w:t>18 for early childhood education partnership projects and teacher stipends designed to:</w:t>
      </w:r>
    </w:p>
    <w:p w:rsidR="004B4761" w:rsidRDefault="00A16BBD" w:rsidP="00A16BBD">
      <w:pPr>
        <w:pStyle w:val="ListParagraph"/>
        <w:numPr>
          <w:ilvl w:val="0"/>
          <w:numId w:val="13"/>
        </w:numPr>
        <w:tabs>
          <w:tab w:val="left" w:pos="1260"/>
        </w:tabs>
      </w:pPr>
      <w:r>
        <w:t>facilitate increased participation in professional development by early childhood education professionals; and</w:t>
      </w:r>
    </w:p>
    <w:p w:rsidR="00A16BBD" w:rsidRDefault="00A16BBD" w:rsidP="00A16BBD">
      <w:pPr>
        <w:pStyle w:val="ListParagraph"/>
        <w:numPr>
          <w:ilvl w:val="0"/>
          <w:numId w:val="13"/>
        </w:numPr>
        <w:tabs>
          <w:tab w:val="left" w:pos="1260"/>
        </w:tabs>
      </w:pPr>
      <w:r>
        <w:t>encourage those professionals to seek additional education.</w:t>
      </w:r>
    </w:p>
    <w:p w:rsidR="00A16BBD" w:rsidRDefault="00A16BBD" w:rsidP="00A16BBD">
      <w:pPr>
        <w:tabs>
          <w:tab w:val="left" w:pos="1260"/>
        </w:tabs>
      </w:pPr>
      <w:r w:rsidRPr="00046513">
        <w:rPr>
          <w:szCs w:val="24"/>
        </w:rPr>
        <w:t>FY’17</w:t>
      </w:r>
      <w:r>
        <w:t xml:space="preserve"> supported 27 Institut</w:t>
      </w:r>
      <w:r w:rsidR="00007EC4">
        <w:rPr>
          <w:szCs w:val="24"/>
        </w:rPr>
        <w:t>ion</w:t>
      </w:r>
      <w:r>
        <w:t>s of Higher Education (IHEs), which included 585 teacher</w:t>
      </w:r>
      <w:r w:rsidR="00007EC4">
        <w:rPr>
          <w:szCs w:val="24"/>
        </w:rPr>
        <w:t>s</w:t>
      </w:r>
      <w:r>
        <w:t xml:space="preserve"> who were working </w:t>
      </w:r>
      <w:r w:rsidRPr="00046513">
        <w:rPr>
          <w:szCs w:val="24"/>
        </w:rPr>
        <w:t xml:space="preserve">toward </w:t>
      </w:r>
      <w:r w:rsidR="00007EC4">
        <w:rPr>
          <w:szCs w:val="24"/>
        </w:rPr>
        <w:t>degrees in</w:t>
      </w:r>
      <w:r>
        <w:t xml:space="preserve"> higher education.</w:t>
      </w:r>
      <w:r w:rsidR="005E0EBB">
        <w:t xml:space="preserve"> Additionally,</w:t>
      </w:r>
      <w:r>
        <w:t xml:space="preserve"> 523 teachers received professional development</w:t>
      </w:r>
      <w:r w:rsidR="00007EC4">
        <w:rPr>
          <w:szCs w:val="24"/>
        </w:rPr>
        <w:t>,</w:t>
      </w:r>
      <w:r>
        <w:t xml:space="preserve"> and 65 child care educators received technical assistance.</w:t>
      </w:r>
    </w:p>
    <w:p w:rsidR="00BD4DB5" w:rsidRDefault="00A16BBD" w:rsidP="00A16BBD">
      <w:pPr>
        <w:tabs>
          <w:tab w:val="left" w:pos="1260"/>
        </w:tabs>
      </w:pPr>
      <w:r>
        <w:t>FY’18 supported 16 IHEs, which included 1,951 teachers who were wo</w:t>
      </w:r>
      <w:r w:rsidR="005E0EBB">
        <w:t xml:space="preserve">rking </w:t>
      </w:r>
      <w:r w:rsidR="005E0EBB" w:rsidRPr="00046513">
        <w:rPr>
          <w:szCs w:val="24"/>
        </w:rPr>
        <w:t xml:space="preserve">toward </w:t>
      </w:r>
      <w:r w:rsidR="00007EC4">
        <w:rPr>
          <w:szCs w:val="24"/>
        </w:rPr>
        <w:t>degrees in</w:t>
      </w:r>
      <w:r w:rsidR="005E0EBB">
        <w:t xml:space="preserve"> higher education, </w:t>
      </w:r>
      <w:r>
        <w:t>374 teachers</w:t>
      </w:r>
      <w:r w:rsidR="005E0EBB">
        <w:t xml:space="preserve"> who</w:t>
      </w:r>
      <w:r>
        <w:t xml:space="preserve"> received professional development</w:t>
      </w:r>
      <w:r w:rsidR="005E0EBB">
        <w:t>,</w:t>
      </w:r>
      <w:r>
        <w:t xml:space="preserve"> and 53 child care teachers </w:t>
      </w:r>
      <w:r w:rsidR="005E0EBB">
        <w:t xml:space="preserve">who </w:t>
      </w:r>
      <w:r>
        <w:t>received technical assistance.</w:t>
      </w:r>
    </w:p>
    <w:p w:rsidR="004B4761" w:rsidRDefault="004B4761" w:rsidP="004B4761">
      <w:pPr>
        <w:pStyle w:val="Heading3"/>
      </w:pPr>
      <w:r>
        <w:t>Texas School Ready Project</w:t>
      </w:r>
    </w:p>
    <w:p w:rsidR="004B4761" w:rsidRDefault="004B4761" w:rsidP="004B4761">
      <w:r>
        <w:t xml:space="preserve">The Texas legislature also requires TWC to transfer to TEA $11.7 million of federal CCDF funds in each year of the biennium to assist providers </w:t>
      </w:r>
      <w:r w:rsidR="00007EC4">
        <w:rPr>
          <w:szCs w:val="24"/>
        </w:rPr>
        <w:t xml:space="preserve">that are </w:t>
      </w:r>
      <w:r>
        <w:t xml:space="preserve">participating in integrated school readiness models developed by </w:t>
      </w:r>
      <w:r w:rsidR="00007EC4">
        <w:rPr>
          <w:szCs w:val="24"/>
        </w:rPr>
        <w:t>the Children’s Learning Institute (</w:t>
      </w:r>
      <w:r>
        <w:t>CLI</w:t>
      </w:r>
      <w:r w:rsidR="00007EC4">
        <w:rPr>
          <w:szCs w:val="24"/>
        </w:rPr>
        <w:t>)</w:t>
      </w:r>
      <w:r w:rsidRPr="00046513">
        <w:rPr>
          <w:szCs w:val="24"/>
        </w:rPr>
        <w:t>.</w:t>
      </w:r>
    </w:p>
    <w:p w:rsidR="004B4761" w:rsidRDefault="004B4761" w:rsidP="004B4761">
      <w:r>
        <w:t>CLI uses these funds to administ</w:t>
      </w:r>
      <w:r w:rsidR="00424D3D">
        <w:t>er the Texas School Ready (TSR</w:t>
      </w:r>
      <w:r>
        <w:t xml:space="preserve">) project, </w:t>
      </w:r>
      <w:r w:rsidRPr="00046513">
        <w:rPr>
          <w:szCs w:val="24"/>
        </w:rPr>
        <w:t>a</w:t>
      </w:r>
      <w:r w:rsidR="00007EC4">
        <w:rPr>
          <w:szCs w:val="24"/>
        </w:rPr>
        <w:t>n</w:t>
      </w:r>
      <w:r>
        <w:t xml:space="preserve"> early childhood model based on proven school readiness components, including:</w:t>
      </w:r>
    </w:p>
    <w:p w:rsidR="004B4761" w:rsidRDefault="00007EC4" w:rsidP="004B4761">
      <w:pPr>
        <w:pStyle w:val="ListParagraph"/>
        <w:numPr>
          <w:ilvl w:val="0"/>
          <w:numId w:val="14"/>
        </w:numPr>
      </w:pPr>
      <w:r>
        <w:rPr>
          <w:szCs w:val="24"/>
        </w:rPr>
        <w:t xml:space="preserve">a </w:t>
      </w:r>
      <w:r w:rsidR="004B4761">
        <w:t>high-quality, developmentally appropriate, and rigorous curriculum;</w:t>
      </w:r>
    </w:p>
    <w:p w:rsidR="004B4761" w:rsidRDefault="004B4761" w:rsidP="004B4761">
      <w:pPr>
        <w:pStyle w:val="ListParagraph"/>
        <w:numPr>
          <w:ilvl w:val="0"/>
          <w:numId w:val="14"/>
        </w:numPr>
      </w:pPr>
      <w:r>
        <w:t>continuous student progress monitoring;</w:t>
      </w:r>
    </w:p>
    <w:p w:rsidR="004B4761" w:rsidRDefault="004B4761" w:rsidP="004B4761">
      <w:pPr>
        <w:pStyle w:val="ListParagraph"/>
        <w:numPr>
          <w:ilvl w:val="0"/>
          <w:numId w:val="14"/>
        </w:numPr>
      </w:pPr>
      <w:r>
        <w:t>professional development for teachers; and</w:t>
      </w:r>
    </w:p>
    <w:p w:rsidR="004B4761" w:rsidRDefault="004B4761" w:rsidP="004B4761">
      <w:pPr>
        <w:pStyle w:val="ListParagraph"/>
        <w:numPr>
          <w:ilvl w:val="0"/>
          <w:numId w:val="14"/>
        </w:numPr>
      </w:pPr>
      <w:r>
        <w:t>creation and implementation of a School Readiness Integration Partnership to coordinate services among school districts, child care providers, and Head Star</w:t>
      </w:r>
      <w:r w:rsidR="00424D3D">
        <w:t xml:space="preserve">t programs </w:t>
      </w:r>
      <w:r w:rsidR="00007EC4">
        <w:rPr>
          <w:szCs w:val="24"/>
        </w:rPr>
        <w:t>that participate</w:t>
      </w:r>
      <w:r w:rsidR="00424D3D">
        <w:t xml:space="preserve"> in TSR.</w:t>
      </w:r>
    </w:p>
    <w:p w:rsidR="004B4761" w:rsidRDefault="004B4761" w:rsidP="004B4761">
      <w:r>
        <w:t>As of September 2018, 184 Provide</w:t>
      </w:r>
      <w:r w:rsidR="00424D3D">
        <w:t xml:space="preserve">rs </w:t>
      </w:r>
      <w:r w:rsidR="00080AA2">
        <w:rPr>
          <w:szCs w:val="24"/>
        </w:rPr>
        <w:t>we</w:t>
      </w:r>
      <w:r w:rsidR="00424D3D">
        <w:t>re participating in the TSR</w:t>
      </w:r>
      <w:r>
        <w:t xml:space="preserve"> Project.</w:t>
      </w:r>
    </w:p>
    <w:p w:rsidR="00CC5F18" w:rsidRDefault="00CC5F18" w:rsidP="00CC5F18">
      <w:pPr>
        <w:pStyle w:val="Heading3"/>
      </w:pPr>
      <w:r>
        <w:t>Texas Early Childhood Professional Development System (TECPDS)</w:t>
      </w:r>
    </w:p>
    <w:p w:rsidR="00CC5F18" w:rsidRDefault="00CC5F18" w:rsidP="00CC5F18">
      <w:r>
        <w:t xml:space="preserve">In </w:t>
      </w:r>
      <w:r w:rsidRPr="00046513">
        <w:rPr>
          <w:szCs w:val="24"/>
        </w:rPr>
        <w:t>FY’17</w:t>
      </w:r>
      <w:r w:rsidR="00727644">
        <w:rPr>
          <w:szCs w:val="24"/>
        </w:rPr>
        <w:t>,</w:t>
      </w:r>
      <w:r>
        <w:t xml:space="preserve"> TWC provided $750,00</w:t>
      </w:r>
      <w:r w:rsidR="00080AA2">
        <w:rPr>
          <w:szCs w:val="24"/>
        </w:rPr>
        <w:t>0</w:t>
      </w:r>
      <w:r>
        <w:t xml:space="preserve"> in funding for TECPDS to support the Texas Workforce Registry (TWR). TWR is a web-based </w:t>
      </w:r>
      <w:r w:rsidR="00B73FBD">
        <w:rPr>
          <w:szCs w:val="24"/>
          <w:lang w:val="en"/>
        </w:rPr>
        <w:t>system</w:t>
      </w:r>
      <w:r w:rsidR="00727644" w:rsidRPr="00727644">
        <w:rPr>
          <w:szCs w:val="24"/>
          <w:lang w:val="en"/>
        </w:rPr>
        <w:t xml:space="preserve"> where</w:t>
      </w:r>
      <w:r>
        <w:t xml:space="preserve"> early childhood education professionals who work with children </w:t>
      </w:r>
      <w:r w:rsidR="00727644" w:rsidRPr="00727644">
        <w:rPr>
          <w:szCs w:val="24"/>
          <w:lang w:val="en"/>
        </w:rPr>
        <w:t xml:space="preserve">from </w:t>
      </w:r>
      <w:r>
        <w:t xml:space="preserve">birth to age </w:t>
      </w:r>
      <w:r w:rsidR="00727644" w:rsidRPr="00727644">
        <w:rPr>
          <w:szCs w:val="24"/>
          <w:lang w:val="en"/>
        </w:rPr>
        <w:t>eight can store and access</w:t>
      </w:r>
      <w:r>
        <w:t xml:space="preserve"> their education and employment history</w:t>
      </w:r>
      <w:r w:rsidR="00727644" w:rsidRPr="00727644">
        <w:rPr>
          <w:szCs w:val="24"/>
          <w:lang w:val="en"/>
        </w:rPr>
        <w:t xml:space="preserve">, as well as the </w:t>
      </w:r>
      <w:r w:rsidR="00C83BA2">
        <w:t>professional development</w:t>
      </w:r>
      <w:r>
        <w:t xml:space="preserve"> hours</w:t>
      </w:r>
      <w:r w:rsidR="00727644" w:rsidRPr="00727644">
        <w:rPr>
          <w:szCs w:val="24"/>
          <w:lang w:val="en"/>
        </w:rPr>
        <w:t xml:space="preserve"> they have completed</w:t>
      </w:r>
      <w:r w:rsidR="00727644">
        <w:rPr>
          <w:rFonts w:ascii="Arial" w:hAnsi="Arial" w:cs="Arial"/>
          <w:sz w:val="20"/>
          <w:szCs w:val="20"/>
          <w:lang w:val="en"/>
        </w:rPr>
        <w:t>.</w:t>
      </w:r>
      <w:r>
        <w:t xml:space="preserve"> TWR is administered by CLI</w:t>
      </w:r>
      <w:r w:rsidR="00C83BA2">
        <w:t xml:space="preserve"> and is open to all Texas early childhood education professionals.</w:t>
      </w:r>
    </w:p>
    <w:p w:rsidR="00CC5F18" w:rsidRDefault="00CC5F18" w:rsidP="00CC5F18">
      <w:r>
        <w:t xml:space="preserve">In March 2017, </w:t>
      </w:r>
      <w:r w:rsidR="00C83BA2">
        <w:t>a</w:t>
      </w:r>
      <w:r>
        <w:t xml:space="preserve"> pilot project for </w:t>
      </w:r>
      <w:r w:rsidR="00080AA2">
        <w:rPr>
          <w:szCs w:val="24"/>
        </w:rPr>
        <w:t>TWR</w:t>
      </w:r>
      <w:r w:rsidRPr="00046513">
        <w:rPr>
          <w:szCs w:val="24"/>
        </w:rPr>
        <w:t xml:space="preserve"> began in </w:t>
      </w:r>
      <w:r w:rsidR="00727644">
        <w:rPr>
          <w:szCs w:val="24"/>
        </w:rPr>
        <w:t>partnership with</w:t>
      </w:r>
      <w:r>
        <w:t xml:space="preserve"> Workforce </w:t>
      </w:r>
      <w:r w:rsidR="00727644">
        <w:rPr>
          <w:szCs w:val="24"/>
        </w:rPr>
        <w:t xml:space="preserve">Solutions for </w:t>
      </w:r>
      <w:r>
        <w:t>Tarrant County (WSTC)</w:t>
      </w:r>
      <w:r w:rsidR="00C83BA2">
        <w:t xml:space="preserve"> </w:t>
      </w:r>
      <w:r>
        <w:t xml:space="preserve">to support WSTC’s regional quality improvement initiatives and </w:t>
      </w:r>
      <w:r w:rsidR="00C83BA2">
        <w:t xml:space="preserve">to </w:t>
      </w:r>
      <w:r w:rsidR="00727644">
        <w:rPr>
          <w:szCs w:val="24"/>
        </w:rPr>
        <w:t>test</w:t>
      </w:r>
      <w:r w:rsidR="00C83BA2">
        <w:t xml:space="preserve"> the feasibility of </w:t>
      </w:r>
      <w:r>
        <w:t xml:space="preserve">a potential statewide rollout. </w:t>
      </w:r>
      <w:r w:rsidR="00727644">
        <w:rPr>
          <w:szCs w:val="24"/>
        </w:rPr>
        <w:t>Before</w:t>
      </w:r>
      <w:r w:rsidR="00C83BA2">
        <w:t xml:space="preserve"> the p</w:t>
      </w:r>
      <w:r>
        <w:t xml:space="preserve">ilot project, utilization of the TECPDS </w:t>
      </w:r>
      <w:r w:rsidR="00727644">
        <w:rPr>
          <w:szCs w:val="24"/>
        </w:rPr>
        <w:t>T</w:t>
      </w:r>
      <w:r>
        <w:t xml:space="preserve">WR was low, with </w:t>
      </w:r>
      <w:r w:rsidR="00727644">
        <w:rPr>
          <w:szCs w:val="24"/>
        </w:rPr>
        <w:t>fewer</w:t>
      </w:r>
      <w:r>
        <w:t xml:space="preserve"> than </w:t>
      </w:r>
      <w:r w:rsidR="00C83BA2">
        <w:t>500 accounts</w:t>
      </w:r>
      <w:r w:rsidR="00C83BA2" w:rsidRPr="00046513">
        <w:rPr>
          <w:szCs w:val="24"/>
        </w:rPr>
        <w:t>.</w:t>
      </w:r>
      <w:r w:rsidR="00C83BA2">
        <w:t xml:space="preserve"> </w:t>
      </w:r>
      <w:r>
        <w:t xml:space="preserve">As of November 2018, </w:t>
      </w:r>
      <w:r w:rsidR="00C83BA2">
        <w:t>TWR</w:t>
      </w:r>
      <w:r>
        <w:t xml:space="preserve"> houses </w:t>
      </w:r>
      <w:r w:rsidR="009630EC">
        <w:rPr>
          <w:szCs w:val="24"/>
        </w:rPr>
        <w:t>more than</w:t>
      </w:r>
      <w:r w:rsidR="00C83BA2">
        <w:t xml:space="preserve"> 7,500</w:t>
      </w:r>
      <w:r>
        <w:t xml:space="preserve"> user accou</w:t>
      </w:r>
      <w:r w:rsidR="00C83BA2">
        <w:t>nts</w:t>
      </w:r>
      <w:r w:rsidR="00B73FBD" w:rsidRPr="00B73FBD">
        <w:rPr>
          <w:szCs w:val="24"/>
        </w:rPr>
        <w:t xml:space="preserve"> </w:t>
      </w:r>
      <w:r w:rsidR="00B73FBD" w:rsidRPr="00046513">
        <w:rPr>
          <w:szCs w:val="24"/>
        </w:rPr>
        <w:t>state</w:t>
      </w:r>
      <w:r w:rsidR="00B73FBD">
        <w:rPr>
          <w:szCs w:val="24"/>
        </w:rPr>
        <w:t>wide</w:t>
      </w:r>
      <w:r>
        <w:t xml:space="preserve">.  </w:t>
      </w:r>
    </w:p>
    <w:p w:rsidR="00CC5F18" w:rsidRDefault="00CC5F18" w:rsidP="00CC5F18">
      <w:pPr>
        <w:pStyle w:val="Heading3"/>
      </w:pPr>
      <w:r>
        <w:t>CLI Engage</w:t>
      </w:r>
    </w:p>
    <w:p w:rsidR="00CC5F18" w:rsidRDefault="00CC5F18" w:rsidP="00CC5F18">
      <w:r>
        <w:t>CLI Engage is a comprehensive professional development and chil</w:t>
      </w:r>
      <w:r w:rsidR="00214281">
        <w:t xml:space="preserve">d progress monitoring platform that </w:t>
      </w:r>
      <w:r>
        <w:t>provides professional development content, child progress monitoring tools, and classroom observation tools. These resources help providers to implement developmentally appropriate, evidence-based curricula and to design learning environments that align with early learning guidelines. A partnership among TWC, CLI</w:t>
      </w:r>
      <w:r w:rsidR="00203D0A">
        <w:rPr>
          <w:szCs w:val="24"/>
        </w:rPr>
        <w:t>,</w:t>
      </w:r>
      <w:r>
        <w:t xml:space="preserve"> and TEA allows these online tools and resources to be available at no cost to all early childhood teachers at Texas public schools, TRS providers, and Head Start programs.</w:t>
      </w:r>
    </w:p>
    <w:p w:rsidR="00CC5F18" w:rsidRDefault="00CC5F18" w:rsidP="00CC5F18">
      <w:r>
        <w:t xml:space="preserve">As of </w:t>
      </w:r>
      <w:r w:rsidR="00214281">
        <w:t>September 2018,</w:t>
      </w:r>
      <w:r>
        <w:t xml:space="preserve"> </w:t>
      </w:r>
      <w:r w:rsidR="00171F99">
        <w:rPr>
          <w:szCs w:val="24"/>
        </w:rPr>
        <w:t>202</w:t>
      </w:r>
      <w:r>
        <w:t xml:space="preserve"> users completed online child care modules.</w:t>
      </w:r>
    </w:p>
    <w:p w:rsidR="00422378" w:rsidRDefault="00422378" w:rsidP="00422378">
      <w:pPr>
        <w:pStyle w:val="Heading3"/>
      </w:pPr>
      <w:r>
        <w:t>Strengthening Texas Rising Star Implementation</w:t>
      </w:r>
    </w:p>
    <w:p w:rsidR="00422378" w:rsidRDefault="00210D7B" w:rsidP="00422378">
      <w:r>
        <w:t xml:space="preserve">In 2017, CLI began a research-based </w:t>
      </w:r>
      <w:r w:rsidR="00422378">
        <w:t xml:space="preserve">project </w:t>
      </w:r>
      <w:r>
        <w:t>to</w:t>
      </w:r>
      <w:r w:rsidR="00422378">
        <w:t xml:space="preserve"> strengthen the implementation of TRS, ensure equitable distribution of quality ratings and </w:t>
      </w:r>
      <w:r w:rsidR="00C54D98">
        <w:t xml:space="preserve">enhanced </w:t>
      </w:r>
      <w:r w:rsidR="00422378">
        <w:t>reimbursement</w:t>
      </w:r>
      <w:r w:rsidR="00C54D98">
        <w:t xml:space="preserve"> rate</w:t>
      </w:r>
      <w:r w:rsidR="00422378">
        <w:t xml:space="preserve">s, and provide accurate assessments of quality for families and other stakeholders. </w:t>
      </w:r>
      <w:r w:rsidR="00C54D98">
        <w:t>Project</w:t>
      </w:r>
      <w:r w:rsidR="00422378">
        <w:t xml:space="preserve"> activities include:</w:t>
      </w:r>
    </w:p>
    <w:p w:rsidR="00422378" w:rsidRDefault="00422378" w:rsidP="00422378">
      <w:pPr>
        <w:pStyle w:val="ListParagraph"/>
        <w:numPr>
          <w:ilvl w:val="0"/>
          <w:numId w:val="15"/>
        </w:numPr>
      </w:pPr>
      <w:r>
        <w:t>An analysis of the validity and reliability of the TRS ass</w:t>
      </w:r>
      <w:r w:rsidR="00C54D98">
        <w:t>essment instrument</w:t>
      </w:r>
      <w:r w:rsidR="009B44DA">
        <w:rPr>
          <w:szCs w:val="24"/>
        </w:rPr>
        <w:t>;</w:t>
      </w:r>
    </w:p>
    <w:p w:rsidR="00422378" w:rsidRDefault="00422378" w:rsidP="00422378">
      <w:pPr>
        <w:pStyle w:val="ListParagraph"/>
        <w:numPr>
          <w:ilvl w:val="0"/>
          <w:numId w:val="15"/>
        </w:numPr>
      </w:pPr>
      <w:r>
        <w:t xml:space="preserve">development and implementation of a certification program for TRS assessors and mentors, </w:t>
      </w:r>
      <w:r w:rsidRPr="00046513">
        <w:rPr>
          <w:szCs w:val="24"/>
        </w:rPr>
        <w:t>includ</w:t>
      </w:r>
      <w:r w:rsidR="00EA0721">
        <w:rPr>
          <w:szCs w:val="24"/>
        </w:rPr>
        <w:t>ing</w:t>
      </w:r>
      <w:r>
        <w:t xml:space="preserve"> a competency-based </w:t>
      </w:r>
      <w:r w:rsidRPr="00046513">
        <w:rPr>
          <w:szCs w:val="24"/>
        </w:rPr>
        <w:t>microcredential</w:t>
      </w:r>
      <w:r>
        <w:t xml:space="preserve"> fo</w:t>
      </w:r>
      <w:r w:rsidR="00C54D98">
        <w:t>r TRS assessors and mentors</w:t>
      </w:r>
      <w:r w:rsidR="009B44DA">
        <w:rPr>
          <w:szCs w:val="24"/>
        </w:rPr>
        <w:t>; and</w:t>
      </w:r>
    </w:p>
    <w:p w:rsidR="00422378" w:rsidRDefault="00422378" w:rsidP="00422378">
      <w:pPr>
        <w:pStyle w:val="ListParagraph"/>
        <w:numPr>
          <w:ilvl w:val="0"/>
          <w:numId w:val="15"/>
        </w:numPr>
      </w:pPr>
      <w:r>
        <w:t>delivery of specialized technical assistance (</w:t>
      </w:r>
      <w:r w:rsidR="009B44DA">
        <w:rPr>
          <w:szCs w:val="24"/>
        </w:rPr>
        <w:t xml:space="preserve">for example, </w:t>
      </w:r>
      <w:r>
        <w:t>remo</w:t>
      </w:r>
      <w:r w:rsidR="00C54D98">
        <w:t xml:space="preserve">te coaching) to improve providers’ </w:t>
      </w:r>
      <w:r w:rsidR="009B44DA">
        <w:rPr>
          <w:szCs w:val="24"/>
        </w:rPr>
        <w:t>TRS</w:t>
      </w:r>
      <w:r w:rsidR="00C54D98">
        <w:t xml:space="preserve"> ratings</w:t>
      </w:r>
      <w:r w:rsidR="00080AA2">
        <w:rPr>
          <w:szCs w:val="24"/>
        </w:rPr>
        <w:t>.</w:t>
      </w:r>
    </w:p>
    <w:p w:rsidR="00422378" w:rsidRDefault="00EA0721" w:rsidP="00422378">
      <w:r>
        <w:rPr>
          <w:szCs w:val="24"/>
        </w:rPr>
        <w:t>CLI</w:t>
      </w:r>
      <w:r w:rsidR="009B44DA">
        <w:rPr>
          <w:szCs w:val="24"/>
        </w:rPr>
        <w:t xml:space="preserve"> will finish collecting data</w:t>
      </w:r>
      <w:r w:rsidR="00422378">
        <w:t xml:space="preserve"> for this project </w:t>
      </w:r>
      <w:r w:rsidR="00C54D98">
        <w:t>i</w:t>
      </w:r>
      <w:r w:rsidR="00422378">
        <w:t>n February 2019 and</w:t>
      </w:r>
      <w:r w:rsidR="00422378" w:rsidRPr="00046513">
        <w:rPr>
          <w:szCs w:val="24"/>
        </w:rPr>
        <w:t xml:space="preserve"> </w:t>
      </w:r>
      <w:r w:rsidR="009B44DA">
        <w:rPr>
          <w:szCs w:val="24"/>
        </w:rPr>
        <w:t>will publish</w:t>
      </w:r>
      <w:r w:rsidR="00422378">
        <w:t xml:space="preserve"> a full report later in the year.</w:t>
      </w:r>
    </w:p>
    <w:p w:rsidR="00B745C5" w:rsidRDefault="00B745C5" w:rsidP="00B745C5">
      <w:pPr>
        <w:pStyle w:val="Heading3"/>
      </w:pPr>
      <w:r>
        <w:t>ECDataWorks</w:t>
      </w:r>
    </w:p>
    <w:p w:rsidR="00C61CFF" w:rsidRPr="00046513" w:rsidRDefault="00C61CFF" w:rsidP="00C61CFF">
      <w:pPr>
        <w:rPr>
          <w:szCs w:val="24"/>
        </w:rPr>
      </w:pPr>
      <w:r w:rsidRPr="00046513">
        <w:rPr>
          <w:szCs w:val="24"/>
        </w:rPr>
        <w:t xml:space="preserve">ECDataWorks is a multiyear project that is supported by the W. K. Kellogg Foundation and </w:t>
      </w:r>
      <w:r>
        <w:rPr>
          <w:szCs w:val="24"/>
        </w:rPr>
        <w:t xml:space="preserve">is </w:t>
      </w:r>
      <w:r w:rsidRPr="00046513">
        <w:rPr>
          <w:szCs w:val="24"/>
        </w:rPr>
        <w:t>facilitated by the University of Pennsylvania’s Consortium for Policy Research in Education (CPRE) in collaboration with leading experts in the field.</w:t>
      </w:r>
    </w:p>
    <w:p w:rsidR="00F7779C" w:rsidRDefault="00AA14D2" w:rsidP="00F7779C">
      <w:r>
        <w:t xml:space="preserve">Beginning in early 2018, </w:t>
      </w:r>
      <w:r w:rsidR="00B745C5">
        <w:t>TWC partnered with TEA to participate in the ECDataWorks project. The ECDataWorks project team wo</w:t>
      </w:r>
      <w:r w:rsidR="00F7779C">
        <w:t>rks in a collaborative, outcome</w:t>
      </w:r>
      <w:r w:rsidR="00B745C5">
        <w:t>-driven manner to conceptualize and develop tools to facilitate the organization, delivery, and strategic use of existing early childhood data.</w:t>
      </w:r>
      <w:r w:rsidR="00F7779C">
        <w:t xml:space="preserve"> The initial web-based analytic tool</w:t>
      </w:r>
      <w:r w:rsidR="009B44DA">
        <w:rPr>
          <w:szCs w:val="24"/>
        </w:rPr>
        <w:t>—</w:t>
      </w:r>
      <w:r w:rsidR="00F7779C" w:rsidRPr="00F7779C">
        <w:rPr>
          <w:i/>
        </w:rPr>
        <w:t>Texas Ready Communities, Ready Schools, and Ready Students</w:t>
      </w:r>
      <w:r w:rsidR="00F7779C">
        <w:t xml:space="preserve"> (</w:t>
      </w:r>
      <w:r w:rsidR="00F7779C" w:rsidRPr="00F7779C">
        <w:t>TXR3</w:t>
      </w:r>
      <w:r w:rsidR="00F7779C" w:rsidRPr="00046513">
        <w:rPr>
          <w:szCs w:val="24"/>
        </w:rPr>
        <w:t>)</w:t>
      </w:r>
      <w:r w:rsidR="009B44DA">
        <w:rPr>
          <w:szCs w:val="24"/>
        </w:rPr>
        <w:t>—</w:t>
      </w:r>
      <w:r w:rsidR="00F7779C">
        <w:t xml:space="preserve">is </w:t>
      </w:r>
      <w:r w:rsidR="009B44DA">
        <w:rPr>
          <w:szCs w:val="24"/>
        </w:rPr>
        <w:t>being developed</w:t>
      </w:r>
      <w:r w:rsidR="00F7779C">
        <w:t xml:space="preserve"> and will be released in 2019.</w:t>
      </w:r>
    </w:p>
    <w:p w:rsidR="00F7779C" w:rsidRDefault="00F7779C" w:rsidP="00F7779C">
      <w:r>
        <w:t xml:space="preserve">TXR3 will help </w:t>
      </w:r>
      <w:r w:rsidR="00AA14D2">
        <w:t xml:space="preserve">decision-makers </w:t>
      </w:r>
      <w:r>
        <w:t xml:space="preserve">visualize how </w:t>
      </w:r>
      <w:r w:rsidR="00C61CFF">
        <w:rPr>
          <w:szCs w:val="24"/>
        </w:rPr>
        <w:t xml:space="preserve">well </w:t>
      </w:r>
      <w:r>
        <w:t>public prekindergarten, kindergarten</w:t>
      </w:r>
      <w:r w:rsidR="00AA14D2">
        <w:t>,</w:t>
      </w:r>
      <w:r>
        <w:t xml:space="preserve"> and </w:t>
      </w:r>
      <w:r w:rsidR="009B44DA">
        <w:rPr>
          <w:szCs w:val="24"/>
        </w:rPr>
        <w:t>TRS</w:t>
      </w:r>
      <w:r>
        <w:t xml:space="preserve"> </w:t>
      </w:r>
      <w:r w:rsidR="009E22FE">
        <w:t xml:space="preserve">schools and </w:t>
      </w:r>
      <w:r>
        <w:t xml:space="preserve">communities are </w:t>
      </w:r>
      <w:r w:rsidR="00C61CFF">
        <w:rPr>
          <w:szCs w:val="24"/>
        </w:rPr>
        <w:t>p</w:t>
      </w:r>
      <w:r>
        <w:t>re</w:t>
      </w:r>
      <w:r w:rsidR="00C61CFF">
        <w:rPr>
          <w:szCs w:val="24"/>
        </w:rPr>
        <w:t>p</w:t>
      </w:r>
      <w:r>
        <w:t>a</w:t>
      </w:r>
      <w:r w:rsidR="00C61CFF">
        <w:rPr>
          <w:szCs w:val="24"/>
        </w:rPr>
        <w:t>re</w:t>
      </w:r>
      <w:r>
        <w:t>d to educate children. The TXR3 tool provides insight into the professional development needs of communities and schools as equal partners in collaboratively educating and preparing children.</w:t>
      </w:r>
    </w:p>
    <w:p w:rsidR="00B745C5" w:rsidRDefault="00B745C5" w:rsidP="00B745C5">
      <w:pPr>
        <w:pStyle w:val="Heading3"/>
      </w:pPr>
      <w:r>
        <w:t>Collaborative Project: Planning for Individualized Instruction</w:t>
      </w:r>
    </w:p>
    <w:p w:rsidR="00422378" w:rsidRDefault="00AA14D2" w:rsidP="00AA14D2">
      <w:r>
        <w:t xml:space="preserve">TWC </w:t>
      </w:r>
      <w:r w:rsidR="00B745C5">
        <w:t>conti</w:t>
      </w:r>
      <w:r>
        <w:t>nues</w:t>
      </w:r>
      <w:r w:rsidR="00B745C5">
        <w:t xml:space="preserve"> to partner with T</w:t>
      </w:r>
      <w:r>
        <w:t>X</w:t>
      </w:r>
      <w:r w:rsidR="00B745C5">
        <w:t xml:space="preserve">AEYC in collaboration with Teaching Strategies to implement </w:t>
      </w:r>
      <w:r w:rsidR="0017472C">
        <w:rPr>
          <w:szCs w:val="24"/>
        </w:rPr>
        <w:t>a statewide</w:t>
      </w:r>
      <w:r w:rsidR="00B745C5">
        <w:t xml:space="preserve"> early childhood assessment project</w:t>
      </w:r>
      <w:r w:rsidR="00B745C5" w:rsidRPr="00046513">
        <w:rPr>
          <w:szCs w:val="24"/>
        </w:rPr>
        <w:t xml:space="preserve">. </w:t>
      </w:r>
      <w:r w:rsidR="0017472C">
        <w:rPr>
          <w:szCs w:val="24"/>
        </w:rPr>
        <w:t>I</w:t>
      </w:r>
      <w:r w:rsidR="0017472C" w:rsidRPr="00046513">
        <w:rPr>
          <w:szCs w:val="24"/>
        </w:rPr>
        <w:t>n FY’17</w:t>
      </w:r>
      <w:r w:rsidR="0017472C">
        <w:rPr>
          <w:szCs w:val="24"/>
        </w:rPr>
        <w:t>,</w:t>
      </w:r>
      <w:r w:rsidR="00B745C5">
        <w:t xml:space="preserve"> $750,000 was approved for </w:t>
      </w:r>
      <w:r w:rsidR="0017472C">
        <w:rPr>
          <w:szCs w:val="24"/>
        </w:rPr>
        <w:t>a two-</w:t>
      </w:r>
      <w:r w:rsidR="00974C2A" w:rsidRPr="00046513">
        <w:rPr>
          <w:szCs w:val="24"/>
        </w:rPr>
        <w:t>year</w:t>
      </w:r>
      <w:r w:rsidR="0017472C">
        <w:rPr>
          <w:szCs w:val="24"/>
        </w:rPr>
        <w:t xml:space="preserve"> term</w:t>
      </w:r>
      <w:r w:rsidR="00974C2A" w:rsidRPr="00046513">
        <w:rPr>
          <w:szCs w:val="24"/>
        </w:rPr>
        <w:t>.</w:t>
      </w:r>
      <w:r w:rsidR="00974C2A">
        <w:t xml:space="preserve"> At no cost to</w:t>
      </w:r>
      <w:r>
        <w:t xml:space="preserve"> </w:t>
      </w:r>
      <w:r w:rsidR="00B745C5">
        <w:t>providers</w:t>
      </w:r>
      <w:r w:rsidR="00974C2A">
        <w:t xml:space="preserve"> that serve subsidized children</w:t>
      </w:r>
      <w:r w:rsidR="00B745C5">
        <w:t xml:space="preserve">, Teaching Strategies provides </w:t>
      </w:r>
      <w:r w:rsidR="008B07F6" w:rsidRPr="00046513">
        <w:rPr>
          <w:szCs w:val="24"/>
        </w:rPr>
        <w:t>GOLD</w:t>
      </w:r>
      <w:r w:rsidR="008B07F6" w:rsidRPr="00A710B0">
        <w:rPr>
          <w:szCs w:val="24"/>
          <w:vertAlign w:val="superscript"/>
        </w:rPr>
        <w:t>®</w:t>
      </w:r>
      <w:r w:rsidR="008B07F6">
        <w:rPr>
          <w:szCs w:val="24"/>
        </w:rPr>
        <w:t xml:space="preserve">, an </w:t>
      </w:r>
      <w:r w:rsidR="00FB5CFE" w:rsidRPr="00FB5CFE">
        <w:rPr>
          <w:color w:val="000000"/>
          <w:szCs w:val="24"/>
        </w:rPr>
        <w:t>observation-based assessment system</w:t>
      </w:r>
      <w:r w:rsidR="00B745C5">
        <w:t xml:space="preserve"> that enable</w:t>
      </w:r>
      <w:r w:rsidR="008B07F6">
        <w:rPr>
          <w:szCs w:val="24"/>
        </w:rPr>
        <w:t>s</w:t>
      </w:r>
      <w:r w:rsidR="00B745C5">
        <w:t xml:space="preserve"> early childhood caregivers to assess the development and learning of children from birth to five years of age. Teaching Strategies trains caregivers to use the assessment tools, gather and report data, and use the data to offer care and instruction that is individualized according to each child’s strengths and needs. </w:t>
      </w:r>
      <w:r w:rsidR="0017472C">
        <w:rPr>
          <w:szCs w:val="24"/>
        </w:rPr>
        <w:t>C</w:t>
      </w:r>
      <w:r w:rsidR="00B745C5" w:rsidRPr="00046513">
        <w:rPr>
          <w:szCs w:val="24"/>
        </w:rPr>
        <w:t>urrently</w:t>
      </w:r>
      <w:r w:rsidR="0017472C">
        <w:rPr>
          <w:szCs w:val="24"/>
        </w:rPr>
        <w:t>,</w:t>
      </w:r>
      <w:r w:rsidR="00B745C5">
        <w:t xml:space="preserve"> 91 </w:t>
      </w:r>
      <w:r>
        <w:t>p</w:t>
      </w:r>
      <w:r w:rsidR="00B745C5">
        <w:t xml:space="preserve">rograms </w:t>
      </w:r>
      <w:r w:rsidR="0017472C">
        <w:rPr>
          <w:szCs w:val="24"/>
        </w:rPr>
        <w:t>participate, resulting in</w:t>
      </w:r>
      <w:r w:rsidR="00B745C5">
        <w:t xml:space="preserve"> 6,965 GOLD® </w:t>
      </w:r>
      <w:r>
        <w:t>c</w:t>
      </w:r>
      <w:r w:rsidR="00B745C5">
        <w:t xml:space="preserve">hild </w:t>
      </w:r>
      <w:r>
        <w:t>p</w:t>
      </w:r>
      <w:r w:rsidR="00B745C5">
        <w:t>ortfolios</w:t>
      </w:r>
      <w:r>
        <w:t>.</w:t>
      </w:r>
    </w:p>
    <w:p w:rsidR="00A770F0" w:rsidRDefault="00A770F0" w:rsidP="00A770F0">
      <w:pPr>
        <w:pStyle w:val="Heading3"/>
      </w:pPr>
      <w:r>
        <w:t xml:space="preserve">Texas Early Childhood Learning Summits </w:t>
      </w:r>
    </w:p>
    <w:p w:rsidR="00A770F0" w:rsidRDefault="00A770F0" w:rsidP="00A770F0">
      <w:r>
        <w:t xml:space="preserve">In partnership with the Office of the Governor and TEA, TWC approved funding in </w:t>
      </w:r>
      <w:r w:rsidRPr="00046513">
        <w:rPr>
          <w:szCs w:val="24"/>
        </w:rPr>
        <w:t>FY’17</w:t>
      </w:r>
      <w:r>
        <w:t xml:space="preserve"> of $700,000 for </w:t>
      </w:r>
      <w:r w:rsidR="00AA14D2">
        <w:t xml:space="preserve">two annual </w:t>
      </w:r>
      <w:r>
        <w:t xml:space="preserve">statewide </w:t>
      </w:r>
      <w:r w:rsidR="009E22FE">
        <w:t>summits</w:t>
      </w:r>
      <w:r>
        <w:t xml:space="preserve"> tailored to the needs of early childhood educators an</w:t>
      </w:r>
      <w:r w:rsidR="00AA14D2">
        <w:t>d caregivers. Attendees included</w:t>
      </w:r>
      <w:r>
        <w:t xml:space="preserve"> certified teachers</w:t>
      </w:r>
      <w:r w:rsidR="008B07F6">
        <w:rPr>
          <w:szCs w:val="24"/>
        </w:rPr>
        <w:t xml:space="preserve"> and</w:t>
      </w:r>
      <w:r>
        <w:t xml:space="preserve"> school campus and district administrators as well as child care staff, administrators, and </w:t>
      </w:r>
      <w:r w:rsidR="008B07F6">
        <w:rPr>
          <w:szCs w:val="24"/>
        </w:rPr>
        <w:t xml:space="preserve">facility </w:t>
      </w:r>
      <w:r>
        <w:t xml:space="preserve">owners. Goals of the </w:t>
      </w:r>
      <w:r w:rsidR="006150A5">
        <w:rPr>
          <w:szCs w:val="24"/>
        </w:rPr>
        <w:t>summit</w:t>
      </w:r>
      <w:r w:rsidR="00A3636D">
        <w:rPr>
          <w:szCs w:val="24"/>
        </w:rPr>
        <w:t>s</w:t>
      </w:r>
      <w:r>
        <w:t xml:space="preserve"> include</w:t>
      </w:r>
      <w:r w:rsidR="00AA14D2">
        <w:t xml:space="preserve"> the following</w:t>
      </w:r>
      <w:r>
        <w:t>:</w:t>
      </w:r>
    </w:p>
    <w:p w:rsidR="00A770F0" w:rsidRDefault="00A770F0" w:rsidP="00A770F0">
      <w:pPr>
        <w:pStyle w:val="ListParagraph"/>
        <w:numPr>
          <w:ilvl w:val="0"/>
          <w:numId w:val="17"/>
        </w:numPr>
      </w:pPr>
      <w:r>
        <w:t>Support the increased professional development needs o</w:t>
      </w:r>
      <w:r w:rsidR="00AA14D2">
        <w:t>f early learning professionals</w:t>
      </w:r>
    </w:p>
    <w:p w:rsidR="00A770F0" w:rsidRDefault="00A770F0" w:rsidP="00A770F0">
      <w:pPr>
        <w:pStyle w:val="ListParagraph"/>
        <w:numPr>
          <w:ilvl w:val="0"/>
          <w:numId w:val="17"/>
        </w:numPr>
      </w:pPr>
      <w:r>
        <w:t>Equip child care providers, school districts, and teachers with information, tools, and resource</w:t>
      </w:r>
      <w:r w:rsidR="00AA14D2">
        <w:t xml:space="preserve">s </w:t>
      </w:r>
    </w:p>
    <w:p w:rsidR="00A770F0" w:rsidRDefault="00A770F0" w:rsidP="00A770F0">
      <w:pPr>
        <w:pStyle w:val="ListParagraph"/>
        <w:numPr>
          <w:ilvl w:val="0"/>
          <w:numId w:val="17"/>
        </w:numPr>
      </w:pPr>
      <w:r>
        <w:t>Improv</w:t>
      </w:r>
      <w:r w:rsidR="008B07F6">
        <w:rPr>
          <w:szCs w:val="24"/>
        </w:rPr>
        <w:t>e</w:t>
      </w:r>
      <w:r>
        <w:t xml:space="preserve"> the quality of </w:t>
      </w:r>
      <w:r w:rsidR="008B07F6">
        <w:rPr>
          <w:szCs w:val="24"/>
        </w:rPr>
        <w:t>children’s</w:t>
      </w:r>
      <w:r w:rsidRPr="00046513">
        <w:rPr>
          <w:szCs w:val="24"/>
        </w:rPr>
        <w:t xml:space="preserve"> </w:t>
      </w:r>
      <w:r>
        <w:t>prekinderga</w:t>
      </w:r>
      <w:r w:rsidR="00AA14D2">
        <w:t>rten and early care experiences</w:t>
      </w:r>
    </w:p>
    <w:p w:rsidR="00AA14D2" w:rsidRDefault="00A770F0" w:rsidP="00A770F0">
      <w:bookmarkStart w:id="3" w:name="_Hlk532560428"/>
      <w:r>
        <w:t>The 20</w:t>
      </w:r>
      <w:r w:rsidR="00AA14D2">
        <w:t>17 Summit offered 47 different session</w:t>
      </w:r>
      <w:r w:rsidR="008B07F6">
        <w:rPr>
          <w:szCs w:val="24"/>
        </w:rPr>
        <w:t>s</w:t>
      </w:r>
      <w:r w:rsidR="00AA14D2">
        <w:t xml:space="preserve"> to 802 attendees</w:t>
      </w:r>
      <w:r w:rsidR="002F1999">
        <w:rPr>
          <w:szCs w:val="24"/>
        </w:rPr>
        <w:t>, of which</w:t>
      </w:r>
      <w:r w:rsidR="00AA14D2">
        <w:t>:</w:t>
      </w:r>
    </w:p>
    <w:p w:rsidR="00AA14D2" w:rsidRDefault="00AA14D2" w:rsidP="00AA14D2">
      <w:pPr>
        <w:pStyle w:val="ListParagraph"/>
        <w:numPr>
          <w:ilvl w:val="0"/>
          <w:numId w:val="18"/>
        </w:numPr>
      </w:pPr>
      <w:r>
        <w:t>42</w:t>
      </w:r>
      <w:r w:rsidR="002F1999" w:rsidRPr="00F57070">
        <w:rPr>
          <w:szCs w:val="24"/>
        </w:rPr>
        <w:t xml:space="preserve"> percent were</w:t>
      </w:r>
      <w:r>
        <w:t xml:space="preserve"> c</w:t>
      </w:r>
      <w:r w:rsidR="00A770F0">
        <w:t xml:space="preserve">hild </w:t>
      </w:r>
      <w:r>
        <w:t>c</w:t>
      </w:r>
      <w:r w:rsidR="00A770F0">
        <w:t>are</w:t>
      </w:r>
      <w:r>
        <w:t xml:space="preserve"> teachers, directors, and owners</w:t>
      </w:r>
      <w:r w:rsidR="002F1999" w:rsidRPr="00F57070">
        <w:rPr>
          <w:szCs w:val="24"/>
        </w:rPr>
        <w:t>;</w:t>
      </w:r>
    </w:p>
    <w:p w:rsidR="00AA14D2" w:rsidRDefault="00A770F0" w:rsidP="00AA14D2">
      <w:pPr>
        <w:pStyle w:val="ListParagraph"/>
        <w:numPr>
          <w:ilvl w:val="0"/>
          <w:numId w:val="18"/>
        </w:numPr>
      </w:pPr>
      <w:r>
        <w:t>48</w:t>
      </w:r>
      <w:r w:rsidR="002F1999" w:rsidRPr="00F57070">
        <w:rPr>
          <w:szCs w:val="24"/>
        </w:rPr>
        <w:t xml:space="preserve"> percent were</w:t>
      </w:r>
      <w:r w:rsidR="00AA14D2">
        <w:t xml:space="preserve"> school district </w:t>
      </w:r>
      <w:r w:rsidR="00AA14D2" w:rsidRPr="00F57070">
        <w:rPr>
          <w:szCs w:val="24"/>
        </w:rPr>
        <w:t>prekindergarten</w:t>
      </w:r>
      <w:r w:rsidR="00AA14D2">
        <w:t xml:space="preserve"> teachers and administrators</w:t>
      </w:r>
      <w:r w:rsidR="002F1999" w:rsidRPr="00F57070">
        <w:rPr>
          <w:szCs w:val="24"/>
        </w:rPr>
        <w:t>; and</w:t>
      </w:r>
    </w:p>
    <w:p w:rsidR="00AA14D2" w:rsidRDefault="00132F6E" w:rsidP="00AA14D2">
      <w:pPr>
        <w:pStyle w:val="ListParagraph"/>
        <w:numPr>
          <w:ilvl w:val="0"/>
          <w:numId w:val="18"/>
        </w:numPr>
      </w:pPr>
      <w:r w:rsidRPr="00F57070">
        <w:rPr>
          <w:szCs w:val="24"/>
        </w:rPr>
        <w:t>10</w:t>
      </w:r>
      <w:r w:rsidR="002F1999" w:rsidRPr="00F57070">
        <w:rPr>
          <w:szCs w:val="24"/>
        </w:rPr>
        <w:t xml:space="preserve"> percent were</w:t>
      </w:r>
      <w:r w:rsidR="00AA14D2">
        <w:t xml:space="preserve"> o</w:t>
      </w:r>
      <w:r w:rsidR="00A770F0">
        <w:t>ther</w:t>
      </w:r>
      <w:r w:rsidR="00AA14D2">
        <w:t xml:space="preserve"> early childhood professionals</w:t>
      </w:r>
      <w:r w:rsidR="002F1999" w:rsidRPr="00F57070">
        <w:rPr>
          <w:szCs w:val="24"/>
        </w:rPr>
        <w:t>,</w:t>
      </w:r>
      <w:r w:rsidR="00AA14D2">
        <w:t xml:space="preserve"> including Board and TRS staff</w:t>
      </w:r>
      <w:r w:rsidR="002F1999" w:rsidRPr="00F57070">
        <w:rPr>
          <w:szCs w:val="24"/>
        </w:rPr>
        <w:t>.</w:t>
      </w:r>
      <w:r w:rsidR="00A770F0">
        <w:t xml:space="preserve"> </w:t>
      </w:r>
    </w:p>
    <w:bookmarkEnd w:id="3"/>
    <w:p w:rsidR="00AA14D2" w:rsidRDefault="00A770F0" w:rsidP="00AA14D2">
      <w:r>
        <w:t>The 20</w:t>
      </w:r>
      <w:r w:rsidR="00AA14D2">
        <w:t xml:space="preserve">18 Summit </w:t>
      </w:r>
      <w:r w:rsidR="002F1999">
        <w:rPr>
          <w:szCs w:val="24"/>
        </w:rPr>
        <w:t xml:space="preserve">offered </w:t>
      </w:r>
      <w:r w:rsidR="00AA14D2">
        <w:t>59 different training sessions to 581 attendees</w:t>
      </w:r>
      <w:r w:rsidR="002F1999">
        <w:rPr>
          <w:szCs w:val="24"/>
        </w:rPr>
        <w:t>, of which</w:t>
      </w:r>
      <w:r w:rsidR="00AA14D2">
        <w:t>:</w:t>
      </w:r>
    </w:p>
    <w:p w:rsidR="00AA14D2" w:rsidRDefault="00AA14D2" w:rsidP="00AA14D2">
      <w:pPr>
        <w:pStyle w:val="ListParagraph"/>
        <w:numPr>
          <w:ilvl w:val="0"/>
          <w:numId w:val="19"/>
        </w:numPr>
      </w:pPr>
      <w:r>
        <w:t>50</w:t>
      </w:r>
      <w:r w:rsidR="009D5667">
        <w:rPr>
          <w:szCs w:val="24"/>
        </w:rPr>
        <w:t xml:space="preserve"> percent</w:t>
      </w:r>
      <w:r w:rsidRPr="00046513">
        <w:rPr>
          <w:szCs w:val="24"/>
        </w:rPr>
        <w:t xml:space="preserve"> </w:t>
      </w:r>
      <w:r w:rsidR="002F1999">
        <w:rPr>
          <w:szCs w:val="24"/>
        </w:rPr>
        <w:t>were</w:t>
      </w:r>
      <w:r>
        <w:t xml:space="preserve"> c</w:t>
      </w:r>
      <w:r w:rsidR="00A770F0">
        <w:t xml:space="preserve">hild </w:t>
      </w:r>
      <w:r>
        <w:t>c</w:t>
      </w:r>
      <w:r w:rsidR="00A770F0">
        <w:t>are</w:t>
      </w:r>
      <w:r>
        <w:t xml:space="preserve"> teachers, directors</w:t>
      </w:r>
      <w:r w:rsidR="00A770F0">
        <w:t>,</w:t>
      </w:r>
      <w:r>
        <w:t xml:space="preserve"> and </w:t>
      </w:r>
      <w:r w:rsidR="009D5667">
        <w:rPr>
          <w:szCs w:val="24"/>
        </w:rPr>
        <w:t xml:space="preserve">facility </w:t>
      </w:r>
      <w:r>
        <w:t>owners</w:t>
      </w:r>
      <w:r w:rsidR="009D5667">
        <w:rPr>
          <w:szCs w:val="24"/>
        </w:rPr>
        <w:t>;</w:t>
      </w:r>
      <w:r w:rsidR="00A770F0">
        <w:t xml:space="preserve"> </w:t>
      </w:r>
    </w:p>
    <w:p w:rsidR="00AA14D2" w:rsidRDefault="00A770F0" w:rsidP="00AA14D2">
      <w:pPr>
        <w:pStyle w:val="ListParagraph"/>
        <w:numPr>
          <w:ilvl w:val="0"/>
          <w:numId w:val="19"/>
        </w:numPr>
      </w:pPr>
      <w:r>
        <w:t>42</w:t>
      </w:r>
      <w:r w:rsidR="009D5667">
        <w:rPr>
          <w:szCs w:val="24"/>
        </w:rPr>
        <w:t xml:space="preserve"> percent</w:t>
      </w:r>
      <w:r w:rsidR="00AA14D2" w:rsidRPr="00046513">
        <w:rPr>
          <w:szCs w:val="24"/>
        </w:rPr>
        <w:t xml:space="preserve"> </w:t>
      </w:r>
      <w:r w:rsidR="002F1999">
        <w:rPr>
          <w:szCs w:val="24"/>
        </w:rPr>
        <w:t>were</w:t>
      </w:r>
      <w:r w:rsidR="00AA14D2">
        <w:t xml:space="preserve"> school district </w:t>
      </w:r>
      <w:r w:rsidR="00AA14D2" w:rsidRPr="00046513">
        <w:rPr>
          <w:szCs w:val="24"/>
        </w:rPr>
        <w:t>prekindergarten</w:t>
      </w:r>
      <w:r w:rsidR="00AA14D2">
        <w:t xml:space="preserve"> teachers and administrators</w:t>
      </w:r>
      <w:r w:rsidR="009D5667">
        <w:rPr>
          <w:szCs w:val="24"/>
        </w:rPr>
        <w:t>; and</w:t>
      </w:r>
    </w:p>
    <w:p w:rsidR="00B745C5" w:rsidRDefault="00AA14D2" w:rsidP="00AA14D2">
      <w:pPr>
        <w:pStyle w:val="ListParagraph"/>
        <w:numPr>
          <w:ilvl w:val="0"/>
          <w:numId w:val="19"/>
        </w:numPr>
      </w:pPr>
      <w:r>
        <w:t>8</w:t>
      </w:r>
      <w:r w:rsidR="009D5667">
        <w:rPr>
          <w:szCs w:val="24"/>
        </w:rPr>
        <w:t xml:space="preserve"> percent</w:t>
      </w:r>
      <w:r w:rsidRPr="00046513">
        <w:rPr>
          <w:szCs w:val="24"/>
        </w:rPr>
        <w:t xml:space="preserve"> </w:t>
      </w:r>
      <w:r w:rsidR="002F1999">
        <w:rPr>
          <w:szCs w:val="24"/>
        </w:rPr>
        <w:t>were</w:t>
      </w:r>
      <w:r>
        <w:t xml:space="preserve"> other early childhood professionals</w:t>
      </w:r>
      <w:r w:rsidR="009D5667">
        <w:rPr>
          <w:szCs w:val="24"/>
        </w:rPr>
        <w:t>,</w:t>
      </w:r>
      <w:r>
        <w:t xml:space="preserve"> including Board and TRS staff</w:t>
      </w:r>
      <w:r w:rsidR="009D5667">
        <w:rPr>
          <w:szCs w:val="24"/>
        </w:rPr>
        <w:t>.</w:t>
      </w:r>
    </w:p>
    <w:p w:rsidR="008D2D96" w:rsidRDefault="008D2D96" w:rsidP="008D2D96">
      <w:pPr>
        <w:pStyle w:val="Heading3"/>
      </w:pPr>
      <w:r>
        <w:t xml:space="preserve">Improving Care for Infants and Toddlers </w:t>
      </w:r>
    </w:p>
    <w:p w:rsidR="008D2D96" w:rsidRDefault="008D2D96" w:rsidP="008D2D96">
      <w:r>
        <w:t>TWC appr</w:t>
      </w:r>
      <w:r w:rsidR="008B277E">
        <w:t>oved funding of $800,000 in FY’</w:t>
      </w:r>
      <w:r>
        <w:t xml:space="preserve">17 for </w:t>
      </w:r>
      <w:r w:rsidR="009D5667">
        <w:rPr>
          <w:szCs w:val="24"/>
        </w:rPr>
        <w:t>a two-year term</w:t>
      </w:r>
      <w:r>
        <w:t xml:space="preserve"> to TEA to be used by CLI to improve the quality of infant and toddler care and to assist providers with developmental screenings for infants and toddlers. A series of web-based training modules were developed </w:t>
      </w:r>
      <w:r w:rsidR="005678A7">
        <w:rPr>
          <w:szCs w:val="24"/>
        </w:rPr>
        <w:t>focused on</w:t>
      </w:r>
      <w:r>
        <w:t xml:space="preserve"> early learning guidelines, social and emotional skills, and cognitive development. The modules provide caregivers with lessons that promote child development across all early learning domains. Additionally, the modules include developmental checklists that allow caregivers to screen for developmental delays against important milestones.</w:t>
      </w:r>
    </w:p>
    <w:p w:rsidR="008D2D96" w:rsidRDefault="008D2D96" w:rsidP="0035055B">
      <w:pPr>
        <w:pStyle w:val="Heading2"/>
      </w:pPr>
      <w:r>
        <w:t>Interagency Workgroups</w:t>
      </w:r>
    </w:p>
    <w:p w:rsidR="008D2D96" w:rsidRDefault="008D2D96" w:rsidP="008D2D96">
      <w:r>
        <w:t>TWC collaborates with Head Start, TEA, DFPS, HHSC</w:t>
      </w:r>
      <w:r w:rsidR="000F039F">
        <w:rPr>
          <w:szCs w:val="24"/>
        </w:rPr>
        <w:t>,</w:t>
      </w:r>
      <w:r>
        <w:t xml:space="preserve"> and </w:t>
      </w:r>
      <w:r w:rsidRPr="00046513">
        <w:rPr>
          <w:szCs w:val="24"/>
        </w:rPr>
        <w:t>other</w:t>
      </w:r>
      <w:r w:rsidR="000F039F">
        <w:rPr>
          <w:szCs w:val="24"/>
        </w:rPr>
        <w:t xml:space="preserve"> organizations</w:t>
      </w:r>
      <w:r>
        <w:t xml:space="preserve"> through a variety of interagency workgroups.</w:t>
      </w:r>
    </w:p>
    <w:p w:rsidR="008D2D96" w:rsidRPr="008D2D96" w:rsidRDefault="008D2D96" w:rsidP="008D2D96">
      <w:pPr>
        <w:pStyle w:val="Heading3"/>
      </w:pPr>
      <w:r w:rsidRPr="008D2D96">
        <w:t>The Texas Early Childhood Professional Development System</w:t>
      </w:r>
    </w:p>
    <w:p w:rsidR="008D2D96" w:rsidRDefault="008D2D96" w:rsidP="008D2D96">
      <w:r>
        <w:t>TWC participates in the Texas Head Start State Collaboration Office’s Texas Early Childhood Professional Development System (TECPDS). The goal of TECPDS is to ensure that high-quality professional development opportunities are available statewide to individuals working in early child care and education.</w:t>
      </w:r>
    </w:p>
    <w:p w:rsidR="008D2D96" w:rsidRDefault="008D2D96" w:rsidP="008D2D96">
      <w:pPr>
        <w:pStyle w:val="Heading3"/>
      </w:pPr>
      <w:r>
        <w:t>Early Childhood Health and Nutrition Interagency Council</w:t>
      </w:r>
    </w:p>
    <w:p w:rsidR="008D2D96" w:rsidRDefault="008D2D96" w:rsidP="008D2D96">
      <w:r>
        <w:t>Pursuant to Texas Health and Safety Code §116.003</w:t>
      </w:r>
      <w:r w:rsidR="00727EE4" w:rsidRPr="00727EE4">
        <w:t>—</w:t>
      </w:r>
      <w:r w:rsidRPr="00727EE4">
        <w:t>SB</w:t>
      </w:r>
      <w:r w:rsidR="00727EE4" w:rsidRPr="00727EE4">
        <w:t xml:space="preserve"> </w:t>
      </w:r>
      <w:r w:rsidRPr="00727EE4">
        <w:t>395</w:t>
      </w:r>
      <w:r>
        <w:t>, 81st Texas Legislature, Regular Session</w:t>
      </w:r>
      <w:r w:rsidR="00727EE4" w:rsidRPr="00727EE4">
        <w:t xml:space="preserve"> (2009)</w:t>
      </w:r>
      <w:r w:rsidRPr="00727EE4">
        <w:t>,</w:t>
      </w:r>
      <w:r>
        <w:t xml:space="preserve"> TWC participated as a subject matter expert for </w:t>
      </w:r>
      <w:r w:rsidR="00727EE4" w:rsidRPr="00727EE4">
        <w:t>TRS</w:t>
      </w:r>
      <w:r>
        <w:t xml:space="preserve"> and Texas’ child car</w:t>
      </w:r>
      <w:r w:rsidR="006C6A09">
        <w:t xml:space="preserve">e and early education systems. </w:t>
      </w:r>
      <w:r>
        <w:t>The purpose</w:t>
      </w:r>
      <w:r w:rsidRPr="00727EE4">
        <w:t xml:space="preserve"> </w:t>
      </w:r>
      <w:r w:rsidR="00727EE4">
        <w:t xml:space="preserve">of the </w:t>
      </w:r>
      <w:r w:rsidR="00727EE4" w:rsidRPr="00727EE4">
        <w:t>Early Childhood Health and Nutrition Interagency Council</w:t>
      </w:r>
      <w:r>
        <w:t xml:space="preserve"> was to improve the health of Texas infants and children under the age of six by reviewing current resear</w:t>
      </w:r>
      <w:r w:rsidR="006C6A09">
        <w:t xml:space="preserve">ch and making recommendations. </w:t>
      </w:r>
      <w:r>
        <w:t xml:space="preserve">The council centralized its efforts to combat childhood obesity and address malnutrition and undernourishment (nutrition and breastfeeding). The council provided a final report </w:t>
      </w:r>
      <w:r w:rsidR="00116A81">
        <w:t xml:space="preserve">in </w:t>
      </w:r>
      <w:r>
        <w:t>November 2018.</w:t>
      </w:r>
    </w:p>
    <w:p w:rsidR="008D2D96" w:rsidRDefault="008D2D96" w:rsidP="008D2D96">
      <w:pPr>
        <w:pStyle w:val="Heading3"/>
      </w:pPr>
      <w:r>
        <w:t>Project LAUNCH Early Childhood Committee</w:t>
      </w:r>
    </w:p>
    <w:p w:rsidR="008D2D96" w:rsidRDefault="008D2D96" w:rsidP="008D2D96">
      <w:r w:rsidRPr="00046513">
        <w:rPr>
          <w:szCs w:val="24"/>
        </w:rPr>
        <w:t xml:space="preserve">The purpose of </w:t>
      </w:r>
      <w:r w:rsidR="00477593" w:rsidRPr="00477593">
        <w:t xml:space="preserve">Project LAUNCH (Linking Actions for Unmet Needs in Children’s Health) </w:t>
      </w:r>
      <w:r w:rsidR="00477593">
        <w:t xml:space="preserve">is </w:t>
      </w:r>
      <w:r>
        <w:t xml:space="preserve">to promote the wellness of children </w:t>
      </w:r>
      <w:r w:rsidR="00727EE4">
        <w:rPr>
          <w:szCs w:val="24"/>
        </w:rPr>
        <w:t>from</w:t>
      </w:r>
      <w:r>
        <w:t xml:space="preserve"> birth to </w:t>
      </w:r>
      <w:r w:rsidR="00727EE4">
        <w:rPr>
          <w:szCs w:val="24"/>
        </w:rPr>
        <w:t>eight years of age</w:t>
      </w:r>
      <w:r>
        <w:t xml:space="preserve"> by addressing the physical, social, emotional, cognitive, and behavioral aspects of their development. Project LAUNCH’s core strategies are </w:t>
      </w:r>
      <w:r w:rsidR="00727EE4">
        <w:rPr>
          <w:szCs w:val="24"/>
        </w:rPr>
        <w:t>carried out by</w:t>
      </w:r>
      <w:r>
        <w:t xml:space="preserve"> four workgroups: Family Strengthening, Developmental Screening, Mental Health Consultation, and Workforce Development. TWC participates in the Developmental Screening and Workforce Development workgroups as subject matter experts for </w:t>
      </w:r>
      <w:r w:rsidR="00727EE4">
        <w:rPr>
          <w:szCs w:val="24"/>
        </w:rPr>
        <w:t>TRS</w:t>
      </w:r>
      <w:r w:rsidRPr="00046513">
        <w:rPr>
          <w:szCs w:val="24"/>
        </w:rPr>
        <w:t xml:space="preserve"> and</w:t>
      </w:r>
      <w:r w:rsidR="005678A7">
        <w:t xml:space="preserve"> B</w:t>
      </w:r>
      <w:r>
        <w:t>oards.</w:t>
      </w:r>
    </w:p>
    <w:p w:rsidR="008D2D96" w:rsidRDefault="00116A81" w:rsidP="008D2D96">
      <w:pPr>
        <w:pStyle w:val="Heading3"/>
      </w:pPr>
      <w:r>
        <w:t xml:space="preserve">Texas </w:t>
      </w:r>
      <w:r w:rsidR="008D2D96">
        <w:t>Early Childhood Suspension and Expulsion Stakeholder Group</w:t>
      </w:r>
    </w:p>
    <w:p w:rsidR="008D2D96" w:rsidRDefault="008D2D96" w:rsidP="008D2D96">
      <w:r>
        <w:t xml:space="preserve">The Texas Early Childhood Suspension and Expulsion Stakeholder Group is a </w:t>
      </w:r>
      <w:r w:rsidR="00727EE4">
        <w:rPr>
          <w:szCs w:val="24"/>
        </w:rPr>
        <w:t xml:space="preserve">statewide </w:t>
      </w:r>
      <w:r>
        <w:t>workgroup of early childhood stakeholders</w:t>
      </w:r>
      <w:r w:rsidRPr="00046513">
        <w:rPr>
          <w:szCs w:val="24"/>
        </w:rPr>
        <w:t>.</w:t>
      </w:r>
      <w:r>
        <w:t xml:space="preserve"> The workgroup includes representative</w:t>
      </w:r>
      <w:r w:rsidR="00477593">
        <w:t>s from the Texas LAUNCH Project</w:t>
      </w:r>
      <w:r w:rsidRPr="00046513">
        <w:rPr>
          <w:szCs w:val="24"/>
        </w:rPr>
        <w:t xml:space="preserve"> (a collaboration between the</w:t>
      </w:r>
      <w:r w:rsidR="00477593">
        <w:t xml:space="preserve"> </w:t>
      </w:r>
      <w:r>
        <w:t xml:space="preserve">Texas </w:t>
      </w:r>
      <w:r w:rsidRPr="00046513">
        <w:rPr>
          <w:szCs w:val="24"/>
        </w:rPr>
        <w:t xml:space="preserve">Department of State </w:t>
      </w:r>
      <w:r>
        <w:t xml:space="preserve">Health Services </w:t>
      </w:r>
      <w:r w:rsidR="00220F42">
        <w:rPr>
          <w:szCs w:val="24"/>
        </w:rPr>
        <w:t>(DSHS)</w:t>
      </w:r>
      <w:r w:rsidR="00727EE4">
        <w:rPr>
          <w:szCs w:val="24"/>
        </w:rPr>
        <w:t>—</w:t>
      </w:r>
      <w:r w:rsidRPr="00046513">
        <w:rPr>
          <w:szCs w:val="24"/>
        </w:rPr>
        <w:t xml:space="preserve">Maternal and </w:t>
      </w:r>
      <w:r>
        <w:t xml:space="preserve">Child </w:t>
      </w:r>
      <w:r w:rsidRPr="00046513">
        <w:rPr>
          <w:szCs w:val="24"/>
        </w:rPr>
        <w:t xml:space="preserve">Health, University of Texas at Austin, and Aliviane, Inc.), TEA, Texas </w:t>
      </w:r>
      <w:r w:rsidR="00727EE4">
        <w:rPr>
          <w:szCs w:val="24"/>
        </w:rPr>
        <w:t>HHSC—</w:t>
      </w:r>
      <w:r w:rsidRPr="00046513">
        <w:rPr>
          <w:szCs w:val="24"/>
        </w:rPr>
        <w:t xml:space="preserve">Child </w:t>
      </w:r>
      <w:r>
        <w:t>Care Licensing</w:t>
      </w:r>
      <w:r w:rsidRPr="00046513">
        <w:rPr>
          <w:szCs w:val="24"/>
        </w:rPr>
        <w:t xml:space="preserve">, </w:t>
      </w:r>
      <w:r w:rsidR="00727EE4">
        <w:rPr>
          <w:szCs w:val="24"/>
        </w:rPr>
        <w:t>TWC</w:t>
      </w:r>
      <w:r w:rsidRPr="00046513">
        <w:rPr>
          <w:szCs w:val="24"/>
        </w:rPr>
        <w:t xml:space="preserve">, </w:t>
      </w:r>
      <w:r w:rsidR="00727EE4">
        <w:rPr>
          <w:szCs w:val="24"/>
        </w:rPr>
        <w:t>the</w:t>
      </w:r>
      <w:r>
        <w:t xml:space="preserve"> Texas Head Start </w:t>
      </w:r>
      <w:r w:rsidR="00756BCB">
        <w:rPr>
          <w:szCs w:val="24"/>
        </w:rPr>
        <w:t>State</w:t>
      </w:r>
      <w:r w:rsidRPr="00046513">
        <w:rPr>
          <w:szCs w:val="24"/>
        </w:rPr>
        <w:t xml:space="preserve"> </w:t>
      </w:r>
      <w:r>
        <w:t xml:space="preserve">Collaboration Office, Texans Care for Children, local </w:t>
      </w:r>
      <w:r w:rsidR="00727EE4">
        <w:rPr>
          <w:szCs w:val="24"/>
        </w:rPr>
        <w:t>ISD</w:t>
      </w:r>
      <w:r>
        <w:t xml:space="preserve"> administrators, and child care providers. The workgroup created the Texas Early Childhood Suspension and Expulsion Matrix (TECSEM), a </w:t>
      </w:r>
      <w:r w:rsidRPr="00046513">
        <w:rPr>
          <w:szCs w:val="24"/>
        </w:rPr>
        <w:t>crosswalk</w:t>
      </w:r>
      <w:r>
        <w:t xml:space="preserve"> and overview of federal and state agency policies and efforts related to suspension and expulsion. TECSEM provides a snapshot of statewide efforts related to the suspension and expulsion of young children </w:t>
      </w:r>
      <w:r w:rsidRPr="00046513">
        <w:rPr>
          <w:szCs w:val="24"/>
        </w:rPr>
        <w:t xml:space="preserve">to </w:t>
      </w:r>
      <w:r w:rsidR="00727EE4">
        <w:rPr>
          <w:szCs w:val="24"/>
        </w:rPr>
        <w:t>streamline</w:t>
      </w:r>
      <w:r>
        <w:t xml:space="preserve"> efforts and support collaboration across early childhood systems of service.</w:t>
      </w:r>
    </w:p>
    <w:p w:rsidR="008D2D96" w:rsidRDefault="008D2D96" w:rsidP="008D2D96">
      <w:pPr>
        <w:pStyle w:val="Heading3"/>
      </w:pPr>
      <w:r>
        <w:t>Early Childhood Systems Integration Group</w:t>
      </w:r>
    </w:p>
    <w:p w:rsidR="008D2D96" w:rsidRDefault="008D2D96" w:rsidP="008D2D96">
      <w:r>
        <w:t xml:space="preserve">Texas’ Early Childhood Systems Integration Group is a collaboration of seven state agencies and divisions focused on addressing issues and opportunities related to service delivery and coordination and broader systems that </w:t>
      </w:r>
      <w:r w:rsidR="006633DB">
        <w:rPr>
          <w:szCs w:val="24"/>
        </w:rPr>
        <w:t>affect</w:t>
      </w:r>
      <w:r>
        <w:t xml:space="preserve"> the development and well-being of young children and their families. The group, which is led by HHSC’s Prevention and Early Intervention division, offers a strategy for coordinating resources through cross-agency collaboration.</w:t>
      </w:r>
    </w:p>
    <w:p w:rsidR="008D2D96" w:rsidRDefault="008D2D96" w:rsidP="008D2D96">
      <w:pPr>
        <w:pStyle w:val="Heading3"/>
      </w:pPr>
      <w:r>
        <w:t>OLE! Texas</w:t>
      </w:r>
    </w:p>
    <w:p w:rsidR="008D2D96" w:rsidRDefault="008D2D96" w:rsidP="008D2D96">
      <w:r>
        <w:t xml:space="preserve">Outdoor Learning Environment (OLE! Texas) is a </w:t>
      </w:r>
      <w:r w:rsidR="00220F42">
        <w:rPr>
          <w:szCs w:val="24"/>
        </w:rPr>
        <w:t>DSHS</w:t>
      </w:r>
      <w:r>
        <w:t xml:space="preserve"> initiative </w:t>
      </w:r>
      <w:r w:rsidR="00D359DE">
        <w:rPr>
          <w:szCs w:val="24"/>
        </w:rPr>
        <w:t>to improve</w:t>
      </w:r>
      <w:r>
        <w:t xml:space="preserve"> outdoor spaces at </w:t>
      </w:r>
      <w:r w:rsidRPr="00046513">
        <w:rPr>
          <w:szCs w:val="24"/>
        </w:rPr>
        <w:t>child</w:t>
      </w:r>
      <w:r w:rsidR="00D359DE">
        <w:rPr>
          <w:szCs w:val="24"/>
        </w:rPr>
        <w:t xml:space="preserve"> </w:t>
      </w:r>
      <w:r w:rsidRPr="00046513">
        <w:rPr>
          <w:szCs w:val="24"/>
        </w:rPr>
        <w:t>care</w:t>
      </w:r>
      <w:r>
        <w:t xml:space="preserve"> centers. The initiative </w:t>
      </w:r>
      <w:r w:rsidR="00D359DE">
        <w:rPr>
          <w:szCs w:val="24"/>
        </w:rPr>
        <w:t>calls for adding</w:t>
      </w:r>
      <w:r>
        <w:t xml:space="preserve"> design elements (</w:t>
      </w:r>
      <w:r w:rsidR="00D359DE">
        <w:rPr>
          <w:szCs w:val="24"/>
        </w:rPr>
        <w:t xml:space="preserve">for example, </w:t>
      </w:r>
      <w:r>
        <w:t xml:space="preserve">looping pathways, vegetable gardens, </w:t>
      </w:r>
      <w:r w:rsidR="00D359DE">
        <w:rPr>
          <w:szCs w:val="24"/>
        </w:rPr>
        <w:t xml:space="preserve">and </w:t>
      </w:r>
      <w:r>
        <w:t>more play and learning settings</w:t>
      </w:r>
      <w:r w:rsidRPr="00046513">
        <w:rPr>
          <w:szCs w:val="24"/>
        </w:rPr>
        <w:t>)</w:t>
      </w:r>
      <w:r>
        <w:t xml:space="preserve"> to enable </w:t>
      </w:r>
      <w:r w:rsidR="00D359DE">
        <w:rPr>
          <w:szCs w:val="24"/>
        </w:rPr>
        <w:t xml:space="preserve">children from birth to </w:t>
      </w:r>
      <w:r w:rsidR="00031DF2">
        <w:rPr>
          <w:szCs w:val="24"/>
        </w:rPr>
        <w:t xml:space="preserve">age </w:t>
      </w:r>
      <w:r w:rsidR="00D359DE">
        <w:rPr>
          <w:szCs w:val="24"/>
        </w:rPr>
        <w:t>five</w:t>
      </w:r>
      <w:r>
        <w:t xml:space="preserve"> to be active, learn in nature, and develop motor skills. TWC participates as a subject matter expert for </w:t>
      </w:r>
      <w:r w:rsidR="00D359DE">
        <w:rPr>
          <w:szCs w:val="24"/>
        </w:rPr>
        <w:t>TRS</w:t>
      </w:r>
      <w:r>
        <w:t>.</w:t>
      </w:r>
    </w:p>
    <w:p w:rsidR="0035055B" w:rsidRDefault="0035055B" w:rsidP="0035055B">
      <w:pPr>
        <w:pStyle w:val="Heading1"/>
      </w:pPr>
      <w:r>
        <w:br/>
        <w:t>Conclusion: Subsidized Child Care Continues to Serve as an Important Work Support Service</w:t>
      </w:r>
    </w:p>
    <w:p w:rsidR="0035055B" w:rsidRPr="00855DD2" w:rsidRDefault="0035055B" w:rsidP="0035055B">
      <w:r w:rsidRPr="00855DD2">
        <w:t xml:space="preserve">Subsidized child care is a support service that allows parents to become and remain employed, thereby contributing to the Texas economy. This report demonstrates that subsidized child care is an effective work support service that enables parents to participate in the workforce or in work-related activities. As reflected in the report, in </w:t>
      </w:r>
      <w:r w:rsidR="000D3EB4" w:rsidRPr="00855DD2">
        <w:t>2016 approximately 85</w:t>
      </w:r>
      <w:r w:rsidRPr="00855DD2">
        <w:t xml:space="preserve"> percent of TANF parents f</w:t>
      </w:r>
      <w:r w:rsidR="00AB4C42" w:rsidRPr="00855DD2">
        <w:t>ou</w:t>
      </w:r>
      <w:r w:rsidRPr="00855DD2">
        <w:t xml:space="preserve">nd employment within 12 months of receiving child care. </w:t>
      </w:r>
      <w:r w:rsidR="000D3EB4" w:rsidRPr="00855DD2">
        <w:t>Additionally, approximately 79</w:t>
      </w:r>
      <w:r w:rsidRPr="00855DD2">
        <w:t xml:space="preserve"> percent of non-TANF parents maintained employment </w:t>
      </w:r>
      <w:r w:rsidR="000D3EB4" w:rsidRPr="00855DD2">
        <w:t xml:space="preserve">12 </w:t>
      </w:r>
      <w:r w:rsidRPr="00855DD2">
        <w:t>months after receiving child care and</w:t>
      </w:r>
      <w:r w:rsidR="00D359DE" w:rsidRPr="00855DD2">
        <w:rPr>
          <w:szCs w:val="24"/>
        </w:rPr>
        <w:t>, at the end of the 12-month period,</w:t>
      </w:r>
      <w:r w:rsidRPr="00855DD2">
        <w:t xml:space="preserve"> experienced an ave</w:t>
      </w:r>
      <w:r w:rsidR="000D3EB4" w:rsidRPr="00855DD2">
        <w:t>rage quarterly wage gain of $581</w:t>
      </w:r>
      <w:r w:rsidR="00116A81" w:rsidRPr="00855DD2">
        <w:rPr>
          <w:szCs w:val="24"/>
        </w:rPr>
        <w:t>, or $2,324 for</w:t>
      </w:r>
      <w:r w:rsidRPr="00855DD2">
        <w:t xml:space="preserve"> the </w:t>
      </w:r>
      <w:r w:rsidR="00116A81" w:rsidRPr="00855DD2">
        <w:rPr>
          <w:szCs w:val="24"/>
        </w:rPr>
        <w:t>year</w:t>
      </w:r>
      <w:r w:rsidRPr="00855DD2">
        <w:t>.</w:t>
      </w:r>
    </w:p>
    <w:p w:rsidR="0035055B" w:rsidRDefault="0035055B" w:rsidP="0035055B">
      <w:r w:rsidRPr="00855DD2">
        <w:t xml:space="preserve">The availability of stable and affordable child care is often a determining factor in a parent’s ability to obtain and retain employment. Additionally, stable and high-quality child care promotes the </w:t>
      </w:r>
      <w:r w:rsidR="00AB4C42" w:rsidRPr="00855DD2">
        <w:t>growth</w:t>
      </w:r>
      <w:r w:rsidRPr="00855DD2">
        <w:t xml:space="preserve"> and development of tomorrow’s workforce. TWC strives to build upon its successes</w:t>
      </w:r>
      <w:r w:rsidR="00D359DE" w:rsidRPr="00855DD2">
        <w:rPr>
          <w:szCs w:val="24"/>
        </w:rPr>
        <w:t xml:space="preserve"> by</w:t>
      </w:r>
      <w:r w:rsidRPr="00855DD2">
        <w:t xml:space="preserve"> using outcome data and analyses to improve the delivery of child care services to Texas’ working families.</w:t>
      </w:r>
    </w:p>
    <w:p w:rsidR="00AB4C42" w:rsidRDefault="00AB4C42">
      <w:pPr>
        <w:rPr>
          <w:b/>
          <w:sz w:val="32"/>
        </w:rPr>
      </w:pPr>
    </w:p>
    <w:p w:rsidR="0035055B" w:rsidRDefault="0035055B" w:rsidP="0035055B">
      <w:pPr>
        <w:pStyle w:val="Heading1"/>
      </w:pPr>
      <w:r>
        <w:t>Appendix: Data Tables</w:t>
      </w:r>
    </w:p>
    <w:p w:rsidR="0035055B" w:rsidRDefault="0035055B" w:rsidP="00AB4C42">
      <w:pPr>
        <w:pStyle w:val="ListParagraph"/>
        <w:numPr>
          <w:ilvl w:val="0"/>
          <w:numId w:val="20"/>
        </w:numPr>
      </w:pPr>
      <w:r>
        <w:t xml:space="preserve">Table 1A: </w:t>
      </w:r>
    </w:p>
    <w:p w:rsidR="0035055B" w:rsidRDefault="006D4B8F" w:rsidP="00AB4C42">
      <w:pPr>
        <w:pStyle w:val="ListParagraph"/>
      </w:pPr>
      <w:hyperlink w:anchor="_Table_1A_–" w:history="1">
        <w:r w:rsidR="0035055B" w:rsidRPr="00AB4C42">
          <w:rPr>
            <w:rStyle w:val="Hyperlink"/>
          </w:rPr>
          <w:t>TANF Parents Who Find Employment within One Year of Receiving Child Care</w:t>
        </w:r>
      </w:hyperlink>
    </w:p>
    <w:p w:rsidR="0035055B" w:rsidRDefault="0035055B" w:rsidP="00AB4C42">
      <w:pPr>
        <w:pStyle w:val="ListParagraph"/>
        <w:numPr>
          <w:ilvl w:val="0"/>
          <w:numId w:val="20"/>
        </w:numPr>
      </w:pPr>
      <w:r>
        <w:t>Table 1B:</w:t>
      </w:r>
    </w:p>
    <w:p w:rsidR="0035055B" w:rsidRDefault="006D4B8F" w:rsidP="00AB4C42">
      <w:pPr>
        <w:pStyle w:val="ListParagraph"/>
      </w:pPr>
      <w:hyperlink w:anchor="_Table_1B_–" w:history="1">
        <w:r w:rsidR="0035055B" w:rsidRPr="00AB4C42">
          <w:rPr>
            <w:rStyle w:val="Hyperlink"/>
          </w:rPr>
          <w:t>TANF Parents Maintaining Employment One Year after Entering Child Care</w:t>
        </w:r>
      </w:hyperlink>
    </w:p>
    <w:p w:rsidR="0035055B" w:rsidRDefault="0035055B" w:rsidP="00AB4C42">
      <w:pPr>
        <w:pStyle w:val="ListParagraph"/>
        <w:numPr>
          <w:ilvl w:val="0"/>
          <w:numId w:val="20"/>
        </w:numPr>
      </w:pPr>
      <w:r>
        <w:t>Table 2A:</w:t>
      </w:r>
    </w:p>
    <w:p w:rsidR="0035055B" w:rsidRDefault="006D4B8F" w:rsidP="00AB4C42">
      <w:pPr>
        <w:pStyle w:val="ListParagraph"/>
      </w:pPr>
      <w:hyperlink w:anchor="_Table_2A_–" w:history="1">
        <w:r w:rsidR="0035055B" w:rsidRPr="00AB4C42">
          <w:rPr>
            <w:rStyle w:val="Hyperlink"/>
          </w:rPr>
          <w:t>Non-TANF Parents Maintaining Employment One Year after Entering Child Care</w:t>
        </w:r>
      </w:hyperlink>
    </w:p>
    <w:p w:rsidR="0035055B" w:rsidRDefault="0035055B" w:rsidP="00AB4C42">
      <w:pPr>
        <w:pStyle w:val="ListParagraph"/>
        <w:numPr>
          <w:ilvl w:val="0"/>
          <w:numId w:val="20"/>
        </w:numPr>
      </w:pPr>
      <w:r>
        <w:t>Table 2B:</w:t>
      </w:r>
    </w:p>
    <w:p w:rsidR="0035055B" w:rsidRDefault="006D4B8F" w:rsidP="00AB4C42">
      <w:pPr>
        <w:pStyle w:val="ListParagraph"/>
      </w:pPr>
      <w:hyperlink w:anchor="_Table_2B_–" w:history="1">
        <w:r w:rsidR="0035055B" w:rsidRPr="00AB4C42">
          <w:rPr>
            <w:rStyle w:val="Hyperlink"/>
          </w:rPr>
          <w:t>Average One-Year Wage Gain of Non-TANF Parents Receiving Child Care</w:t>
        </w:r>
      </w:hyperlink>
    </w:p>
    <w:p w:rsidR="0035055B" w:rsidRDefault="0035055B" w:rsidP="00AB4C42">
      <w:pPr>
        <w:pStyle w:val="ListParagraph"/>
        <w:numPr>
          <w:ilvl w:val="0"/>
          <w:numId w:val="20"/>
        </w:numPr>
      </w:pPr>
      <w:r>
        <w:t>Table 3C:</w:t>
      </w:r>
    </w:p>
    <w:p w:rsidR="0035055B" w:rsidRDefault="006D4B8F" w:rsidP="00AB4C42">
      <w:pPr>
        <w:pStyle w:val="ListParagraph"/>
      </w:pPr>
      <w:hyperlink w:anchor="_Table_3C_–" w:history="1">
        <w:r w:rsidR="0035055B" w:rsidRPr="00AB4C42">
          <w:rPr>
            <w:rStyle w:val="Hyperlink"/>
          </w:rPr>
          <w:t>Percent of Parents Leaving the Child Care Program and Receiving TANF within a Year</w:t>
        </w:r>
      </w:hyperlink>
    </w:p>
    <w:p w:rsidR="0035055B" w:rsidRDefault="0035055B" w:rsidP="0035055B"/>
    <w:p w:rsidR="0035055B" w:rsidRDefault="0035055B" w:rsidP="0035055B">
      <w:r>
        <w:cr/>
      </w:r>
    </w:p>
    <w:p w:rsidR="0035055B" w:rsidRDefault="0035055B" w:rsidP="0035055B">
      <w:r>
        <w:cr/>
      </w:r>
    </w:p>
    <w:p w:rsidR="0035055B" w:rsidRDefault="0035055B" w:rsidP="0035055B">
      <w:r>
        <w:cr/>
      </w:r>
    </w:p>
    <w:p w:rsidR="0035055B" w:rsidRDefault="0035055B" w:rsidP="0035055B">
      <w:r>
        <w:cr/>
      </w:r>
    </w:p>
    <w:p w:rsidR="0035055B" w:rsidRDefault="0035055B" w:rsidP="0035055B">
      <w:r>
        <w:cr/>
      </w:r>
    </w:p>
    <w:p w:rsidR="00E54F74" w:rsidRDefault="0035055B" w:rsidP="0035055B">
      <w:r>
        <w:cr/>
      </w:r>
    </w:p>
    <w:p w:rsidR="00E52D74" w:rsidRDefault="00E52D74" w:rsidP="00422378">
      <w:r>
        <w:br w:type="page"/>
      </w:r>
    </w:p>
    <w:p w:rsidR="009603C4" w:rsidRDefault="009603C4">
      <w:pPr>
        <w:sectPr w:rsidR="009603C4">
          <w:footerReference w:type="default" r:id="rId12"/>
          <w:pgSz w:w="12240" w:h="15840"/>
          <w:pgMar w:top="1440" w:right="1440" w:bottom="1440" w:left="1440" w:header="720" w:footer="720" w:gutter="0"/>
          <w:cols w:space="720"/>
          <w:docGrid w:linePitch="360"/>
        </w:sectPr>
      </w:pPr>
    </w:p>
    <w:p w:rsidR="009603C4" w:rsidRPr="009603C4" w:rsidRDefault="009603C4" w:rsidP="00AB4C42">
      <w:pPr>
        <w:pStyle w:val="Heading2"/>
      </w:pPr>
      <w:bookmarkStart w:id="4" w:name="_Table_1A_–"/>
      <w:bookmarkEnd w:id="4"/>
      <w:r w:rsidRPr="009603C4">
        <w:t>Table 1A – TANF Parents Who Find Employment within One Year of Receiving Child Care</w:t>
      </w:r>
      <w:r w:rsidR="000B055B">
        <w:rPr>
          <w:rStyle w:val="FootnoteReference"/>
        </w:rPr>
        <w:footnoteReference w:id="1"/>
      </w:r>
    </w:p>
    <w:tbl>
      <w:tblPr>
        <w:tblStyle w:val="GridTable1Light-Accent1"/>
        <w:tblW w:w="9805" w:type="dxa"/>
        <w:tblLayout w:type="fixed"/>
        <w:tblLook w:val="01E0" w:firstRow="1" w:lastRow="1" w:firstColumn="1" w:lastColumn="1" w:noHBand="0" w:noVBand="0"/>
        <w:tblCaption w:val="TANF Parents Who Find Employment within One Year of Receiving Child Care1 – Table 1A"/>
      </w:tblPr>
      <w:tblGrid>
        <w:gridCol w:w="1223"/>
        <w:gridCol w:w="2552"/>
        <w:gridCol w:w="1170"/>
        <w:gridCol w:w="1170"/>
        <w:gridCol w:w="1260"/>
        <w:gridCol w:w="1260"/>
        <w:gridCol w:w="1170"/>
      </w:tblGrid>
      <w:tr w:rsidR="0022453E" w:rsidRPr="009603C4" w:rsidTr="009E48CB">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9603C4" w:rsidRDefault="0022453E" w:rsidP="000B055B">
            <w:pPr>
              <w:pStyle w:val="TableParagraph"/>
              <w:spacing w:line="243" w:lineRule="exact"/>
              <w:rPr>
                <w:rFonts w:ascii="Times New Roman" w:eastAsia="Verdana" w:hAnsi="Times New Roman" w:cs="Times New Roman"/>
                <w:sz w:val="24"/>
                <w:szCs w:val="24"/>
              </w:rPr>
            </w:pPr>
            <w:r w:rsidRPr="009603C4">
              <w:rPr>
                <w:rFonts w:ascii="Times New Roman" w:hAnsi="Times New Roman" w:cs="Times New Roman"/>
                <w:bCs w:val="0"/>
                <w:color w:val="000000"/>
              </w:rPr>
              <w:t>Board #</w:t>
            </w:r>
          </w:p>
        </w:tc>
        <w:tc>
          <w:tcPr>
            <w:tcW w:w="2552" w:type="dxa"/>
            <w:vAlign w:val="center"/>
          </w:tcPr>
          <w:p w:rsidR="0022453E" w:rsidRPr="009603C4" w:rsidRDefault="0022453E" w:rsidP="009603C4">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Board Name</w:t>
            </w:r>
          </w:p>
        </w:tc>
        <w:tc>
          <w:tcPr>
            <w:tcW w:w="1170" w:type="dxa"/>
            <w:vAlign w:val="center"/>
          </w:tcPr>
          <w:p w:rsidR="0022453E" w:rsidRPr="009603C4" w:rsidRDefault="0022453E" w:rsidP="009603C4">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2012</w:t>
            </w:r>
          </w:p>
        </w:tc>
        <w:tc>
          <w:tcPr>
            <w:tcW w:w="1170" w:type="dxa"/>
            <w:vAlign w:val="center"/>
          </w:tcPr>
          <w:p w:rsidR="0022453E" w:rsidRPr="009603C4" w:rsidRDefault="0022453E" w:rsidP="009603C4">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2013</w:t>
            </w:r>
          </w:p>
        </w:tc>
        <w:tc>
          <w:tcPr>
            <w:tcW w:w="1260" w:type="dxa"/>
            <w:vAlign w:val="center"/>
          </w:tcPr>
          <w:p w:rsidR="0022453E" w:rsidRPr="009603C4" w:rsidRDefault="0022453E" w:rsidP="009603C4">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2014</w:t>
            </w:r>
          </w:p>
        </w:tc>
        <w:tc>
          <w:tcPr>
            <w:tcW w:w="1260" w:type="dxa"/>
            <w:vAlign w:val="center"/>
          </w:tcPr>
          <w:p w:rsidR="0022453E" w:rsidRPr="009603C4" w:rsidRDefault="0022453E" w:rsidP="009603C4">
            <w:pPr>
              <w:pStyle w:val="TableParagraph"/>
              <w:spacing w:line="258" w:lineRule="exact"/>
              <w:ind w:left="60"/>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9603C4">
            <w:pPr>
              <w:pStyle w:val="TableParagraph"/>
              <w:spacing w:line="258" w:lineRule="exact"/>
              <w:rPr>
                <w:rFonts w:ascii="Times New Roman" w:eastAsia="Verdana" w:hAnsi="Times New Roman" w:cs="Times New Roman"/>
                <w:sz w:val="24"/>
                <w:szCs w:val="24"/>
              </w:rPr>
            </w:pPr>
            <w:r w:rsidRPr="009603C4">
              <w:rPr>
                <w:rFonts w:ascii="Times New Roman" w:hAnsi="Times New Roman" w:cs="Times New Roman"/>
                <w:bCs w:val="0"/>
                <w:color w:val="000000"/>
              </w:rPr>
              <w:t>2016</w:t>
            </w:r>
          </w:p>
        </w:tc>
      </w:tr>
      <w:tr w:rsidR="0022453E" w:rsidRPr="00E416C0" w:rsidTr="000B055B">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702E49" w:rsidRDefault="0022453E" w:rsidP="009603C4">
            <w:pPr>
              <w:pStyle w:val="TableParagraph"/>
              <w:spacing w:line="254"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1</w:t>
            </w:r>
          </w:p>
        </w:tc>
        <w:tc>
          <w:tcPr>
            <w:tcW w:w="2552" w:type="dxa"/>
            <w:vAlign w:val="center"/>
          </w:tcPr>
          <w:p w:rsidR="0022453E" w:rsidRPr="00E416C0" w:rsidRDefault="0022453E" w:rsidP="009603C4">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Panhandle</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85.03%</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87.74%</w:t>
            </w:r>
          </w:p>
        </w:tc>
        <w:tc>
          <w:tcPr>
            <w:tcW w:w="126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94.90%</w:t>
            </w:r>
          </w:p>
        </w:tc>
        <w:tc>
          <w:tcPr>
            <w:tcW w:w="1260" w:type="dxa"/>
            <w:vAlign w:val="center"/>
          </w:tcPr>
          <w:p w:rsidR="0022453E" w:rsidRPr="00E416C0" w:rsidRDefault="0022453E" w:rsidP="000B055B">
            <w:pPr>
              <w:pStyle w:val="TableParagraph"/>
              <w:spacing w:line="267"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93.85%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7"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82.56%</w:t>
            </w:r>
          </w:p>
        </w:tc>
      </w:tr>
      <w:tr w:rsidR="0022453E" w:rsidRPr="00E416C0" w:rsidTr="000B055B">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702E49" w:rsidRDefault="0022453E" w:rsidP="009603C4">
            <w:pPr>
              <w:pStyle w:val="TableParagraph"/>
              <w:spacing w:line="269"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2</w:t>
            </w:r>
          </w:p>
        </w:tc>
        <w:tc>
          <w:tcPr>
            <w:tcW w:w="2552" w:type="dxa"/>
            <w:vAlign w:val="center"/>
          </w:tcPr>
          <w:p w:rsidR="0022453E" w:rsidRPr="00E416C0" w:rsidRDefault="0022453E" w:rsidP="009603C4">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Plains</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90.29%</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92.86%</w:t>
            </w:r>
          </w:p>
        </w:tc>
        <w:tc>
          <w:tcPr>
            <w:tcW w:w="126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93.55%</w:t>
            </w:r>
          </w:p>
        </w:tc>
        <w:tc>
          <w:tcPr>
            <w:tcW w:w="1260" w:type="dxa"/>
            <w:vAlign w:val="center"/>
          </w:tcPr>
          <w:p w:rsidR="0022453E" w:rsidRPr="00E416C0" w:rsidRDefault="0022453E" w:rsidP="000B055B">
            <w:pPr>
              <w:pStyle w:val="TableParagraph"/>
              <w:spacing w:line="267"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92.41%</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7"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88.66%</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3</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84.24%</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80.23%</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88.81%</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92.62%</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88.79%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1"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4</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Central</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82.20%</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82.66%</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85.58%</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83.82%</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88.59%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5</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Tarrant County</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80.70%</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85.86%</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87.02%</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86.38%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85.69%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6</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Dallas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82.16%</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86.45%</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88.79%</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91.28%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91.73%</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7</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East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78.65%</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77.64%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78.95%</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86.54%</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85.71%</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8</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East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82.48%</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87.15%</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89.47%</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88.11%</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89.58%</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7"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9</w:t>
            </w:r>
          </w:p>
        </w:tc>
        <w:tc>
          <w:tcPr>
            <w:tcW w:w="2552" w:type="dxa"/>
            <w:vAlign w:val="center"/>
          </w:tcPr>
          <w:p w:rsidR="0022453E" w:rsidRPr="00E416C0" w:rsidRDefault="0022453E" w:rsidP="009603C4">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West Central Texas</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82.52%</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84.54%</w:t>
            </w:r>
          </w:p>
        </w:tc>
        <w:tc>
          <w:tcPr>
            <w:tcW w:w="126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85.00%</w:t>
            </w:r>
          </w:p>
        </w:tc>
        <w:tc>
          <w:tcPr>
            <w:tcW w:w="1260" w:type="dxa"/>
            <w:vAlign w:val="center"/>
          </w:tcPr>
          <w:p w:rsidR="0022453E" w:rsidRPr="00E416C0" w:rsidRDefault="0022453E" w:rsidP="000B055B">
            <w:pPr>
              <w:pStyle w:val="TableParagraph"/>
              <w:spacing w:line="267"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83.61%</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7"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89.87%</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10</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Borderplex</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72.56%</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76.14%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76.71%</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75.48%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78.62%</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11</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Permian Basin</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88.68%</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89.47%</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88.24%</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82.98%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93.44%</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12</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Concho Valley</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92.94%</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90.74%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91.49%</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94.44%</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94.29%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13</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Heart of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83.33%</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87.94%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95.28%</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92.93%</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90.27%</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14</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Capital Area</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85.42%</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89.92%</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92.68%</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86.25%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87.67%</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15</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Rural Capital</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87.26%</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87.50%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88.14%</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88.76%</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85.53%</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16</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Brazos Valley</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85.59%</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89.69%</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86.25%</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80.00%</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87.76%</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17</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Deep East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81.56%</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88.00%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89.00%</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87.18%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83.33%</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18</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Southeast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84.02%</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87.10%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89.26%</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88.78%</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93.18%</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19</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Golden Crescent</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86.84%</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100.00%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86.36%</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88.89%</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77.78%</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20</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Alamo Area</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83.53%</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88.17%</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89.26%</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91.07%</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87.07%</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7"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21</w:t>
            </w:r>
          </w:p>
        </w:tc>
        <w:tc>
          <w:tcPr>
            <w:tcW w:w="2552" w:type="dxa"/>
            <w:vAlign w:val="center"/>
          </w:tcPr>
          <w:p w:rsidR="0022453E" w:rsidRPr="00E416C0" w:rsidRDefault="0022453E" w:rsidP="009603C4">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Texas</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85.47%</w:t>
            </w:r>
          </w:p>
        </w:tc>
        <w:tc>
          <w:tcPr>
            <w:tcW w:w="117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89.74%</w:t>
            </w:r>
          </w:p>
        </w:tc>
        <w:tc>
          <w:tcPr>
            <w:tcW w:w="1260" w:type="dxa"/>
            <w:vAlign w:val="center"/>
          </w:tcPr>
          <w:p w:rsidR="0022453E" w:rsidRPr="00E416C0" w:rsidRDefault="0022453E" w:rsidP="000B055B">
            <w:pPr>
              <w:pStyle w:val="TableParagraph"/>
              <w:spacing w:line="267"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81.25%</w:t>
            </w:r>
          </w:p>
        </w:tc>
        <w:tc>
          <w:tcPr>
            <w:tcW w:w="1260" w:type="dxa"/>
            <w:vAlign w:val="center"/>
          </w:tcPr>
          <w:p w:rsidR="0022453E" w:rsidRPr="00E416C0" w:rsidRDefault="0022453E" w:rsidP="000B055B">
            <w:pPr>
              <w:pStyle w:val="TableParagraph"/>
              <w:spacing w:line="267"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61.11%</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7"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76.06%</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22</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Coastal Bend</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82.28%</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82.07%</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85.60%</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82.42%</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83.98%</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23</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Lower Rio Grande</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74.04%</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75.34%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77.25%</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76.60%</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77.06%</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24</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Cameron County</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79.47%</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81.57%</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88.45%</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57.04%</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52.69%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25</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Texoma</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81.58%</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83.61%</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86.00%</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84.62%</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91.89%</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26</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Central Texas</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81.37%</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82.54%</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85.91%</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84.19%</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84.68%</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27</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Middle Rio Grande</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84.76%</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90.00%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89.83%</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86.84%</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76.92%</w:t>
            </w:r>
          </w:p>
        </w:tc>
      </w:tr>
      <w:tr w:rsidR="0022453E" w:rsidRPr="00E416C0" w:rsidTr="000B055B">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E416C0" w:rsidRDefault="0022453E" w:rsidP="009603C4">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28</w:t>
            </w:r>
          </w:p>
        </w:tc>
        <w:tc>
          <w:tcPr>
            <w:tcW w:w="2552" w:type="dxa"/>
            <w:vAlign w:val="center"/>
          </w:tcPr>
          <w:p w:rsidR="0022453E" w:rsidRPr="00E416C0" w:rsidRDefault="0022453E" w:rsidP="009603C4">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Gulf Coast</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80.99%</w:t>
            </w:r>
          </w:p>
        </w:tc>
        <w:tc>
          <w:tcPr>
            <w:tcW w:w="117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83.70%</w:t>
            </w:r>
          </w:p>
        </w:tc>
        <w:tc>
          <w:tcPr>
            <w:tcW w:w="1260" w:type="dxa"/>
            <w:vAlign w:val="center"/>
          </w:tcPr>
          <w:p w:rsidR="0022453E" w:rsidRPr="00E416C0" w:rsidRDefault="0022453E" w:rsidP="000B055B">
            <w:pPr>
              <w:pStyle w:val="TableParagraph"/>
              <w:spacing w:line="266" w:lineRule="exact"/>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85.68%</w:t>
            </w:r>
          </w:p>
        </w:tc>
        <w:tc>
          <w:tcPr>
            <w:tcW w:w="1260" w:type="dxa"/>
            <w:vAlign w:val="center"/>
          </w:tcPr>
          <w:p w:rsidR="0022453E" w:rsidRPr="00E416C0" w:rsidRDefault="0022453E" w:rsidP="000B055B">
            <w:pPr>
              <w:pStyle w:val="TableParagraph"/>
              <w:spacing w:line="266" w:lineRule="exact"/>
              <w:ind w:left="60"/>
              <w:jc w:val="righ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80.79%</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6" w:lineRule="exact"/>
              <w:jc w:val="right"/>
              <w:rPr>
                <w:rFonts w:ascii="Times New Roman" w:eastAsia="Verdana" w:hAnsi="Times New Roman" w:cs="Times New Roman"/>
                <w:b w:val="0"/>
                <w:sz w:val="24"/>
                <w:szCs w:val="24"/>
              </w:rPr>
            </w:pPr>
            <w:r w:rsidRPr="009603C4">
              <w:rPr>
                <w:rFonts w:ascii="Times New Roman" w:hAnsi="Times New Roman" w:cs="Times New Roman"/>
                <w:b w:val="0"/>
                <w:color w:val="000000"/>
              </w:rPr>
              <w:t>82.54%</w:t>
            </w:r>
          </w:p>
        </w:tc>
      </w:tr>
      <w:tr w:rsidR="0022453E" w:rsidRPr="009603C4" w:rsidTr="000B055B">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22453E" w:rsidRPr="009603C4" w:rsidRDefault="0022453E" w:rsidP="009603C4">
            <w:pPr>
              <w:pStyle w:val="TableParagraph"/>
              <w:spacing w:line="264" w:lineRule="exact"/>
              <w:ind w:left="263"/>
              <w:rPr>
                <w:rFonts w:ascii="Times New Roman" w:eastAsia="Verdana" w:hAnsi="Times New Roman" w:cs="Times New Roman"/>
                <w:sz w:val="24"/>
                <w:szCs w:val="24"/>
              </w:rPr>
            </w:pPr>
            <w:r w:rsidRPr="009603C4">
              <w:rPr>
                <w:rFonts w:ascii="Times New Roman" w:hAnsi="Times New Roman" w:cs="Times New Roman"/>
                <w:bCs w:val="0"/>
                <w:color w:val="000000"/>
              </w:rPr>
              <w:t>Total</w:t>
            </w:r>
          </w:p>
        </w:tc>
        <w:tc>
          <w:tcPr>
            <w:tcW w:w="2552" w:type="dxa"/>
            <w:vAlign w:val="center"/>
          </w:tcPr>
          <w:p w:rsidR="0022453E" w:rsidRPr="009603C4" w:rsidRDefault="0022453E" w:rsidP="009603C4">
            <w:pPr>
              <w:pStyle w:val="TableParagraph"/>
              <w:spacing w:line="264" w:lineRule="exact"/>
              <w:ind w:left="43"/>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System</w:t>
            </w:r>
          </w:p>
        </w:tc>
        <w:tc>
          <w:tcPr>
            <w:tcW w:w="1170" w:type="dxa"/>
            <w:vAlign w:val="center"/>
          </w:tcPr>
          <w:p w:rsidR="0022453E" w:rsidRPr="009603C4" w:rsidRDefault="0022453E" w:rsidP="000B055B">
            <w:pPr>
              <w:pStyle w:val="TableParagraph"/>
              <w:spacing w:line="264" w:lineRule="exact"/>
              <w:jc w:val="right"/>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81.46%</w:t>
            </w:r>
          </w:p>
        </w:tc>
        <w:tc>
          <w:tcPr>
            <w:tcW w:w="1170" w:type="dxa"/>
            <w:vAlign w:val="center"/>
          </w:tcPr>
          <w:p w:rsidR="0022453E" w:rsidRPr="009603C4" w:rsidRDefault="0022453E" w:rsidP="000B055B">
            <w:pPr>
              <w:pStyle w:val="TableParagraph"/>
              <w:spacing w:line="264" w:lineRule="exact"/>
              <w:jc w:val="right"/>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84.48%</w:t>
            </w:r>
          </w:p>
        </w:tc>
        <w:tc>
          <w:tcPr>
            <w:tcW w:w="1260" w:type="dxa"/>
            <w:vAlign w:val="center"/>
          </w:tcPr>
          <w:p w:rsidR="0022453E" w:rsidRPr="009603C4" w:rsidRDefault="0022453E" w:rsidP="000B055B">
            <w:pPr>
              <w:pStyle w:val="TableParagraph"/>
              <w:spacing w:line="264" w:lineRule="exact"/>
              <w:jc w:val="right"/>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86.47%</w:t>
            </w:r>
          </w:p>
        </w:tc>
        <w:tc>
          <w:tcPr>
            <w:tcW w:w="1260" w:type="dxa"/>
            <w:vAlign w:val="center"/>
          </w:tcPr>
          <w:p w:rsidR="0022453E" w:rsidRPr="009603C4" w:rsidRDefault="0022453E" w:rsidP="000B055B">
            <w:pPr>
              <w:pStyle w:val="TableParagraph"/>
              <w:spacing w:line="264" w:lineRule="exact"/>
              <w:ind w:left="60"/>
              <w:jc w:val="right"/>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83.91%</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22453E" w:rsidRPr="009603C4" w:rsidRDefault="0022453E" w:rsidP="000B055B">
            <w:pPr>
              <w:pStyle w:val="TableParagraph"/>
              <w:spacing w:line="264" w:lineRule="exact"/>
              <w:jc w:val="right"/>
              <w:rPr>
                <w:rFonts w:ascii="Times New Roman" w:eastAsia="Verdana" w:hAnsi="Times New Roman" w:cs="Times New Roman"/>
                <w:sz w:val="24"/>
                <w:szCs w:val="24"/>
              </w:rPr>
            </w:pPr>
            <w:r w:rsidRPr="009603C4">
              <w:rPr>
                <w:rFonts w:ascii="Times New Roman" w:hAnsi="Times New Roman" w:cs="Times New Roman"/>
                <w:bCs w:val="0"/>
                <w:color w:val="000000"/>
              </w:rPr>
              <w:t>84.55%</w:t>
            </w:r>
          </w:p>
        </w:tc>
      </w:tr>
    </w:tbl>
    <w:p w:rsidR="009603C4" w:rsidRDefault="009603C4">
      <w:r>
        <w:br w:type="page"/>
      </w:r>
    </w:p>
    <w:p w:rsidR="009E48CB" w:rsidRPr="00EE276B" w:rsidRDefault="009E48CB" w:rsidP="00AB4C42">
      <w:pPr>
        <w:pStyle w:val="Heading2"/>
      </w:pPr>
      <w:bookmarkStart w:id="5" w:name="_Table_1B_–"/>
      <w:bookmarkEnd w:id="5"/>
      <w:r w:rsidRPr="00EE276B">
        <w:t xml:space="preserve">Table 1B </w:t>
      </w:r>
      <w:r w:rsidR="00EE276B" w:rsidRPr="00EE276B">
        <w:t xml:space="preserve">– </w:t>
      </w:r>
      <w:r w:rsidRPr="00EE276B">
        <w:t>TANF Parents Maintaining Employment One Year after Entering Child Care</w:t>
      </w:r>
      <w:r w:rsidR="000B055B">
        <w:rPr>
          <w:rStyle w:val="FootnoteReference"/>
        </w:rPr>
        <w:footnoteReference w:id="2"/>
      </w:r>
    </w:p>
    <w:tbl>
      <w:tblPr>
        <w:tblStyle w:val="GridTable1Light-Accent1"/>
        <w:tblW w:w="9805" w:type="dxa"/>
        <w:tblLayout w:type="fixed"/>
        <w:tblLook w:val="01E0" w:firstRow="1" w:lastRow="1" w:firstColumn="1" w:lastColumn="1" w:noHBand="0" w:noVBand="0"/>
        <w:tblCaption w:val="TANF Parents Maintaining Employment One Year after Entering Child Care1 – Table 1B"/>
      </w:tblPr>
      <w:tblGrid>
        <w:gridCol w:w="1223"/>
        <w:gridCol w:w="2552"/>
        <w:gridCol w:w="1170"/>
        <w:gridCol w:w="1170"/>
        <w:gridCol w:w="1260"/>
        <w:gridCol w:w="1260"/>
        <w:gridCol w:w="1170"/>
      </w:tblGrid>
      <w:tr w:rsidR="009E48CB" w:rsidRPr="009603C4" w:rsidTr="007A10D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9E48CB" w:rsidRPr="009603C4" w:rsidRDefault="009E48CB" w:rsidP="007A10DD">
            <w:pPr>
              <w:pStyle w:val="TableParagraph"/>
              <w:spacing w:line="243" w:lineRule="exact"/>
              <w:ind w:left="61"/>
              <w:rPr>
                <w:rFonts w:ascii="Times New Roman" w:eastAsia="Verdana" w:hAnsi="Times New Roman" w:cs="Times New Roman"/>
                <w:sz w:val="24"/>
                <w:szCs w:val="24"/>
              </w:rPr>
            </w:pPr>
            <w:r w:rsidRPr="009603C4">
              <w:rPr>
                <w:rFonts w:ascii="Times New Roman" w:hAnsi="Times New Roman" w:cs="Times New Roman"/>
                <w:bCs w:val="0"/>
                <w:color w:val="000000"/>
              </w:rPr>
              <w:t>Board #</w:t>
            </w:r>
          </w:p>
        </w:tc>
        <w:tc>
          <w:tcPr>
            <w:tcW w:w="2552" w:type="dxa"/>
            <w:vAlign w:val="center"/>
          </w:tcPr>
          <w:p w:rsidR="009E48CB" w:rsidRPr="009603C4" w:rsidRDefault="009E48CB"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Board Name</w:t>
            </w:r>
          </w:p>
        </w:tc>
        <w:tc>
          <w:tcPr>
            <w:tcW w:w="1170" w:type="dxa"/>
            <w:vAlign w:val="center"/>
          </w:tcPr>
          <w:p w:rsidR="009E48CB" w:rsidRPr="009603C4" w:rsidRDefault="009E48CB"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2012</w:t>
            </w:r>
          </w:p>
        </w:tc>
        <w:tc>
          <w:tcPr>
            <w:tcW w:w="1170" w:type="dxa"/>
            <w:vAlign w:val="center"/>
          </w:tcPr>
          <w:p w:rsidR="009E48CB" w:rsidRPr="009603C4" w:rsidRDefault="009E48CB"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2013</w:t>
            </w:r>
          </w:p>
        </w:tc>
        <w:tc>
          <w:tcPr>
            <w:tcW w:w="1260" w:type="dxa"/>
            <w:vAlign w:val="center"/>
          </w:tcPr>
          <w:p w:rsidR="009E48CB" w:rsidRPr="009603C4" w:rsidRDefault="009E48CB"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2014</w:t>
            </w:r>
          </w:p>
        </w:tc>
        <w:tc>
          <w:tcPr>
            <w:tcW w:w="1260" w:type="dxa"/>
            <w:vAlign w:val="center"/>
          </w:tcPr>
          <w:p w:rsidR="009E48CB" w:rsidRPr="009603C4" w:rsidRDefault="009E48CB" w:rsidP="007A10DD">
            <w:pPr>
              <w:pStyle w:val="TableParagraph"/>
              <w:spacing w:line="258" w:lineRule="exact"/>
              <w:ind w:left="60"/>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9E48CB" w:rsidRPr="009603C4" w:rsidRDefault="009E48CB" w:rsidP="007A10DD">
            <w:pPr>
              <w:pStyle w:val="TableParagraph"/>
              <w:spacing w:line="258" w:lineRule="exact"/>
              <w:rPr>
                <w:rFonts w:ascii="Times New Roman" w:eastAsia="Verdana" w:hAnsi="Times New Roman" w:cs="Times New Roman"/>
                <w:sz w:val="24"/>
                <w:szCs w:val="24"/>
              </w:rPr>
            </w:pPr>
            <w:r w:rsidRPr="009603C4">
              <w:rPr>
                <w:rFonts w:ascii="Times New Roman" w:hAnsi="Times New Roman" w:cs="Times New Roman"/>
                <w:bCs w:val="0"/>
                <w:color w:val="000000"/>
              </w:rPr>
              <w:t>2016</w:t>
            </w:r>
          </w:p>
        </w:tc>
      </w:tr>
      <w:tr w:rsidR="003C1DB6" w:rsidRPr="00E416C0" w:rsidTr="007A10DD">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702E49" w:rsidRDefault="003C1DB6" w:rsidP="003C1DB6">
            <w:pPr>
              <w:pStyle w:val="TableParagraph"/>
              <w:spacing w:line="254"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1</w:t>
            </w:r>
          </w:p>
        </w:tc>
        <w:tc>
          <w:tcPr>
            <w:tcW w:w="2552" w:type="dxa"/>
            <w:vAlign w:val="center"/>
          </w:tcPr>
          <w:p w:rsidR="003C1DB6" w:rsidRPr="00E416C0" w:rsidRDefault="003C1DB6" w:rsidP="003C1DB6">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Panhandle</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64.63%</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59.18%</w:t>
            </w:r>
          </w:p>
        </w:tc>
        <w:tc>
          <w:tcPr>
            <w:tcW w:w="126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68.87%</w:t>
            </w:r>
          </w:p>
        </w:tc>
        <w:tc>
          <w:tcPr>
            <w:tcW w:w="1260" w:type="dxa"/>
            <w:vAlign w:val="bottom"/>
          </w:tcPr>
          <w:p w:rsidR="003C1DB6" w:rsidRPr="00E416C0" w:rsidRDefault="003C1DB6" w:rsidP="003C1DB6">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69.39%</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7"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65.00%</w:t>
            </w:r>
          </w:p>
        </w:tc>
      </w:tr>
      <w:tr w:rsidR="003C1DB6" w:rsidRPr="00E416C0" w:rsidTr="007A10DD">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702E49" w:rsidRDefault="003C1DB6" w:rsidP="003C1DB6">
            <w:pPr>
              <w:pStyle w:val="TableParagraph"/>
              <w:spacing w:line="269"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2</w:t>
            </w:r>
          </w:p>
        </w:tc>
        <w:tc>
          <w:tcPr>
            <w:tcW w:w="2552" w:type="dxa"/>
            <w:vAlign w:val="center"/>
          </w:tcPr>
          <w:p w:rsidR="003C1DB6" w:rsidRPr="00E416C0" w:rsidRDefault="003C1DB6" w:rsidP="003C1DB6">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Plains</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70.06%</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60.19%</w:t>
            </w:r>
          </w:p>
        </w:tc>
        <w:tc>
          <w:tcPr>
            <w:tcW w:w="126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75.00%</w:t>
            </w:r>
          </w:p>
        </w:tc>
        <w:tc>
          <w:tcPr>
            <w:tcW w:w="1260" w:type="dxa"/>
            <w:vAlign w:val="bottom"/>
          </w:tcPr>
          <w:p w:rsidR="003C1DB6" w:rsidRPr="00E416C0" w:rsidRDefault="003C1DB6" w:rsidP="003C1DB6">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70.97%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7"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66.67%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3</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47.95%</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58.15%</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58.76%</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66.43%</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68.12%</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1"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4</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Central</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59.83%</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56.96%</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60.69%</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64.07%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68.21%</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5</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Tarrant County</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54.48%</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59.57%</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63.11%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64.67%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62.37%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6</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Dallas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54.23%</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59.03%</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63.21%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66.46%</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69.10%</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7</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East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49.10%</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54.69%</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54.66%</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58.77%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56.14%</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8</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East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61.60%</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65.38%</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63.69%</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66.45%</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61.15%</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7"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9</w:t>
            </w:r>
          </w:p>
        </w:tc>
        <w:tc>
          <w:tcPr>
            <w:tcW w:w="2552" w:type="dxa"/>
            <w:vAlign w:val="center"/>
          </w:tcPr>
          <w:p w:rsidR="003C1DB6" w:rsidRPr="00E416C0" w:rsidRDefault="003C1DB6" w:rsidP="003C1DB6">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West Central Texas</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72.22%</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60.14%</w:t>
            </w:r>
          </w:p>
        </w:tc>
        <w:tc>
          <w:tcPr>
            <w:tcW w:w="126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58.76%</w:t>
            </w:r>
          </w:p>
        </w:tc>
        <w:tc>
          <w:tcPr>
            <w:tcW w:w="1260" w:type="dxa"/>
            <w:vAlign w:val="bottom"/>
          </w:tcPr>
          <w:p w:rsidR="003C1DB6" w:rsidRPr="00E416C0" w:rsidRDefault="003C1DB6" w:rsidP="003C1DB6">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58.33%</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7"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61.97%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10</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Borderplex</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51.03%</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51.82%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56.36%</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53.42%</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54.53%</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11</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Permian Basin</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64.86%</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61.32%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68.42%</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61.76%</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62.50%</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12</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Concho Valley</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61.54%</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67.06%</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62.96%</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68.09%</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60.98%</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13</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Heart of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56.85%</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60.12%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62.41%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70.08%</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74.77%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14</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Capital Area</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57.91%</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65.72%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68.85%</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75.17%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65.77%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15</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Rural Capital</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63.83%</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65.09%</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63.11%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67.37%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67.01%</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16</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Brazos Valley</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66.67%</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61.86%</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68.04%</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61.25%</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66.67%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17</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Deep East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56.98%</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62.41%</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65.60%</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70.00%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65.48%</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18</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Southeast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57.41%</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59.82%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63.23%</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71.90%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64.49%</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19</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Golden Crescent</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80.88%</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76.32%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57.89%</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72.73%</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84.62%</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20</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Alamo Area</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57.26%</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61.40%</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64.51%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67.54%</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64.49%</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7"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21</w:t>
            </w:r>
          </w:p>
        </w:tc>
        <w:tc>
          <w:tcPr>
            <w:tcW w:w="2552" w:type="dxa"/>
            <w:vAlign w:val="center"/>
          </w:tcPr>
          <w:p w:rsidR="003C1DB6" w:rsidRPr="00E416C0" w:rsidRDefault="003C1DB6" w:rsidP="003C1DB6">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Texas</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54.48%</w:t>
            </w:r>
          </w:p>
        </w:tc>
        <w:tc>
          <w:tcPr>
            <w:tcW w:w="117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64.53%</w:t>
            </w:r>
          </w:p>
        </w:tc>
        <w:tc>
          <w:tcPr>
            <w:tcW w:w="1260" w:type="dxa"/>
            <w:vAlign w:val="bottom"/>
          </w:tcPr>
          <w:p w:rsidR="003C1DB6" w:rsidRPr="00E416C0" w:rsidRDefault="003C1DB6" w:rsidP="003C1DB6">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64.10%</w:t>
            </w:r>
          </w:p>
        </w:tc>
        <w:tc>
          <w:tcPr>
            <w:tcW w:w="1260" w:type="dxa"/>
            <w:vAlign w:val="bottom"/>
          </w:tcPr>
          <w:p w:rsidR="003C1DB6" w:rsidRPr="00E416C0" w:rsidRDefault="003C1DB6" w:rsidP="003C1DB6">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68.75%</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7"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61.36%</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22</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Coastal Bend</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52.37%</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54.65%</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59.31%</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64.20%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62.75%</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23</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Lower Rio Grande</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54.55%</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54.39%</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53.45%</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60.59%</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56.50%</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24</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Cameron County</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56.31%</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53.22%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61.33%</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62.45%</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61.67%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25</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Texoma</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45.00%</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51.32%</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54.10%</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54.00%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64.29%</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26</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Central Texas</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52.00%</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58.54%</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59.44%</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62.87%</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57.06%</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27</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Middle Rio Grande</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59.72%</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61.90%</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68.75%</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66.10%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59.57%</w:t>
            </w:r>
          </w:p>
        </w:tc>
      </w:tr>
      <w:tr w:rsidR="003C1DB6"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E416C0" w:rsidRDefault="003C1DB6" w:rsidP="003C1DB6">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28</w:t>
            </w:r>
          </w:p>
        </w:tc>
        <w:tc>
          <w:tcPr>
            <w:tcW w:w="2552" w:type="dxa"/>
            <w:vAlign w:val="center"/>
          </w:tcPr>
          <w:p w:rsidR="003C1DB6" w:rsidRPr="00E416C0" w:rsidRDefault="003C1DB6" w:rsidP="003C1DB6">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Gulf Coast</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56.77%</w:t>
            </w:r>
          </w:p>
        </w:tc>
        <w:tc>
          <w:tcPr>
            <w:tcW w:w="117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58.48%</w:t>
            </w:r>
          </w:p>
        </w:tc>
        <w:tc>
          <w:tcPr>
            <w:tcW w:w="1260" w:type="dxa"/>
            <w:vAlign w:val="bottom"/>
          </w:tcPr>
          <w:p w:rsidR="003C1DB6" w:rsidRPr="00E416C0" w:rsidRDefault="003C1DB6" w:rsidP="003C1DB6">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61.80%</w:t>
            </w:r>
          </w:p>
        </w:tc>
        <w:tc>
          <w:tcPr>
            <w:tcW w:w="1260" w:type="dxa"/>
            <w:vAlign w:val="bottom"/>
          </w:tcPr>
          <w:p w:rsidR="003C1DB6" w:rsidRPr="00E416C0" w:rsidRDefault="003C1DB6" w:rsidP="003C1DB6">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61.79%</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6" w:lineRule="exact"/>
              <w:rPr>
                <w:rFonts w:ascii="Times New Roman" w:eastAsia="Verdana" w:hAnsi="Times New Roman" w:cs="Times New Roman"/>
                <w:b w:val="0"/>
                <w:sz w:val="24"/>
                <w:szCs w:val="24"/>
              </w:rPr>
            </w:pPr>
            <w:r w:rsidRPr="003C1DB6">
              <w:rPr>
                <w:rFonts w:ascii="Times New Roman" w:hAnsi="Times New Roman" w:cs="Times New Roman"/>
                <w:b w:val="0"/>
                <w:color w:val="000000"/>
              </w:rPr>
              <w:t>60.09%</w:t>
            </w:r>
          </w:p>
        </w:tc>
      </w:tr>
      <w:tr w:rsidR="003C1DB6" w:rsidRPr="009603C4" w:rsidTr="007A10DD">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3C1DB6" w:rsidRPr="009603C4" w:rsidRDefault="003C1DB6" w:rsidP="003C1DB6">
            <w:pPr>
              <w:pStyle w:val="TableParagraph"/>
              <w:spacing w:line="264" w:lineRule="exact"/>
              <w:ind w:left="263"/>
              <w:rPr>
                <w:rFonts w:ascii="Times New Roman" w:eastAsia="Verdana" w:hAnsi="Times New Roman" w:cs="Times New Roman"/>
                <w:sz w:val="24"/>
                <w:szCs w:val="24"/>
              </w:rPr>
            </w:pPr>
            <w:r w:rsidRPr="009603C4">
              <w:rPr>
                <w:rFonts w:ascii="Times New Roman" w:hAnsi="Times New Roman" w:cs="Times New Roman"/>
                <w:bCs w:val="0"/>
                <w:color w:val="000000"/>
              </w:rPr>
              <w:t>Total</w:t>
            </w:r>
          </w:p>
        </w:tc>
        <w:tc>
          <w:tcPr>
            <w:tcW w:w="2552" w:type="dxa"/>
            <w:vAlign w:val="center"/>
          </w:tcPr>
          <w:p w:rsidR="003C1DB6" w:rsidRPr="009603C4" w:rsidRDefault="003C1DB6" w:rsidP="003C1DB6">
            <w:pPr>
              <w:pStyle w:val="TableParagraph"/>
              <w:spacing w:line="264" w:lineRule="exact"/>
              <w:ind w:left="43"/>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System</w:t>
            </w:r>
          </w:p>
        </w:tc>
        <w:tc>
          <w:tcPr>
            <w:tcW w:w="1170" w:type="dxa"/>
            <w:vAlign w:val="bottom"/>
          </w:tcPr>
          <w:p w:rsidR="003C1DB6" w:rsidRPr="003C1DB6" w:rsidRDefault="003C1DB6" w:rsidP="003C1DB6">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3C1DB6">
              <w:rPr>
                <w:rFonts w:ascii="Times New Roman" w:hAnsi="Times New Roman" w:cs="Times New Roman"/>
              </w:rPr>
              <w:t>56.28%</w:t>
            </w:r>
          </w:p>
        </w:tc>
        <w:tc>
          <w:tcPr>
            <w:tcW w:w="1170" w:type="dxa"/>
            <w:vAlign w:val="bottom"/>
          </w:tcPr>
          <w:p w:rsidR="003C1DB6" w:rsidRPr="003C1DB6" w:rsidRDefault="003C1DB6" w:rsidP="003C1DB6">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3C1DB6">
              <w:rPr>
                <w:rFonts w:ascii="Times New Roman" w:hAnsi="Times New Roman" w:cs="Times New Roman"/>
              </w:rPr>
              <w:t>58.93%</w:t>
            </w:r>
          </w:p>
        </w:tc>
        <w:tc>
          <w:tcPr>
            <w:tcW w:w="1260" w:type="dxa"/>
            <w:vAlign w:val="bottom"/>
          </w:tcPr>
          <w:p w:rsidR="003C1DB6" w:rsidRPr="003C1DB6" w:rsidRDefault="003C1DB6" w:rsidP="003C1DB6">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3C1DB6">
              <w:rPr>
                <w:rFonts w:ascii="Times New Roman" w:hAnsi="Times New Roman" w:cs="Times New Roman"/>
              </w:rPr>
              <w:t>62.07%</w:t>
            </w:r>
          </w:p>
        </w:tc>
        <w:tc>
          <w:tcPr>
            <w:tcW w:w="1260" w:type="dxa"/>
            <w:vAlign w:val="bottom"/>
          </w:tcPr>
          <w:p w:rsidR="003C1DB6" w:rsidRPr="003C1DB6" w:rsidRDefault="003C1DB6" w:rsidP="003C1DB6">
            <w:pPr>
              <w:pStyle w:val="TableParagraph"/>
              <w:spacing w:line="264" w:lineRule="exact"/>
              <w:ind w:left="6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3C1DB6">
              <w:rPr>
                <w:rFonts w:ascii="Times New Roman" w:hAnsi="Times New Roman" w:cs="Times New Roman"/>
              </w:rPr>
              <w:t>64.20%</w:t>
            </w:r>
          </w:p>
        </w:tc>
        <w:tc>
          <w:tcPr>
            <w:cnfStyle w:val="000100000000" w:firstRow="0" w:lastRow="0" w:firstColumn="0" w:lastColumn="1" w:oddVBand="0" w:evenVBand="0" w:oddHBand="0" w:evenHBand="0" w:firstRowFirstColumn="0" w:firstRowLastColumn="0" w:lastRowFirstColumn="0" w:lastRowLastColumn="0"/>
            <w:tcW w:w="1170" w:type="dxa"/>
            <w:vAlign w:val="bottom"/>
          </w:tcPr>
          <w:p w:rsidR="003C1DB6" w:rsidRPr="003C1DB6" w:rsidRDefault="003C1DB6" w:rsidP="003C1DB6">
            <w:pPr>
              <w:pStyle w:val="TableParagraph"/>
              <w:spacing w:line="264" w:lineRule="exact"/>
              <w:rPr>
                <w:rFonts w:ascii="Times New Roman" w:hAnsi="Times New Roman" w:cs="Times New Roman"/>
              </w:rPr>
            </w:pPr>
            <w:r w:rsidRPr="003C1DB6">
              <w:rPr>
                <w:rFonts w:ascii="Times New Roman" w:hAnsi="Times New Roman" w:cs="Times New Roman"/>
              </w:rPr>
              <w:t>63.09%</w:t>
            </w:r>
          </w:p>
        </w:tc>
      </w:tr>
    </w:tbl>
    <w:p w:rsidR="0074143F" w:rsidRDefault="0074143F">
      <w:r>
        <w:br w:type="page"/>
      </w:r>
    </w:p>
    <w:p w:rsidR="003761F5" w:rsidRPr="003761F5" w:rsidRDefault="003761F5" w:rsidP="00AB4C42">
      <w:pPr>
        <w:pStyle w:val="Heading2"/>
      </w:pPr>
      <w:bookmarkStart w:id="6" w:name="_Table_2A_–"/>
      <w:bookmarkEnd w:id="6"/>
      <w:r w:rsidRPr="003761F5">
        <w:t>Table 2A – Non-TANF Parents Maintaining Employment One Year after Entering Child Care</w:t>
      </w:r>
      <w:r w:rsidR="000B055B">
        <w:rPr>
          <w:rStyle w:val="FootnoteReference"/>
        </w:rPr>
        <w:footnoteReference w:id="3"/>
      </w:r>
    </w:p>
    <w:tbl>
      <w:tblPr>
        <w:tblStyle w:val="GridTable1Light-Accent1"/>
        <w:tblW w:w="9805" w:type="dxa"/>
        <w:tblLayout w:type="fixed"/>
        <w:tblLook w:val="01E0" w:firstRow="1" w:lastRow="1" w:firstColumn="1" w:lastColumn="1" w:noHBand="0" w:noVBand="0"/>
        <w:tblCaption w:val="Non-TANF Parents Maintaining Employment One Year after Entering Child Care1 – Table 2A"/>
      </w:tblPr>
      <w:tblGrid>
        <w:gridCol w:w="1223"/>
        <w:gridCol w:w="2552"/>
        <w:gridCol w:w="1170"/>
        <w:gridCol w:w="1170"/>
        <w:gridCol w:w="1260"/>
        <w:gridCol w:w="1260"/>
        <w:gridCol w:w="1170"/>
      </w:tblGrid>
      <w:tr w:rsidR="008E42A8" w:rsidRPr="009603C4" w:rsidTr="007A10D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8E42A8" w:rsidRPr="009603C4" w:rsidRDefault="008E42A8" w:rsidP="007A10DD">
            <w:pPr>
              <w:pStyle w:val="TableParagraph"/>
              <w:spacing w:line="243" w:lineRule="exact"/>
              <w:ind w:left="61"/>
              <w:rPr>
                <w:rFonts w:ascii="Times New Roman" w:eastAsia="Verdana" w:hAnsi="Times New Roman" w:cs="Times New Roman"/>
                <w:sz w:val="24"/>
                <w:szCs w:val="24"/>
              </w:rPr>
            </w:pPr>
            <w:r w:rsidRPr="009603C4">
              <w:rPr>
                <w:rFonts w:ascii="Times New Roman" w:hAnsi="Times New Roman" w:cs="Times New Roman"/>
                <w:bCs w:val="0"/>
                <w:color w:val="000000"/>
              </w:rPr>
              <w:t>Board #</w:t>
            </w:r>
          </w:p>
        </w:tc>
        <w:tc>
          <w:tcPr>
            <w:tcW w:w="2552"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Board Name</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2012</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2013</w:t>
            </w:r>
          </w:p>
        </w:tc>
        <w:tc>
          <w:tcPr>
            <w:tcW w:w="126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2014</w:t>
            </w:r>
          </w:p>
        </w:tc>
        <w:tc>
          <w:tcPr>
            <w:tcW w:w="1260" w:type="dxa"/>
            <w:vAlign w:val="center"/>
          </w:tcPr>
          <w:p w:rsidR="008E42A8" w:rsidRPr="009603C4" w:rsidRDefault="008E42A8" w:rsidP="007A10DD">
            <w:pPr>
              <w:pStyle w:val="TableParagraph"/>
              <w:spacing w:line="258" w:lineRule="exact"/>
              <w:ind w:left="60"/>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8E42A8" w:rsidRPr="009603C4" w:rsidRDefault="008E42A8" w:rsidP="007A10DD">
            <w:pPr>
              <w:pStyle w:val="TableParagraph"/>
              <w:spacing w:line="258" w:lineRule="exact"/>
              <w:rPr>
                <w:rFonts w:ascii="Times New Roman" w:eastAsia="Verdana" w:hAnsi="Times New Roman" w:cs="Times New Roman"/>
                <w:sz w:val="24"/>
                <w:szCs w:val="24"/>
              </w:rPr>
            </w:pPr>
            <w:r w:rsidRPr="009603C4">
              <w:rPr>
                <w:rFonts w:ascii="Times New Roman" w:hAnsi="Times New Roman" w:cs="Times New Roman"/>
                <w:bCs w:val="0"/>
                <w:color w:val="000000"/>
              </w:rPr>
              <w:t>2016</w:t>
            </w:r>
          </w:p>
        </w:tc>
      </w:tr>
      <w:tr w:rsidR="007A10DD" w:rsidRPr="00E416C0" w:rsidTr="007A10DD">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702E49" w:rsidRDefault="007A10DD" w:rsidP="007A10DD">
            <w:pPr>
              <w:pStyle w:val="TableParagraph"/>
              <w:spacing w:line="254"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1</w:t>
            </w:r>
          </w:p>
        </w:tc>
        <w:tc>
          <w:tcPr>
            <w:tcW w:w="2552" w:type="dxa"/>
            <w:vAlign w:val="center"/>
          </w:tcPr>
          <w:p w:rsidR="007A10DD" w:rsidRPr="00E416C0" w:rsidRDefault="007A10DD" w:rsidP="007A10DD">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Panhandle</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73.28%</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76.01%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78.09%</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78.75%</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7"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80.79%</w:t>
            </w:r>
          </w:p>
        </w:tc>
      </w:tr>
      <w:tr w:rsidR="007A10DD" w:rsidRPr="00E416C0" w:rsidTr="007A10DD">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702E49" w:rsidRDefault="007A10DD" w:rsidP="007A10DD">
            <w:pPr>
              <w:pStyle w:val="TableParagraph"/>
              <w:spacing w:line="269"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2</w:t>
            </w:r>
          </w:p>
        </w:tc>
        <w:tc>
          <w:tcPr>
            <w:tcW w:w="2552" w:type="dxa"/>
            <w:vAlign w:val="center"/>
          </w:tcPr>
          <w:p w:rsidR="007A10DD" w:rsidRPr="00E416C0" w:rsidRDefault="007A10DD" w:rsidP="007A10DD">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Plains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78.82%</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80.25%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81.42%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81.74%</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7"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82.29%</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3</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74.74%</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78.34%</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79.57%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80.30%</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81.23%</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1"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4</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Central</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70.23%</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73.91%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75.73%</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77.43%</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79.07%</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5</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Tarrant County</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69.16%</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76.70%</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78.67%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79.38%</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80.58%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6</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Dallas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69.02%</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73.61%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75.98%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78.81%</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82.12%</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7</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East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69.47%</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70.78%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72.85%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76.09%</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77.00%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8</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East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71.05%</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74.73%</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78.07%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80.14%</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80.78%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7"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9</w:t>
            </w:r>
          </w:p>
        </w:tc>
        <w:tc>
          <w:tcPr>
            <w:tcW w:w="2552" w:type="dxa"/>
            <w:vAlign w:val="center"/>
          </w:tcPr>
          <w:p w:rsidR="007A10DD" w:rsidRPr="00E416C0" w:rsidRDefault="007A10DD" w:rsidP="007A10DD">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West Central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75.40%</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79.45%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79.64%</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79.43%</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7"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80.45%</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10</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Borderplex</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68.06%</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69.98%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71.79%</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72.56%</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74.70%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11</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Permian Basin</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77.41%</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81.22%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82.49%</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80.64%</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80.84%</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12</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Concho Valley</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76.77%</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76.55%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78.54%</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80.19%</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82.18%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13</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Heart of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70.09%</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74.83%</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78.68%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81.91%</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83.01%</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14</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Capital Area</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71.00%</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73.47%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76.93%</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78.79%</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80.50%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15</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Rural Capital</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73.44%</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78.26%</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81.18%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81.85%</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82.78%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16</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Brazos Valley</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75.73%</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79.51%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82.06%</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82.67%</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82.06%</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17</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Deep East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73.52%</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76.94%</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76.35%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77.78%</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78.17%</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18</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Southeast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75.63%</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79.12%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80.27%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83.07%</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83.18%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19</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Golden Crescent</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78.11%</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78.65%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81.67%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81.23%</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80.50%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20</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Alamo Area</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75.33%</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77.95%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78.91%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81.21%</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81.05%</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7"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21</w:t>
            </w:r>
          </w:p>
        </w:tc>
        <w:tc>
          <w:tcPr>
            <w:tcW w:w="2552" w:type="dxa"/>
            <w:vAlign w:val="center"/>
          </w:tcPr>
          <w:p w:rsidR="007A10DD" w:rsidRPr="00E416C0" w:rsidRDefault="007A10DD" w:rsidP="007A10DD">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73.71%</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74.77%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76.08%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75.16%</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7"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74.70%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22</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Coastal Bend</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71.64%</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74.94%</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77.61%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77.79%</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77.11%</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23</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Lower Rio Grande</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63.45%</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65.60%</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67.05%</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70.78%</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76.41%</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24</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Cameron County</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66.79%</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71.66%</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73.82%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75.34%</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75.90%</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25</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Texoma</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73.90%</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72.81%</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79.82%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80.75%</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78.35%</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26</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Central Texas</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65.69%</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67.62%</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68.48%</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69.40%</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71.18%</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27</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Middle Rio Grande</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75.04%</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78.07%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80.13%</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80.34%</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80.69%</w:t>
            </w:r>
          </w:p>
        </w:tc>
      </w:tr>
      <w:tr w:rsidR="007A10DD" w:rsidRPr="00E416C0" w:rsidTr="007A10DD">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E416C0" w:rsidRDefault="007A10DD" w:rsidP="007A10DD">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28</w:t>
            </w:r>
          </w:p>
        </w:tc>
        <w:tc>
          <w:tcPr>
            <w:tcW w:w="2552" w:type="dxa"/>
            <w:vAlign w:val="center"/>
          </w:tcPr>
          <w:p w:rsidR="007A10DD" w:rsidRPr="00E416C0" w:rsidRDefault="007A10DD" w:rsidP="007A10DD">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Gulf Coast</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68.12%</w:t>
            </w:r>
          </w:p>
        </w:tc>
        <w:tc>
          <w:tcPr>
            <w:tcW w:w="117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73.17%</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76.09%</w:t>
            </w:r>
          </w:p>
        </w:tc>
        <w:tc>
          <w:tcPr>
            <w:tcW w:w="1260" w:type="dxa"/>
            <w:tcBorders>
              <w:top w:val="nil"/>
              <w:left w:val="nil"/>
              <w:bottom w:val="single" w:sz="4" w:space="0" w:color="auto"/>
              <w:right w:val="single" w:sz="4" w:space="0" w:color="auto"/>
            </w:tcBorders>
            <w:shd w:val="clear" w:color="auto" w:fill="auto"/>
            <w:vAlign w:val="bottom"/>
          </w:tcPr>
          <w:p w:rsidR="007A10DD" w:rsidRPr="00E416C0" w:rsidRDefault="007A10DD" w:rsidP="007A10DD">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75.72%</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shd w:val="clear" w:color="auto" w:fill="auto"/>
            <w:vAlign w:val="bottom"/>
          </w:tcPr>
          <w:p w:rsidR="007A10DD" w:rsidRPr="007A10DD" w:rsidRDefault="007A10DD" w:rsidP="007A10DD">
            <w:pPr>
              <w:pStyle w:val="TableParagraph"/>
              <w:spacing w:line="266" w:lineRule="exact"/>
              <w:rPr>
                <w:rFonts w:ascii="Times New Roman" w:eastAsia="Verdana" w:hAnsi="Times New Roman" w:cs="Times New Roman"/>
                <w:b w:val="0"/>
                <w:sz w:val="24"/>
                <w:szCs w:val="24"/>
              </w:rPr>
            </w:pPr>
            <w:r w:rsidRPr="007A10DD">
              <w:rPr>
                <w:rFonts w:ascii="Times New Roman" w:hAnsi="Times New Roman" w:cs="Times New Roman"/>
                <w:b w:val="0"/>
                <w:color w:val="000000"/>
              </w:rPr>
              <w:t>76.38%</w:t>
            </w:r>
          </w:p>
        </w:tc>
      </w:tr>
      <w:tr w:rsidR="007A10DD" w:rsidRPr="00120F4B" w:rsidTr="007A10DD">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7A10DD" w:rsidRPr="00120F4B" w:rsidRDefault="007A10DD" w:rsidP="007A10DD">
            <w:pPr>
              <w:pStyle w:val="TableParagraph"/>
              <w:spacing w:line="264" w:lineRule="exact"/>
              <w:ind w:left="263"/>
              <w:rPr>
                <w:rFonts w:ascii="Times New Roman" w:eastAsia="Verdana" w:hAnsi="Times New Roman" w:cs="Times New Roman"/>
                <w:sz w:val="24"/>
                <w:szCs w:val="24"/>
              </w:rPr>
            </w:pPr>
            <w:r w:rsidRPr="00120F4B">
              <w:rPr>
                <w:rFonts w:ascii="Times New Roman" w:hAnsi="Times New Roman" w:cs="Times New Roman"/>
                <w:bCs w:val="0"/>
                <w:color w:val="000000"/>
              </w:rPr>
              <w:t>Total</w:t>
            </w:r>
          </w:p>
        </w:tc>
        <w:tc>
          <w:tcPr>
            <w:tcW w:w="2552" w:type="dxa"/>
            <w:vAlign w:val="center"/>
          </w:tcPr>
          <w:p w:rsidR="007A10DD" w:rsidRPr="00120F4B" w:rsidRDefault="007A10DD" w:rsidP="007A10DD">
            <w:pPr>
              <w:pStyle w:val="TableParagraph"/>
              <w:spacing w:line="264" w:lineRule="exact"/>
              <w:ind w:left="43"/>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120F4B">
              <w:rPr>
                <w:rFonts w:ascii="Times New Roman" w:hAnsi="Times New Roman" w:cs="Times New Roman"/>
                <w:bCs w:val="0"/>
                <w:color w:val="000000"/>
              </w:rPr>
              <w:t>System</w:t>
            </w:r>
          </w:p>
        </w:tc>
        <w:tc>
          <w:tcPr>
            <w:tcW w:w="1170" w:type="dxa"/>
            <w:tcBorders>
              <w:top w:val="nil"/>
              <w:left w:val="nil"/>
              <w:bottom w:val="single" w:sz="8" w:space="0" w:color="auto"/>
              <w:right w:val="single" w:sz="4" w:space="0" w:color="auto"/>
            </w:tcBorders>
            <w:shd w:val="clear" w:color="auto" w:fill="auto"/>
            <w:vAlign w:val="bottom"/>
          </w:tcPr>
          <w:p w:rsidR="007A10DD" w:rsidRPr="00120F4B" w:rsidRDefault="007A10DD" w:rsidP="007A10DD">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20F4B">
              <w:rPr>
                <w:rFonts w:ascii="Times New Roman" w:hAnsi="Times New Roman" w:cs="Times New Roman"/>
                <w:bCs w:val="0"/>
                <w:color w:val="000000"/>
              </w:rPr>
              <w:t>70.43%</w:t>
            </w:r>
          </w:p>
        </w:tc>
        <w:tc>
          <w:tcPr>
            <w:tcW w:w="1170" w:type="dxa"/>
            <w:tcBorders>
              <w:top w:val="nil"/>
              <w:left w:val="nil"/>
              <w:bottom w:val="single" w:sz="8" w:space="0" w:color="auto"/>
              <w:right w:val="single" w:sz="4" w:space="0" w:color="auto"/>
            </w:tcBorders>
            <w:shd w:val="clear" w:color="auto" w:fill="auto"/>
            <w:vAlign w:val="bottom"/>
          </w:tcPr>
          <w:p w:rsidR="007A10DD" w:rsidRPr="00120F4B" w:rsidRDefault="007A10DD" w:rsidP="007A10DD">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20F4B">
              <w:rPr>
                <w:rFonts w:ascii="Times New Roman" w:hAnsi="Times New Roman" w:cs="Times New Roman"/>
                <w:bCs w:val="0"/>
                <w:color w:val="000000"/>
              </w:rPr>
              <w:t>74.26%</w:t>
            </w:r>
          </w:p>
        </w:tc>
        <w:tc>
          <w:tcPr>
            <w:tcW w:w="1260" w:type="dxa"/>
            <w:tcBorders>
              <w:top w:val="nil"/>
              <w:left w:val="nil"/>
              <w:bottom w:val="single" w:sz="8" w:space="0" w:color="auto"/>
              <w:right w:val="single" w:sz="4" w:space="0" w:color="auto"/>
            </w:tcBorders>
            <w:shd w:val="clear" w:color="auto" w:fill="auto"/>
            <w:vAlign w:val="bottom"/>
          </w:tcPr>
          <w:p w:rsidR="007A10DD" w:rsidRPr="00120F4B" w:rsidRDefault="007A10DD" w:rsidP="007A10DD">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20F4B">
              <w:rPr>
                <w:rFonts w:ascii="Times New Roman" w:hAnsi="Times New Roman" w:cs="Times New Roman"/>
                <w:bCs w:val="0"/>
                <w:color w:val="000000"/>
              </w:rPr>
              <w:t>76.29%</w:t>
            </w:r>
          </w:p>
        </w:tc>
        <w:tc>
          <w:tcPr>
            <w:tcW w:w="1260" w:type="dxa"/>
            <w:tcBorders>
              <w:top w:val="nil"/>
              <w:left w:val="nil"/>
              <w:bottom w:val="single" w:sz="8" w:space="0" w:color="auto"/>
              <w:right w:val="single" w:sz="4" w:space="0" w:color="auto"/>
            </w:tcBorders>
            <w:shd w:val="clear" w:color="auto" w:fill="auto"/>
            <w:vAlign w:val="bottom"/>
          </w:tcPr>
          <w:p w:rsidR="007A10DD" w:rsidRPr="00120F4B" w:rsidRDefault="007A10DD" w:rsidP="007A10DD">
            <w:pPr>
              <w:pStyle w:val="TableParagraph"/>
              <w:spacing w:line="264" w:lineRule="exact"/>
              <w:ind w:left="6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20F4B">
              <w:rPr>
                <w:rFonts w:ascii="Times New Roman" w:hAnsi="Times New Roman" w:cs="Times New Roman"/>
                <w:bCs w:val="0"/>
                <w:color w:val="000000"/>
              </w:rPr>
              <w:t>77.45%</w:t>
            </w:r>
          </w:p>
        </w:tc>
        <w:tc>
          <w:tcPr>
            <w:cnfStyle w:val="000100000000" w:firstRow="0" w:lastRow="0" w:firstColumn="0" w:lastColumn="1" w:oddVBand="0" w:evenVBand="0" w:oddHBand="0" w:evenHBand="0" w:firstRowFirstColumn="0" w:firstRowLastColumn="0" w:lastRowFirstColumn="0" w:lastRowLastColumn="0"/>
            <w:tcW w:w="1170" w:type="dxa"/>
            <w:tcBorders>
              <w:top w:val="nil"/>
              <w:left w:val="nil"/>
              <w:bottom w:val="single" w:sz="8" w:space="0" w:color="auto"/>
              <w:right w:val="single" w:sz="4" w:space="0" w:color="auto"/>
            </w:tcBorders>
            <w:shd w:val="clear" w:color="auto" w:fill="auto"/>
            <w:vAlign w:val="bottom"/>
          </w:tcPr>
          <w:p w:rsidR="007A10DD" w:rsidRPr="00120F4B" w:rsidRDefault="007A10DD" w:rsidP="007A10DD">
            <w:pPr>
              <w:pStyle w:val="TableParagraph"/>
              <w:spacing w:line="264" w:lineRule="exact"/>
              <w:rPr>
                <w:rFonts w:ascii="Times New Roman" w:hAnsi="Times New Roman" w:cs="Times New Roman"/>
              </w:rPr>
            </w:pPr>
            <w:r w:rsidRPr="00120F4B">
              <w:rPr>
                <w:rFonts w:ascii="Times New Roman" w:hAnsi="Times New Roman" w:cs="Times New Roman"/>
                <w:bCs w:val="0"/>
                <w:color w:val="000000"/>
              </w:rPr>
              <w:t>78.76%</w:t>
            </w:r>
          </w:p>
        </w:tc>
      </w:tr>
    </w:tbl>
    <w:p w:rsidR="008E42A8" w:rsidRDefault="008E42A8">
      <w:r>
        <w:br w:type="page"/>
      </w:r>
    </w:p>
    <w:p w:rsidR="005B0A25" w:rsidRPr="005B0A25" w:rsidRDefault="005B0A25" w:rsidP="00AB4C42">
      <w:pPr>
        <w:pStyle w:val="Heading2"/>
      </w:pPr>
      <w:bookmarkStart w:id="7" w:name="_Table_2B_–"/>
      <w:bookmarkEnd w:id="7"/>
      <w:r w:rsidRPr="005B0A25">
        <w:t>Table 2B – Average One-Year Wage Gain of Non-TANF Parents Receiving Child Care</w:t>
      </w:r>
      <w:r w:rsidR="000B055B">
        <w:rPr>
          <w:rStyle w:val="FootnoteReference"/>
        </w:rPr>
        <w:footnoteReference w:id="4"/>
      </w:r>
    </w:p>
    <w:tbl>
      <w:tblPr>
        <w:tblStyle w:val="GridTable1Light-Accent1"/>
        <w:tblW w:w="9805" w:type="dxa"/>
        <w:tblLayout w:type="fixed"/>
        <w:tblLook w:val="01E0" w:firstRow="1" w:lastRow="1" w:firstColumn="1" w:lastColumn="1" w:noHBand="0" w:noVBand="0"/>
        <w:tblCaption w:val="Average One-Year Wage Gain of Non-TANF Parents Receiving Child Care1 – Table 2B"/>
      </w:tblPr>
      <w:tblGrid>
        <w:gridCol w:w="1223"/>
        <w:gridCol w:w="2552"/>
        <w:gridCol w:w="1170"/>
        <w:gridCol w:w="1170"/>
        <w:gridCol w:w="1260"/>
        <w:gridCol w:w="1260"/>
        <w:gridCol w:w="1170"/>
      </w:tblGrid>
      <w:tr w:rsidR="008E42A8" w:rsidRPr="009603C4" w:rsidTr="007A10D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8E42A8" w:rsidRPr="009603C4" w:rsidRDefault="008E42A8" w:rsidP="007A10DD">
            <w:pPr>
              <w:pStyle w:val="TableParagraph"/>
              <w:spacing w:line="243" w:lineRule="exact"/>
              <w:ind w:left="61"/>
              <w:rPr>
                <w:rFonts w:ascii="Times New Roman" w:eastAsia="Verdana" w:hAnsi="Times New Roman" w:cs="Times New Roman"/>
                <w:sz w:val="24"/>
                <w:szCs w:val="24"/>
              </w:rPr>
            </w:pPr>
            <w:bookmarkStart w:id="8" w:name="_Hlk532556397"/>
            <w:r w:rsidRPr="009603C4">
              <w:rPr>
                <w:rFonts w:ascii="Times New Roman" w:hAnsi="Times New Roman" w:cs="Times New Roman"/>
                <w:bCs w:val="0"/>
                <w:color w:val="000000"/>
              </w:rPr>
              <w:t>B</w:t>
            </w:r>
            <w:bookmarkEnd w:id="8"/>
            <w:r w:rsidRPr="009603C4">
              <w:rPr>
                <w:rFonts w:ascii="Times New Roman" w:hAnsi="Times New Roman" w:cs="Times New Roman"/>
                <w:bCs w:val="0"/>
                <w:color w:val="000000"/>
              </w:rPr>
              <w:t>oard #</w:t>
            </w:r>
          </w:p>
        </w:tc>
        <w:tc>
          <w:tcPr>
            <w:tcW w:w="2552"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Board Name</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2012</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2013</w:t>
            </w:r>
          </w:p>
        </w:tc>
        <w:tc>
          <w:tcPr>
            <w:tcW w:w="126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2014</w:t>
            </w:r>
          </w:p>
        </w:tc>
        <w:tc>
          <w:tcPr>
            <w:tcW w:w="1260" w:type="dxa"/>
            <w:vAlign w:val="center"/>
          </w:tcPr>
          <w:p w:rsidR="008E42A8" w:rsidRPr="009603C4" w:rsidRDefault="008E42A8" w:rsidP="007A10DD">
            <w:pPr>
              <w:pStyle w:val="TableParagraph"/>
              <w:spacing w:line="258" w:lineRule="exact"/>
              <w:ind w:left="60"/>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8E42A8" w:rsidRPr="009603C4" w:rsidRDefault="008E42A8" w:rsidP="007A10DD">
            <w:pPr>
              <w:pStyle w:val="TableParagraph"/>
              <w:spacing w:line="258" w:lineRule="exact"/>
              <w:rPr>
                <w:rFonts w:ascii="Times New Roman" w:eastAsia="Verdana" w:hAnsi="Times New Roman" w:cs="Times New Roman"/>
                <w:sz w:val="24"/>
                <w:szCs w:val="24"/>
              </w:rPr>
            </w:pPr>
            <w:r w:rsidRPr="009603C4">
              <w:rPr>
                <w:rFonts w:ascii="Times New Roman" w:hAnsi="Times New Roman" w:cs="Times New Roman"/>
                <w:bCs w:val="0"/>
                <w:color w:val="000000"/>
              </w:rPr>
              <w:t>2016</w:t>
            </w:r>
          </w:p>
        </w:tc>
      </w:tr>
      <w:tr w:rsidR="006B233F" w:rsidRPr="00E416C0" w:rsidTr="00C53B56">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702E49" w:rsidRDefault="006B233F" w:rsidP="006B233F">
            <w:pPr>
              <w:pStyle w:val="TableParagraph"/>
              <w:spacing w:line="254"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1</w:t>
            </w:r>
          </w:p>
        </w:tc>
        <w:tc>
          <w:tcPr>
            <w:tcW w:w="2552" w:type="dxa"/>
            <w:vAlign w:val="center"/>
          </w:tcPr>
          <w:p w:rsidR="006B233F" w:rsidRPr="00E416C0" w:rsidRDefault="006B233F" w:rsidP="006B233F">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Panhandle</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$515.55</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$713.65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$737.82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$869.33</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7" w:lineRule="exact"/>
              <w:rPr>
                <w:rFonts w:ascii="Times New Roman" w:eastAsia="Verdana" w:hAnsi="Times New Roman" w:cs="Times New Roman"/>
                <w:b w:val="0"/>
                <w:sz w:val="24"/>
                <w:szCs w:val="24"/>
              </w:rPr>
            </w:pPr>
            <w:r w:rsidRPr="006B233F">
              <w:rPr>
                <w:rFonts w:ascii="Times New Roman" w:hAnsi="Times New Roman" w:cs="Times New Roman"/>
                <w:b w:val="0"/>
              </w:rPr>
              <w:t>$696.25</w:t>
            </w:r>
          </w:p>
        </w:tc>
      </w:tr>
      <w:tr w:rsidR="006B233F" w:rsidRPr="00E416C0" w:rsidTr="00C53B56">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702E49" w:rsidRDefault="006B233F" w:rsidP="006B233F">
            <w:pPr>
              <w:pStyle w:val="TableParagraph"/>
              <w:spacing w:line="269"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2</w:t>
            </w:r>
          </w:p>
        </w:tc>
        <w:tc>
          <w:tcPr>
            <w:tcW w:w="2552" w:type="dxa"/>
            <w:vAlign w:val="center"/>
          </w:tcPr>
          <w:p w:rsidR="006B233F" w:rsidRPr="00E416C0" w:rsidRDefault="006B233F" w:rsidP="006B233F">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Plains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$609.15</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$656.52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$676.20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$879.74</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7" w:lineRule="exact"/>
              <w:rPr>
                <w:rFonts w:ascii="Times New Roman" w:eastAsia="Verdana" w:hAnsi="Times New Roman" w:cs="Times New Roman"/>
                <w:b w:val="0"/>
                <w:sz w:val="24"/>
                <w:szCs w:val="24"/>
              </w:rPr>
            </w:pPr>
            <w:r w:rsidRPr="006B233F">
              <w:rPr>
                <w:rFonts w:ascii="Times New Roman" w:hAnsi="Times New Roman" w:cs="Times New Roman"/>
                <w:b w:val="0"/>
              </w:rPr>
              <w:t>$716.56</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3</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$565.34</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$533.55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$563.69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$439.40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$557.39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1"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4</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Central</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$607.96</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$721.29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$923.73</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$790.71</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$689.34</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5</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Tarrant County</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$450.69</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$766.27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$566.42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$734.15</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$519.27</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6</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Dallas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$479.31</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$760.38</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$569.75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$728.61</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$569.80</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7</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East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$422.31</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$617.69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$570.37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$729.40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$784.26</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8</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East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$555.85</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$584.54</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$671.43</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$705.44</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$522.19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7"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9</w:t>
            </w:r>
          </w:p>
        </w:tc>
        <w:tc>
          <w:tcPr>
            <w:tcW w:w="2552" w:type="dxa"/>
            <w:vAlign w:val="center"/>
          </w:tcPr>
          <w:p w:rsidR="006B233F" w:rsidRPr="00E416C0" w:rsidRDefault="006B233F" w:rsidP="006B233F">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West Central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$503.00</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$713.07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$664.85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$653.80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7" w:lineRule="exact"/>
              <w:rPr>
                <w:rFonts w:ascii="Times New Roman" w:eastAsia="Verdana" w:hAnsi="Times New Roman" w:cs="Times New Roman"/>
                <w:b w:val="0"/>
                <w:sz w:val="24"/>
                <w:szCs w:val="24"/>
              </w:rPr>
            </w:pPr>
            <w:r w:rsidRPr="006B233F">
              <w:rPr>
                <w:rFonts w:ascii="Times New Roman" w:hAnsi="Times New Roman" w:cs="Times New Roman"/>
                <w:b w:val="0"/>
              </w:rPr>
              <w:t>$669.29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10</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Borderplex</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$354.26</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$493.70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$450.05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$509.70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$436.63</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11</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Permian Basin</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$784.04</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$1,057.27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$1,033.70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$843.10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$446.79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12</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Concho Valley</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$547.35</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$657.50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$863.49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$790.51</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$599.59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13</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Heart of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$390.13</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$632.78</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$661.47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$625.52</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$550.67</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14</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Capital Area</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$422.15</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$617.29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$672.02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$635.43</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$571.03</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15</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Rural Capital</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$505.23</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$690.81</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$853.65</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$827.98</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$811.92</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16</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Brazos Valley</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$479.74</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$700.28</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$739.96</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$560.40</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$564.86</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17</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Deep East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$576.69</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$722.31</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$593.71</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$743.35</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$710.69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18</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Southeast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$252.92</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$489.83</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$555.37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$571.31</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$416.88</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19</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Golden Crescent</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$563.08</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$644.34</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$779.67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$874.34</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$540.82</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20</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Alamo Area</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$370.94</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$660.56</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$603.36</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$717.89</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$457.88</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7"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21</w:t>
            </w:r>
          </w:p>
        </w:tc>
        <w:tc>
          <w:tcPr>
            <w:tcW w:w="2552" w:type="dxa"/>
            <w:vAlign w:val="center"/>
          </w:tcPr>
          <w:p w:rsidR="006B233F" w:rsidRPr="00E416C0" w:rsidRDefault="006B233F" w:rsidP="006B233F">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$487.83</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$514.29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$659.59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$684.68</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7" w:lineRule="exact"/>
              <w:rPr>
                <w:rFonts w:ascii="Times New Roman" w:eastAsia="Verdana" w:hAnsi="Times New Roman" w:cs="Times New Roman"/>
                <w:b w:val="0"/>
                <w:sz w:val="24"/>
                <w:szCs w:val="24"/>
              </w:rPr>
            </w:pPr>
            <w:r w:rsidRPr="006B233F">
              <w:rPr>
                <w:rFonts w:ascii="Times New Roman" w:hAnsi="Times New Roman" w:cs="Times New Roman"/>
                <w:b w:val="0"/>
              </w:rPr>
              <w:t>$565.17</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22</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Coastal Bend</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$560.82</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$604.51</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$746.03</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$799.19</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$562.53</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23</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Lower Rio Grande</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$369.21</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$423.88</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$469.01</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$545.93</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$542.50</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24</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Cameron County</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$406.13</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$429.07</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$485.10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$541.97</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$426.91</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25</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Texoma</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$542.79</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$697.43</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$737.18</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$972.95</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$561.39</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26</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Central Texas</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$583.63</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$806.72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$628.59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$752.99</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$765.05</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27</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Middle Rio Grande</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$500.14</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$576.70</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$428.79</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$489.48</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$543.87</w:t>
            </w:r>
          </w:p>
        </w:tc>
      </w:tr>
      <w:tr w:rsidR="006B233F"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E416C0" w:rsidRDefault="006B233F" w:rsidP="006B233F">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28</w:t>
            </w:r>
          </w:p>
        </w:tc>
        <w:tc>
          <w:tcPr>
            <w:tcW w:w="2552" w:type="dxa"/>
            <w:vAlign w:val="center"/>
          </w:tcPr>
          <w:p w:rsidR="006B233F" w:rsidRPr="00E416C0" w:rsidRDefault="006B233F" w:rsidP="006B233F">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Gulf Coast</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$635.37</w:t>
            </w:r>
          </w:p>
        </w:tc>
        <w:tc>
          <w:tcPr>
            <w:tcW w:w="117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$762.52</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$910.94</w:t>
            </w:r>
          </w:p>
        </w:tc>
        <w:tc>
          <w:tcPr>
            <w:tcW w:w="1260" w:type="dxa"/>
            <w:tcBorders>
              <w:top w:val="single" w:sz="4" w:space="0" w:color="auto"/>
              <w:left w:val="single" w:sz="4" w:space="0" w:color="auto"/>
              <w:bottom w:val="single" w:sz="4" w:space="0" w:color="auto"/>
              <w:right w:val="single" w:sz="4" w:space="0" w:color="auto"/>
            </w:tcBorders>
          </w:tcPr>
          <w:p w:rsidR="006B233F" w:rsidRPr="00E416C0" w:rsidRDefault="006B233F" w:rsidP="006B233F">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$684.18</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6B233F" w:rsidRDefault="006B233F" w:rsidP="006B233F">
            <w:pPr>
              <w:pStyle w:val="TableParagraph"/>
              <w:spacing w:line="266" w:lineRule="exact"/>
              <w:rPr>
                <w:rFonts w:ascii="Times New Roman" w:eastAsia="Verdana" w:hAnsi="Times New Roman" w:cs="Times New Roman"/>
                <w:b w:val="0"/>
                <w:sz w:val="24"/>
                <w:szCs w:val="24"/>
              </w:rPr>
            </w:pPr>
            <w:r w:rsidRPr="006B233F">
              <w:rPr>
                <w:rFonts w:ascii="Times New Roman" w:hAnsi="Times New Roman" w:cs="Times New Roman"/>
                <w:b w:val="0"/>
              </w:rPr>
              <w:t>$628.43</w:t>
            </w:r>
          </w:p>
        </w:tc>
      </w:tr>
      <w:tr w:rsidR="006B233F" w:rsidRPr="009603C4" w:rsidTr="00C53B56">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6B233F" w:rsidRPr="009603C4" w:rsidRDefault="006B233F" w:rsidP="006B233F">
            <w:pPr>
              <w:pStyle w:val="TableParagraph"/>
              <w:spacing w:line="264" w:lineRule="exact"/>
              <w:ind w:left="263"/>
              <w:rPr>
                <w:rFonts w:ascii="Times New Roman" w:eastAsia="Verdana" w:hAnsi="Times New Roman" w:cs="Times New Roman"/>
                <w:sz w:val="24"/>
                <w:szCs w:val="24"/>
              </w:rPr>
            </w:pPr>
            <w:r w:rsidRPr="009603C4">
              <w:rPr>
                <w:rFonts w:ascii="Times New Roman" w:hAnsi="Times New Roman" w:cs="Times New Roman"/>
                <w:bCs w:val="0"/>
                <w:color w:val="000000"/>
              </w:rPr>
              <w:t>Total</w:t>
            </w:r>
          </w:p>
        </w:tc>
        <w:tc>
          <w:tcPr>
            <w:tcW w:w="2552" w:type="dxa"/>
            <w:vAlign w:val="center"/>
          </w:tcPr>
          <w:p w:rsidR="006B233F" w:rsidRPr="009603C4" w:rsidRDefault="006B233F" w:rsidP="006B233F">
            <w:pPr>
              <w:pStyle w:val="TableParagraph"/>
              <w:spacing w:line="264" w:lineRule="exact"/>
              <w:ind w:left="43"/>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System</w:t>
            </w:r>
          </w:p>
        </w:tc>
        <w:tc>
          <w:tcPr>
            <w:tcW w:w="1170" w:type="dxa"/>
            <w:tcBorders>
              <w:top w:val="single" w:sz="4" w:space="0" w:color="auto"/>
              <w:left w:val="single" w:sz="4" w:space="0" w:color="auto"/>
              <w:bottom w:val="single" w:sz="4" w:space="0" w:color="auto"/>
              <w:right w:val="single" w:sz="4" w:space="0" w:color="auto"/>
            </w:tcBorders>
          </w:tcPr>
          <w:p w:rsidR="006B233F" w:rsidRPr="003C1DB6" w:rsidRDefault="006B233F" w:rsidP="006B233F">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$513.89</w:t>
            </w:r>
          </w:p>
        </w:tc>
        <w:tc>
          <w:tcPr>
            <w:tcW w:w="1170" w:type="dxa"/>
            <w:tcBorders>
              <w:top w:val="single" w:sz="4" w:space="0" w:color="auto"/>
              <w:left w:val="single" w:sz="4" w:space="0" w:color="auto"/>
              <w:bottom w:val="single" w:sz="4" w:space="0" w:color="auto"/>
              <w:right w:val="single" w:sz="4" w:space="0" w:color="auto"/>
            </w:tcBorders>
          </w:tcPr>
          <w:p w:rsidR="006B233F" w:rsidRPr="003C1DB6" w:rsidRDefault="006B233F" w:rsidP="006B233F">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$671.81</w:t>
            </w:r>
          </w:p>
        </w:tc>
        <w:tc>
          <w:tcPr>
            <w:tcW w:w="1260" w:type="dxa"/>
            <w:tcBorders>
              <w:top w:val="single" w:sz="4" w:space="0" w:color="auto"/>
              <w:left w:val="single" w:sz="4" w:space="0" w:color="auto"/>
              <w:bottom w:val="single" w:sz="4" w:space="0" w:color="auto"/>
              <w:right w:val="single" w:sz="4" w:space="0" w:color="auto"/>
            </w:tcBorders>
          </w:tcPr>
          <w:p w:rsidR="006B233F" w:rsidRPr="003C1DB6" w:rsidRDefault="006B233F" w:rsidP="006B233F">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$700.50</w:t>
            </w:r>
          </w:p>
        </w:tc>
        <w:tc>
          <w:tcPr>
            <w:tcW w:w="1260" w:type="dxa"/>
            <w:tcBorders>
              <w:top w:val="single" w:sz="4" w:space="0" w:color="auto"/>
              <w:left w:val="single" w:sz="4" w:space="0" w:color="auto"/>
              <w:bottom w:val="single" w:sz="4" w:space="0" w:color="auto"/>
              <w:right w:val="single" w:sz="4" w:space="0" w:color="auto"/>
            </w:tcBorders>
          </w:tcPr>
          <w:p w:rsidR="006B233F" w:rsidRPr="003C1DB6" w:rsidRDefault="006B233F" w:rsidP="006B233F">
            <w:pPr>
              <w:pStyle w:val="TableParagraph"/>
              <w:spacing w:line="264" w:lineRule="exact"/>
              <w:ind w:left="6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$617.72</w:t>
            </w: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rsidR="006B233F" w:rsidRPr="003C1DB6" w:rsidRDefault="006B233F" w:rsidP="006B233F">
            <w:pPr>
              <w:pStyle w:val="TableParagraph"/>
              <w:keepNext/>
              <w:spacing w:line="264" w:lineRule="exact"/>
              <w:rPr>
                <w:rFonts w:ascii="Times New Roman" w:hAnsi="Times New Roman" w:cs="Times New Roman"/>
              </w:rPr>
            </w:pPr>
            <w:r w:rsidRPr="00E416C0">
              <w:rPr>
                <w:rFonts w:ascii="Times New Roman" w:hAnsi="Times New Roman" w:cs="Times New Roman"/>
              </w:rPr>
              <w:t>$581.26</w:t>
            </w:r>
          </w:p>
        </w:tc>
      </w:tr>
    </w:tbl>
    <w:p w:rsidR="006B233F" w:rsidRDefault="006B233F">
      <w:r>
        <w:br w:type="page"/>
      </w:r>
    </w:p>
    <w:p w:rsidR="00696229" w:rsidRPr="00696229" w:rsidRDefault="00696229" w:rsidP="00AB4C42">
      <w:pPr>
        <w:pStyle w:val="Heading2"/>
      </w:pPr>
      <w:bookmarkStart w:id="9" w:name="_Table_3C_–"/>
      <w:bookmarkEnd w:id="9"/>
      <w:r w:rsidRPr="00696229">
        <w:t>Table 3C – Percent</w:t>
      </w:r>
      <w:r w:rsidR="00116A81">
        <w:t>age</w:t>
      </w:r>
      <w:r w:rsidRPr="00696229">
        <w:t xml:space="preserve"> of Parents Leaving </w:t>
      </w:r>
      <w:r w:rsidR="00116A81">
        <w:t xml:space="preserve">a </w:t>
      </w:r>
      <w:r w:rsidRPr="00696229">
        <w:t>Child Care Program and Receiving TANF within a Year</w:t>
      </w:r>
      <w:r w:rsidR="000B055B">
        <w:rPr>
          <w:rStyle w:val="FootnoteReference"/>
        </w:rPr>
        <w:footnoteReference w:id="5"/>
      </w:r>
    </w:p>
    <w:tbl>
      <w:tblPr>
        <w:tblStyle w:val="GridTable1Light-Accent1"/>
        <w:tblW w:w="9805" w:type="dxa"/>
        <w:tblLayout w:type="fixed"/>
        <w:tblLook w:val="01E0" w:firstRow="1" w:lastRow="1" w:firstColumn="1" w:lastColumn="1" w:noHBand="0" w:noVBand="0"/>
        <w:tblCaption w:val="Percent of Parents Leaving the Child Care Program and Receiving TANF within a Year1 – Table 3C"/>
      </w:tblPr>
      <w:tblGrid>
        <w:gridCol w:w="1223"/>
        <w:gridCol w:w="2552"/>
        <w:gridCol w:w="1170"/>
        <w:gridCol w:w="1170"/>
        <w:gridCol w:w="1260"/>
        <w:gridCol w:w="1260"/>
        <w:gridCol w:w="1170"/>
      </w:tblGrid>
      <w:tr w:rsidR="008E42A8" w:rsidRPr="009603C4" w:rsidTr="007A10D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8E42A8" w:rsidRPr="009603C4" w:rsidRDefault="008E42A8" w:rsidP="007A10DD">
            <w:pPr>
              <w:pStyle w:val="TableParagraph"/>
              <w:spacing w:line="243" w:lineRule="exact"/>
              <w:ind w:left="61"/>
              <w:rPr>
                <w:rFonts w:ascii="Times New Roman" w:eastAsia="Verdana" w:hAnsi="Times New Roman" w:cs="Times New Roman"/>
                <w:sz w:val="24"/>
                <w:szCs w:val="24"/>
              </w:rPr>
            </w:pPr>
            <w:r w:rsidRPr="009603C4">
              <w:rPr>
                <w:rFonts w:ascii="Times New Roman" w:hAnsi="Times New Roman" w:cs="Times New Roman"/>
                <w:bCs w:val="0"/>
                <w:color w:val="000000"/>
              </w:rPr>
              <w:t>Board #</w:t>
            </w:r>
          </w:p>
        </w:tc>
        <w:tc>
          <w:tcPr>
            <w:tcW w:w="2552"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Board Name</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2012</w:t>
            </w:r>
          </w:p>
        </w:tc>
        <w:tc>
          <w:tcPr>
            <w:tcW w:w="117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2013</w:t>
            </w:r>
          </w:p>
        </w:tc>
        <w:tc>
          <w:tcPr>
            <w:tcW w:w="1260" w:type="dxa"/>
            <w:vAlign w:val="center"/>
          </w:tcPr>
          <w:p w:rsidR="008E42A8" w:rsidRPr="009603C4" w:rsidRDefault="008E42A8" w:rsidP="007A10DD">
            <w:pPr>
              <w:pStyle w:val="TableParagraph"/>
              <w:spacing w:line="258" w:lineRule="exact"/>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2014</w:t>
            </w:r>
          </w:p>
        </w:tc>
        <w:tc>
          <w:tcPr>
            <w:tcW w:w="1260" w:type="dxa"/>
            <w:vAlign w:val="center"/>
          </w:tcPr>
          <w:p w:rsidR="008E42A8" w:rsidRPr="009603C4" w:rsidRDefault="008E42A8" w:rsidP="007A10DD">
            <w:pPr>
              <w:pStyle w:val="TableParagraph"/>
              <w:spacing w:line="258" w:lineRule="exact"/>
              <w:ind w:left="60"/>
              <w:cnfStyle w:val="100000000000" w:firstRow="1"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2015</w:t>
            </w:r>
          </w:p>
        </w:tc>
        <w:tc>
          <w:tcPr>
            <w:cnfStyle w:val="000100000000" w:firstRow="0" w:lastRow="0" w:firstColumn="0" w:lastColumn="1" w:oddVBand="0" w:evenVBand="0" w:oddHBand="0" w:evenHBand="0" w:firstRowFirstColumn="0" w:firstRowLastColumn="0" w:lastRowFirstColumn="0" w:lastRowLastColumn="0"/>
            <w:tcW w:w="1170" w:type="dxa"/>
            <w:vAlign w:val="center"/>
          </w:tcPr>
          <w:p w:rsidR="008E42A8" w:rsidRPr="009603C4" w:rsidRDefault="008E42A8" w:rsidP="007A10DD">
            <w:pPr>
              <w:pStyle w:val="TableParagraph"/>
              <w:spacing w:line="258" w:lineRule="exact"/>
              <w:rPr>
                <w:rFonts w:ascii="Times New Roman" w:eastAsia="Verdana" w:hAnsi="Times New Roman" w:cs="Times New Roman"/>
                <w:sz w:val="24"/>
                <w:szCs w:val="24"/>
              </w:rPr>
            </w:pPr>
            <w:r w:rsidRPr="009603C4">
              <w:rPr>
                <w:rFonts w:ascii="Times New Roman" w:hAnsi="Times New Roman" w:cs="Times New Roman"/>
                <w:bCs w:val="0"/>
                <w:color w:val="000000"/>
              </w:rPr>
              <w:t>2016</w:t>
            </w:r>
          </w:p>
        </w:tc>
      </w:tr>
      <w:tr w:rsidR="00483972" w:rsidRPr="00E416C0" w:rsidTr="00C53B56">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702E49" w:rsidRDefault="00483972" w:rsidP="00483972">
            <w:pPr>
              <w:pStyle w:val="TableParagraph"/>
              <w:spacing w:line="254"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1</w:t>
            </w:r>
          </w:p>
        </w:tc>
        <w:tc>
          <w:tcPr>
            <w:tcW w:w="2552" w:type="dxa"/>
            <w:vAlign w:val="center"/>
          </w:tcPr>
          <w:p w:rsidR="00483972" w:rsidRPr="00E416C0" w:rsidRDefault="00483972" w:rsidP="00483972">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Panhandle</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5.25%</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4.04%</w:t>
            </w:r>
          </w:p>
        </w:tc>
        <w:tc>
          <w:tcPr>
            <w:tcW w:w="126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3.66%</w:t>
            </w:r>
          </w:p>
        </w:tc>
        <w:tc>
          <w:tcPr>
            <w:tcW w:w="1260" w:type="dxa"/>
          </w:tcPr>
          <w:p w:rsidR="00483972" w:rsidRPr="00E416C0" w:rsidRDefault="00483972" w:rsidP="00483972">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4.56%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7" w:lineRule="exact"/>
              <w:rPr>
                <w:rFonts w:ascii="Times New Roman" w:eastAsia="Verdana" w:hAnsi="Times New Roman" w:cs="Times New Roman"/>
                <w:b w:val="0"/>
                <w:sz w:val="24"/>
                <w:szCs w:val="24"/>
              </w:rPr>
            </w:pPr>
            <w:r w:rsidRPr="00483972">
              <w:rPr>
                <w:rFonts w:ascii="Times New Roman" w:hAnsi="Times New Roman" w:cs="Times New Roman"/>
                <w:b w:val="0"/>
              </w:rPr>
              <w:t>3.61%</w:t>
            </w:r>
          </w:p>
        </w:tc>
      </w:tr>
      <w:tr w:rsidR="00483972" w:rsidRPr="00E416C0" w:rsidTr="00C53B56">
        <w:trPr>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702E49" w:rsidRDefault="00483972" w:rsidP="00483972">
            <w:pPr>
              <w:pStyle w:val="TableParagraph"/>
              <w:spacing w:line="269" w:lineRule="exact"/>
              <w:ind w:left="5"/>
              <w:rPr>
                <w:rFonts w:ascii="Times New Roman" w:eastAsia="Times New Roman" w:hAnsi="Times New Roman" w:cs="Times New Roman"/>
                <w:sz w:val="24"/>
                <w:szCs w:val="24"/>
              </w:rPr>
            </w:pPr>
            <w:r w:rsidRPr="00E416C0">
              <w:rPr>
                <w:rFonts w:ascii="Times New Roman" w:hAnsi="Times New Roman" w:cs="Times New Roman"/>
                <w:b w:val="0"/>
                <w:bCs w:val="0"/>
                <w:color w:val="000000"/>
              </w:rPr>
              <w:t>2</w:t>
            </w:r>
          </w:p>
        </w:tc>
        <w:tc>
          <w:tcPr>
            <w:tcW w:w="2552" w:type="dxa"/>
            <w:vAlign w:val="center"/>
          </w:tcPr>
          <w:p w:rsidR="00483972" w:rsidRPr="00E416C0" w:rsidRDefault="00483972" w:rsidP="00483972">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Plains</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7.66%</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6.01%</w:t>
            </w:r>
          </w:p>
        </w:tc>
        <w:tc>
          <w:tcPr>
            <w:tcW w:w="126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3.72%</w:t>
            </w:r>
          </w:p>
        </w:tc>
        <w:tc>
          <w:tcPr>
            <w:tcW w:w="1260" w:type="dxa"/>
          </w:tcPr>
          <w:p w:rsidR="00483972" w:rsidRPr="00E416C0" w:rsidRDefault="00483972" w:rsidP="00483972">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5.89%</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7" w:lineRule="exact"/>
              <w:rPr>
                <w:rFonts w:ascii="Times New Roman" w:eastAsia="Verdana" w:hAnsi="Times New Roman" w:cs="Times New Roman"/>
                <w:b w:val="0"/>
                <w:sz w:val="24"/>
                <w:szCs w:val="24"/>
              </w:rPr>
            </w:pPr>
            <w:r w:rsidRPr="00483972">
              <w:rPr>
                <w:rFonts w:ascii="Times New Roman" w:hAnsi="Times New Roman" w:cs="Times New Roman"/>
                <w:b w:val="0"/>
              </w:rPr>
              <w:t>4.20%</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3</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18.50%</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16.91%</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13.00%</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12.93%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14.92%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1"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4</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Central</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7.43%</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5.19%</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7.56%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5.68%</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3"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5</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Tarrant County</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13.60%</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12.99%</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11.32%</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12.76%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12.60%</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6</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Dallas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20.92%</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20.33%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18.94%</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19.33%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16.23%</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7</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North East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9.99%</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8.46%</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6.91%</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7.01%</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6.68%</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8</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East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4.90%</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4.36%</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4.63%</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6.00%</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4.21%</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7" w:lineRule="exact"/>
              <w:ind w:left="9"/>
              <w:rPr>
                <w:rFonts w:ascii="Times New Roman" w:eastAsia="Verdana" w:hAnsi="Times New Roman" w:cs="Times New Roman"/>
                <w:sz w:val="24"/>
                <w:szCs w:val="24"/>
              </w:rPr>
            </w:pPr>
            <w:r w:rsidRPr="00E416C0">
              <w:rPr>
                <w:rFonts w:ascii="Times New Roman" w:hAnsi="Times New Roman" w:cs="Times New Roman"/>
                <w:b w:val="0"/>
                <w:bCs w:val="0"/>
                <w:color w:val="000000"/>
              </w:rPr>
              <w:t>9</w:t>
            </w:r>
          </w:p>
        </w:tc>
        <w:tc>
          <w:tcPr>
            <w:tcW w:w="2552" w:type="dxa"/>
            <w:vAlign w:val="center"/>
          </w:tcPr>
          <w:p w:rsidR="00483972" w:rsidRPr="00E416C0" w:rsidRDefault="00483972" w:rsidP="00483972">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West Central Texas</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5.10%</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6.60%</w:t>
            </w:r>
          </w:p>
        </w:tc>
        <w:tc>
          <w:tcPr>
            <w:tcW w:w="126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4.30%</w:t>
            </w:r>
          </w:p>
        </w:tc>
        <w:tc>
          <w:tcPr>
            <w:tcW w:w="1260" w:type="dxa"/>
          </w:tcPr>
          <w:p w:rsidR="00483972" w:rsidRPr="00E416C0" w:rsidRDefault="00483972" w:rsidP="00483972">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5.95%</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7" w:lineRule="exact"/>
              <w:rPr>
                <w:rFonts w:ascii="Times New Roman" w:eastAsia="Verdana" w:hAnsi="Times New Roman" w:cs="Times New Roman"/>
                <w:b w:val="0"/>
                <w:sz w:val="24"/>
                <w:szCs w:val="24"/>
              </w:rPr>
            </w:pPr>
            <w:r w:rsidRPr="00483972">
              <w:rPr>
                <w:rFonts w:ascii="Times New Roman" w:hAnsi="Times New Roman" w:cs="Times New Roman"/>
                <w:b w:val="0"/>
              </w:rPr>
              <w:t>7.82%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10</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Borderplex</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17.54%</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15.60%</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13.14%</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12.52%</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13.00%</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11</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Permian Basin</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3.53%</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1.83%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1.14%</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2.65%</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4.72%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12</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Concho Valley</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8.51%</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5.50%</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4.52%</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8.33%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7.06%</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13</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Heart of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9.95%</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8.47%</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9.12%</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9.06%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9.55%</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14</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Capital Area</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21.24%</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17.54%</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12.00%</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11.32%</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12.96%</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15</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Rural Capital</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10.04%</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9.02%</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5.69%</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7.03%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5.56%</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16</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Brazos Valley</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8.47%</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8.03%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3.78%</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5.27%</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5.48%</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17</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Deep East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6.81%</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5.58%</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5.18%</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6.16%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5.72%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18</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Southeast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12.58%</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8.76%</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9.23%</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11.33%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8.64%</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19</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Golden Crescent</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3.39%</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2.55%</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2.22%</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0.85%</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2.82%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20</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Alamo Area</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13.25%</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12.86%</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8.94%</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9.34%</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9.76%</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7"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21</w:t>
            </w:r>
          </w:p>
        </w:tc>
        <w:tc>
          <w:tcPr>
            <w:tcW w:w="2552" w:type="dxa"/>
            <w:vAlign w:val="center"/>
          </w:tcPr>
          <w:p w:rsidR="00483972" w:rsidRPr="00E416C0" w:rsidRDefault="00483972" w:rsidP="00483972">
            <w:pPr>
              <w:pStyle w:val="TableParagraph"/>
              <w:spacing w:line="267"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South Texas</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7.63%</w:t>
            </w:r>
          </w:p>
        </w:tc>
        <w:tc>
          <w:tcPr>
            <w:tcW w:w="117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5.97%</w:t>
            </w:r>
          </w:p>
        </w:tc>
        <w:tc>
          <w:tcPr>
            <w:tcW w:w="1260" w:type="dxa"/>
          </w:tcPr>
          <w:p w:rsidR="00483972" w:rsidRPr="00E416C0" w:rsidRDefault="00483972" w:rsidP="00483972">
            <w:pPr>
              <w:pStyle w:val="TableParagraph"/>
              <w:spacing w:line="267"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5.84%</w:t>
            </w:r>
          </w:p>
        </w:tc>
        <w:tc>
          <w:tcPr>
            <w:tcW w:w="1260" w:type="dxa"/>
          </w:tcPr>
          <w:p w:rsidR="00483972" w:rsidRPr="00E416C0" w:rsidRDefault="00483972" w:rsidP="00483972">
            <w:pPr>
              <w:pStyle w:val="TableParagraph"/>
              <w:spacing w:line="267"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5.56%</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7" w:lineRule="exact"/>
              <w:rPr>
                <w:rFonts w:ascii="Times New Roman" w:eastAsia="Verdana" w:hAnsi="Times New Roman" w:cs="Times New Roman"/>
                <w:b w:val="0"/>
                <w:sz w:val="24"/>
                <w:szCs w:val="24"/>
              </w:rPr>
            </w:pPr>
            <w:r w:rsidRPr="00483972">
              <w:rPr>
                <w:rFonts w:ascii="Times New Roman" w:hAnsi="Times New Roman" w:cs="Times New Roman"/>
                <w:b w:val="0"/>
              </w:rPr>
              <w:t>5.59%</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22</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Coastal Bend</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9.54%</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9.32%</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8.28%</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6.93%</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8.60%</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23</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Lower Rio Grande</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10.05%</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7.58%</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6.28%</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5.09%</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4.54%</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24</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Cameron County</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13.01%</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10.73%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8.35%</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6.68%</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6.93%</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25</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Texoma</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8.68%</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5.72%</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6.05%</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6.52%</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5.54%</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26</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Central Texas</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12.86%</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12.47%</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9.44%</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11.09%</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10.35%</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27</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Middle Rio Grande</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8.84%</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7.81%</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6.30%</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5.88%</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5.72%</w:t>
            </w:r>
          </w:p>
        </w:tc>
      </w:tr>
      <w:tr w:rsidR="00483972" w:rsidRPr="00E416C0" w:rsidTr="00C53B56">
        <w:trPr>
          <w:trHeight w:hRule="exact" w:val="284"/>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E416C0" w:rsidRDefault="00483972" w:rsidP="00483972">
            <w:pPr>
              <w:pStyle w:val="TableParagraph"/>
              <w:spacing w:line="266" w:lineRule="exact"/>
              <w:ind w:left="8"/>
              <w:rPr>
                <w:rFonts w:ascii="Times New Roman" w:eastAsia="Verdana" w:hAnsi="Times New Roman" w:cs="Times New Roman"/>
                <w:sz w:val="24"/>
                <w:szCs w:val="24"/>
              </w:rPr>
            </w:pPr>
            <w:r w:rsidRPr="00E416C0">
              <w:rPr>
                <w:rFonts w:ascii="Times New Roman" w:hAnsi="Times New Roman" w:cs="Times New Roman"/>
                <w:b w:val="0"/>
                <w:bCs w:val="0"/>
                <w:color w:val="000000"/>
              </w:rPr>
              <w:t>28</w:t>
            </w:r>
          </w:p>
        </w:tc>
        <w:tc>
          <w:tcPr>
            <w:tcW w:w="2552" w:type="dxa"/>
            <w:vAlign w:val="center"/>
          </w:tcPr>
          <w:p w:rsidR="00483972" w:rsidRPr="00E416C0" w:rsidRDefault="00483972" w:rsidP="00483972">
            <w:pPr>
              <w:pStyle w:val="TableParagraph"/>
              <w:spacing w:line="266" w:lineRule="exact"/>
              <w:ind w:left="3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color w:val="000000"/>
              </w:rPr>
              <w:t>Gulf Coast</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12.43%</w:t>
            </w:r>
          </w:p>
        </w:tc>
        <w:tc>
          <w:tcPr>
            <w:tcW w:w="117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14.53%</w:t>
            </w:r>
          </w:p>
        </w:tc>
        <w:tc>
          <w:tcPr>
            <w:tcW w:w="1260" w:type="dxa"/>
          </w:tcPr>
          <w:p w:rsidR="00483972" w:rsidRPr="00E416C0" w:rsidRDefault="00483972" w:rsidP="00483972">
            <w:pPr>
              <w:pStyle w:val="TableParagraph"/>
              <w:spacing w:line="266" w:lineRule="exact"/>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11.67%</w:t>
            </w:r>
          </w:p>
        </w:tc>
        <w:tc>
          <w:tcPr>
            <w:tcW w:w="1260" w:type="dxa"/>
          </w:tcPr>
          <w:p w:rsidR="00483972" w:rsidRPr="00E416C0" w:rsidRDefault="00483972" w:rsidP="00483972">
            <w:pPr>
              <w:pStyle w:val="TableParagraph"/>
              <w:spacing w:line="266" w:lineRule="exact"/>
              <w:ind w:left="60"/>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E416C0">
              <w:rPr>
                <w:rFonts w:ascii="Times New Roman" w:hAnsi="Times New Roman" w:cs="Times New Roman"/>
              </w:rPr>
              <w:t>12.88%</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483972" w:rsidRDefault="00483972" w:rsidP="00483972">
            <w:pPr>
              <w:pStyle w:val="TableParagraph"/>
              <w:spacing w:line="266" w:lineRule="exact"/>
              <w:rPr>
                <w:rFonts w:ascii="Times New Roman" w:eastAsia="Verdana" w:hAnsi="Times New Roman" w:cs="Times New Roman"/>
                <w:b w:val="0"/>
                <w:sz w:val="24"/>
                <w:szCs w:val="24"/>
              </w:rPr>
            </w:pPr>
            <w:r w:rsidRPr="00483972">
              <w:rPr>
                <w:rFonts w:ascii="Times New Roman" w:hAnsi="Times New Roman" w:cs="Times New Roman"/>
                <w:b w:val="0"/>
              </w:rPr>
              <w:t>12.34%</w:t>
            </w:r>
          </w:p>
        </w:tc>
      </w:tr>
      <w:tr w:rsidR="00483972" w:rsidRPr="009603C4" w:rsidTr="00BB0481">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1223" w:type="dxa"/>
            <w:vAlign w:val="center"/>
          </w:tcPr>
          <w:p w:rsidR="00483972" w:rsidRPr="009603C4" w:rsidRDefault="00483972" w:rsidP="00BB0481">
            <w:pPr>
              <w:pStyle w:val="TableParagraph"/>
              <w:spacing w:line="264" w:lineRule="exact"/>
              <w:ind w:left="263"/>
              <w:rPr>
                <w:rFonts w:ascii="Times New Roman" w:eastAsia="Verdana" w:hAnsi="Times New Roman" w:cs="Times New Roman"/>
                <w:sz w:val="24"/>
                <w:szCs w:val="24"/>
              </w:rPr>
            </w:pPr>
            <w:r w:rsidRPr="009603C4">
              <w:rPr>
                <w:rFonts w:ascii="Times New Roman" w:hAnsi="Times New Roman" w:cs="Times New Roman"/>
                <w:bCs w:val="0"/>
                <w:color w:val="000000"/>
              </w:rPr>
              <w:t>Total</w:t>
            </w:r>
          </w:p>
        </w:tc>
        <w:tc>
          <w:tcPr>
            <w:tcW w:w="2552" w:type="dxa"/>
            <w:vAlign w:val="center"/>
          </w:tcPr>
          <w:p w:rsidR="00483972" w:rsidRPr="009603C4" w:rsidRDefault="00483972" w:rsidP="00483972">
            <w:pPr>
              <w:pStyle w:val="TableParagraph"/>
              <w:spacing w:line="264" w:lineRule="exact"/>
              <w:ind w:left="43"/>
              <w:cnfStyle w:val="010000000000" w:firstRow="0" w:lastRow="1" w:firstColumn="0" w:lastColumn="0" w:oddVBand="0" w:evenVBand="0" w:oddHBand="0" w:evenHBand="0" w:firstRowFirstColumn="0" w:firstRowLastColumn="0" w:lastRowFirstColumn="0" w:lastRowLastColumn="0"/>
              <w:rPr>
                <w:rFonts w:ascii="Times New Roman" w:eastAsia="Verdana" w:hAnsi="Times New Roman" w:cs="Times New Roman"/>
                <w:sz w:val="24"/>
                <w:szCs w:val="24"/>
              </w:rPr>
            </w:pPr>
            <w:r w:rsidRPr="009603C4">
              <w:rPr>
                <w:rFonts w:ascii="Times New Roman" w:hAnsi="Times New Roman" w:cs="Times New Roman"/>
                <w:bCs w:val="0"/>
                <w:color w:val="000000"/>
              </w:rPr>
              <w:t>System</w:t>
            </w:r>
          </w:p>
        </w:tc>
        <w:tc>
          <w:tcPr>
            <w:tcW w:w="1170" w:type="dxa"/>
          </w:tcPr>
          <w:p w:rsidR="00483972" w:rsidRPr="003C1DB6" w:rsidRDefault="00483972" w:rsidP="00483972">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12.00%</w:t>
            </w:r>
          </w:p>
        </w:tc>
        <w:tc>
          <w:tcPr>
            <w:tcW w:w="1170" w:type="dxa"/>
          </w:tcPr>
          <w:p w:rsidR="00483972" w:rsidRPr="003C1DB6" w:rsidRDefault="00483972" w:rsidP="00483972">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11.39%</w:t>
            </w:r>
          </w:p>
        </w:tc>
        <w:tc>
          <w:tcPr>
            <w:tcW w:w="1260" w:type="dxa"/>
          </w:tcPr>
          <w:p w:rsidR="00483972" w:rsidRPr="003C1DB6" w:rsidRDefault="00483972" w:rsidP="00483972">
            <w:pPr>
              <w:pStyle w:val="TableParagraph"/>
              <w:spacing w:line="264" w:lineRule="exac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9.50%</w:t>
            </w:r>
          </w:p>
        </w:tc>
        <w:tc>
          <w:tcPr>
            <w:tcW w:w="1260" w:type="dxa"/>
          </w:tcPr>
          <w:p w:rsidR="00483972" w:rsidRPr="003C1DB6" w:rsidRDefault="00483972" w:rsidP="00483972">
            <w:pPr>
              <w:pStyle w:val="TableParagraph"/>
              <w:spacing w:line="264" w:lineRule="exact"/>
              <w:ind w:left="6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16C0">
              <w:rPr>
                <w:rFonts w:ascii="Times New Roman" w:hAnsi="Times New Roman" w:cs="Times New Roman"/>
              </w:rPr>
              <w:t>9.98%</w:t>
            </w:r>
          </w:p>
        </w:tc>
        <w:tc>
          <w:tcPr>
            <w:cnfStyle w:val="000100000000" w:firstRow="0" w:lastRow="0" w:firstColumn="0" w:lastColumn="1" w:oddVBand="0" w:evenVBand="0" w:oddHBand="0" w:evenHBand="0" w:firstRowFirstColumn="0" w:firstRowLastColumn="0" w:lastRowFirstColumn="0" w:lastRowLastColumn="0"/>
            <w:tcW w:w="1170" w:type="dxa"/>
          </w:tcPr>
          <w:p w:rsidR="00483972" w:rsidRPr="003C1DB6" w:rsidRDefault="00483972" w:rsidP="00696229">
            <w:pPr>
              <w:pStyle w:val="TableParagraph"/>
              <w:keepNext/>
              <w:spacing w:line="264" w:lineRule="exact"/>
              <w:rPr>
                <w:rFonts w:ascii="Times New Roman" w:hAnsi="Times New Roman" w:cs="Times New Roman"/>
              </w:rPr>
            </w:pPr>
            <w:r w:rsidRPr="00E416C0">
              <w:rPr>
                <w:rFonts w:ascii="Times New Roman" w:hAnsi="Times New Roman" w:cs="Times New Roman"/>
              </w:rPr>
              <w:t>9.56%</w:t>
            </w:r>
          </w:p>
        </w:tc>
      </w:tr>
    </w:tbl>
    <w:p w:rsidR="00EC21A7" w:rsidRPr="00CD5B30" w:rsidRDefault="00EC21A7" w:rsidP="00CD5B30"/>
    <w:sectPr w:rsidR="00EC21A7" w:rsidRPr="00CD5B30" w:rsidSect="004342B9">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3E" w:rsidRDefault="008F2C3E" w:rsidP="00C8678E">
      <w:r>
        <w:separator/>
      </w:r>
    </w:p>
  </w:endnote>
  <w:endnote w:type="continuationSeparator" w:id="0">
    <w:p w:rsidR="008F2C3E" w:rsidRDefault="008F2C3E" w:rsidP="00C8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C7" w:rsidRPr="00C8678E" w:rsidRDefault="000408C7" w:rsidP="00C8678E">
    <w:pPr>
      <w:pStyle w:val="Footer"/>
    </w:pPr>
    <w:r w:rsidRPr="00C8678E">
      <w:t>Effectiveness of Subsidized Child Care Report – 86</w:t>
    </w:r>
    <w:r w:rsidRPr="00C8678E">
      <w:rPr>
        <w:vertAlign w:val="superscript"/>
      </w:rPr>
      <w:t>th</w:t>
    </w:r>
    <w:r>
      <w:t xml:space="preserve"> Texas Legislature (1.</w:t>
    </w:r>
    <w:r w:rsidR="009029BB">
      <w:t>8</w:t>
    </w:r>
    <w:r w:rsidRPr="00C8678E">
      <w:t>.201</w:t>
    </w:r>
    <w:r w:rsidR="009029BB">
      <w:t>9</w:t>
    </w:r>
    <w:r w:rsidRPr="00C8678E">
      <w:t xml:space="preserve">) </w:t>
    </w:r>
    <w:r w:rsidR="009029BB">
      <w:t>Notebook</w:t>
    </w:r>
    <w:r w:rsidRPr="00C8678E">
      <w:ptab w:relativeTo="margin" w:alignment="right" w:leader="none"/>
    </w:r>
    <w:r w:rsidRPr="00C8678E">
      <w:fldChar w:fldCharType="begin"/>
    </w:r>
    <w:r w:rsidRPr="00C8678E">
      <w:instrText xml:space="preserve"> PAGE   \* MERGEFORMAT </w:instrText>
    </w:r>
    <w:r w:rsidRPr="00C8678E">
      <w:fldChar w:fldCharType="separate"/>
    </w:r>
    <w:r w:rsidR="006D4B8F">
      <w:rPr>
        <w:noProof/>
      </w:rPr>
      <w:t>1</w:t>
    </w:r>
    <w:r w:rsidRPr="00C867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3E" w:rsidRDefault="008F2C3E" w:rsidP="00C8678E">
      <w:r>
        <w:separator/>
      </w:r>
    </w:p>
  </w:footnote>
  <w:footnote w:type="continuationSeparator" w:id="0">
    <w:p w:rsidR="008F2C3E" w:rsidRDefault="008F2C3E" w:rsidP="00C8678E">
      <w:r>
        <w:continuationSeparator/>
      </w:r>
    </w:p>
  </w:footnote>
  <w:footnote w:id="1">
    <w:p w:rsidR="000408C7" w:rsidRDefault="000408C7">
      <w:pPr>
        <w:pStyle w:val="FootnoteText"/>
      </w:pPr>
      <w:r>
        <w:rPr>
          <w:rStyle w:val="FootnoteReference"/>
        </w:rPr>
        <w:footnoteRef/>
      </w:r>
      <w:r>
        <w:t xml:space="preserve"> </w:t>
      </w:r>
      <w:r w:rsidRPr="000B055B">
        <w:t>Texas Labor Code, §302.0043(a)(1)(A)</w:t>
      </w:r>
    </w:p>
  </w:footnote>
  <w:footnote w:id="2">
    <w:p w:rsidR="000408C7" w:rsidRDefault="000408C7">
      <w:pPr>
        <w:pStyle w:val="FootnoteText"/>
      </w:pPr>
      <w:r>
        <w:rPr>
          <w:rStyle w:val="FootnoteReference"/>
        </w:rPr>
        <w:footnoteRef/>
      </w:r>
      <w:r>
        <w:t xml:space="preserve"> </w:t>
      </w:r>
      <w:r w:rsidRPr="000B055B">
        <w:t>Texas Labor Code, §302.0043(a)(1)(B)</w:t>
      </w:r>
    </w:p>
  </w:footnote>
  <w:footnote w:id="3">
    <w:p w:rsidR="000408C7" w:rsidRDefault="000408C7">
      <w:pPr>
        <w:pStyle w:val="FootnoteText"/>
      </w:pPr>
      <w:r>
        <w:rPr>
          <w:rStyle w:val="FootnoteReference"/>
        </w:rPr>
        <w:footnoteRef/>
      </w:r>
      <w:r>
        <w:t xml:space="preserve"> </w:t>
      </w:r>
      <w:r w:rsidRPr="000B055B">
        <w:t>Texas Labor Code, §302.0043(a)(2)(A)</w:t>
      </w:r>
    </w:p>
  </w:footnote>
  <w:footnote w:id="4">
    <w:p w:rsidR="000408C7" w:rsidRDefault="000408C7">
      <w:pPr>
        <w:pStyle w:val="FootnoteText"/>
      </w:pPr>
      <w:r>
        <w:rPr>
          <w:rStyle w:val="FootnoteReference"/>
        </w:rPr>
        <w:footnoteRef/>
      </w:r>
      <w:r>
        <w:t xml:space="preserve"> </w:t>
      </w:r>
      <w:r w:rsidRPr="000B055B">
        <w:t>Texas Labor Code, §302.0043(a)(2)(B)</w:t>
      </w:r>
    </w:p>
  </w:footnote>
  <w:footnote w:id="5">
    <w:p w:rsidR="000408C7" w:rsidRDefault="000408C7">
      <w:pPr>
        <w:pStyle w:val="FootnoteText"/>
      </w:pPr>
      <w:r>
        <w:rPr>
          <w:rStyle w:val="FootnoteReference"/>
        </w:rPr>
        <w:footnoteRef/>
      </w:r>
      <w:r>
        <w:t xml:space="preserve"> </w:t>
      </w:r>
      <w:r w:rsidRPr="000B055B">
        <w:t>Texas Labor Code, §302.0043(a)(3)(B)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098"/>
    <w:multiLevelType w:val="hybridMultilevel"/>
    <w:tmpl w:val="F85E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752C4"/>
    <w:multiLevelType w:val="hybridMultilevel"/>
    <w:tmpl w:val="D5D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7499"/>
    <w:multiLevelType w:val="hybridMultilevel"/>
    <w:tmpl w:val="A11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2A27"/>
    <w:multiLevelType w:val="hybridMultilevel"/>
    <w:tmpl w:val="84040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A73"/>
    <w:multiLevelType w:val="hybridMultilevel"/>
    <w:tmpl w:val="6BF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67616"/>
    <w:multiLevelType w:val="hybridMultilevel"/>
    <w:tmpl w:val="E29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E456A"/>
    <w:multiLevelType w:val="hybridMultilevel"/>
    <w:tmpl w:val="52E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360F3"/>
    <w:multiLevelType w:val="hybridMultilevel"/>
    <w:tmpl w:val="1ED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3ECD"/>
    <w:multiLevelType w:val="hybridMultilevel"/>
    <w:tmpl w:val="1D4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82C2C"/>
    <w:multiLevelType w:val="hybridMultilevel"/>
    <w:tmpl w:val="A9F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D62F8"/>
    <w:multiLevelType w:val="hybridMultilevel"/>
    <w:tmpl w:val="070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20E4E"/>
    <w:multiLevelType w:val="hybridMultilevel"/>
    <w:tmpl w:val="135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124A9"/>
    <w:multiLevelType w:val="hybridMultilevel"/>
    <w:tmpl w:val="5D22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F2DBF"/>
    <w:multiLevelType w:val="hybridMultilevel"/>
    <w:tmpl w:val="855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F1600"/>
    <w:multiLevelType w:val="hybridMultilevel"/>
    <w:tmpl w:val="6F3E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522BD"/>
    <w:multiLevelType w:val="hybridMultilevel"/>
    <w:tmpl w:val="B4746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2A81018"/>
    <w:multiLevelType w:val="hybridMultilevel"/>
    <w:tmpl w:val="2EEE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F2A2E"/>
    <w:multiLevelType w:val="hybridMultilevel"/>
    <w:tmpl w:val="B8D0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27D1B"/>
    <w:multiLevelType w:val="hybridMultilevel"/>
    <w:tmpl w:val="6E1A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63A1B"/>
    <w:multiLevelType w:val="hybridMultilevel"/>
    <w:tmpl w:val="D64CDB2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784830D5"/>
    <w:multiLevelType w:val="hybridMultilevel"/>
    <w:tmpl w:val="3E00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8"/>
  </w:num>
  <w:num w:numId="5">
    <w:abstractNumId w:val="20"/>
  </w:num>
  <w:num w:numId="6">
    <w:abstractNumId w:val="1"/>
  </w:num>
  <w:num w:numId="7">
    <w:abstractNumId w:val="0"/>
  </w:num>
  <w:num w:numId="8">
    <w:abstractNumId w:val="10"/>
  </w:num>
  <w:num w:numId="9">
    <w:abstractNumId w:val="9"/>
  </w:num>
  <w:num w:numId="10">
    <w:abstractNumId w:val="11"/>
  </w:num>
  <w:num w:numId="11">
    <w:abstractNumId w:val="17"/>
  </w:num>
  <w:num w:numId="12">
    <w:abstractNumId w:val="8"/>
  </w:num>
  <w:num w:numId="13">
    <w:abstractNumId w:val="2"/>
  </w:num>
  <w:num w:numId="14">
    <w:abstractNumId w:val="4"/>
  </w:num>
  <w:num w:numId="15">
    <w:abstractNumId w:val="7"/>
  </w:num>
  <w:num w:numId="16">
    <w:abstractNumId w:val="12"/>
  </w:num>
  <w:num w:numId="17">
    <w:abstractNumId w:val="5"/>
  </w:num>
  <w:num w:numId="18">
    <w:abstractNumId w:val="6"/>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8E"/>
    <w:rsid w:val="00007EC4"/>
    <w:rsid w:val="00031DF2"/>
    <w:rsid w:val="00032D1F"/>
    <w:rsid w:val="00036CCB"/>
    <w:rsid w:val="000408C7"/>
    <w:rsid w:val="00046513"/>
    <w:rsid w:val="00062E48"/>
    <w:rsid w:val="0007211A"/>
    <w:rsid w:val="00080AA2"/>
    <w:rsid w:val="00087757"/>
    <w:rsid w:val="000A6A11"/>
    <w:rsid w:val="000A6CCE"/>
    <w:rsid w:val="000B055B"/>
    <w:rsid w:val="000B60E4"/>
    <w:rsid w:val="000C68E3"/>
    <w:rsid w:val="000D3EB4"/>
    <w:rsid w:val="000F039F"/>
    <w:rsid w:val="00116A81"/>
    <w:rsid w:val="00120F4B"/>
    <w:rsid w:val="00132F6E"/>
    <w:rsid w:val="0013678D"/>
    <w:rsid w:val="00171F99"/>
    <w:rsid w:val="0017472C"/>
    <w:rsid w:val="0018787F"/>
    <w:rsid w:val="0019537F"/>
    <w:rsid w:val="001B3C93"/>
    <w:rsid w:val="00203D0A"/>
    <w:rsid w:val="0021005E"/>
    <w:rsid w:val="00210D7B"/>
    <w:rsid w:val="00214281"/>
    <w:rsid w:val="00220F42"/>
    <w:rsid w:val="0022453E"/>
    <w:rsid w:val="0024795B"/>
    <w:rsid w:val="00255783"/>
    <w:rsid w:val="00257C1A"/>
    <w:rsid w:val="00260446"/>
    <w:rsid w:val="00297FCB"/>
    <w:rsid w:val="002D167A"/>
    <w:rsid w:val="002F1999"/>
    <w:rsid w:val="00313599"/>
    <w:rsid w:val="00315182"/>
    <w:rsid w:val="003174D0"/>
    <w:rsid w:val="0034786A"/>
    <w:rsid w:val="0035055B"/>
    <w:rsid w:val="003761F5"/>
    <w:rsid w:val="003A48D6"/>
    <w:rsid w:val="003A74F6"/>
    <w:rsid w:val="003B418A"/>
    <w:rsid w:val="003B51A5"/>
    <w:rsid w:val="003C1C81"/>
    <w:rsid w:val="003C1DB6"/>
    <w:rsid w:val="003C3CAE"/>
    <w:rsid w:val="003C4B38"/>
    <w:rsid w:val="00404DEC"/>
    <w:rsid w:val="00413F4B"/>
    <w:rsid w:val="00421762"/>
    <w:rsid w:val="00422378"/>
    <w:rsid w:val="00423C35"/>
    <w:rsid w:val="00424D3D"/>
    <w:rsid w:val="004258C5"/>
    <w:rsid w:val="00425DD8"/>
    <w:rsid w:val="00432887"/>
    <w:rsid w:val="004342B9"/>
    <w:rsid w:val="00435B03"/>
    <w:rsid w:val="0047049F"/>
    <w:rsid w:val="00477593"/>
    <w:rsid w:val="00483972"/>
    <w:rsid w:val="004A03CC"/>
    <w:rsid w:val="004A2D05"/>
    <w:rsid w:val="004B4761"/>
    <w:rsid w:val="004C5A23"/>
    <w:rsid w:val="004E0FCA"/>
    <w:rsid w:val="004F4D22"/>
    <w:rsid w:val="00503DDE"/>
    <w:rsid w:val="00517AA1"/>
    <w:rsid w:val="0053456B"/>
    <w:rsid w:val="005424CA"/>
    <w:rsid w:val="00545A04"/>
    <w:rsid w:val="00555C81"/>
    <w:rsid w:val="00563FC8"/>
    <w:rsid w:val="005678A7"/>
    <w:rsid w:val="005A137E"/>
    <w:rsid w:val="005A668B"/>
    <w:rsid w:val="005B0A25"/>
    <w:rsid w:val="005E0EBB"/>
    <w:rsid w:val="006150A5"/>
    <w:rsid w:val="00625A48"/>
    <w:rsid w:val="00627B16"/>
    <w:rsid w:val="006633DB"/>
    <w:rsid w:val="00696229"/>
    <w:rsid w:val="006B0FB6"/>
    <w:rsid w:val="006B233F"/>
    <w:rsid w:val="006C6A09"/>
    <w:rsid w:val="006D3A58"/>
    <w:rsid w:val="006D4B8F"/>
    <w:rsid w:val="006E4CDD"/>
    <w:rsid w:val="0071638B"/>
    <w:rsid w:val="00720C4E"/>
    <w:rsid w:val="00727644"/>
    <w:rsid w:val="00727EE4"/>
    <w:rsid w:val="0073551C"/>
    <w:rsid w:val="0074143F"/>
    <w:rsid w:val="00743E9A"/>
    <w:rsid w:val="00747A3D"/>
    <w:rsid w:val="00751C37"/>
    <w:rsid w:val="00756BCB"/>
    <w:rsid w:val="00757107"/>
    <w:rsid w:val="00780C60"/>
    <w:rsid w:val="007A10DD"/>
    <w:rsid w:val="007C6B68"/>
    <w:rsid w:val="007D5F67"/>
    <w:rsid w:val="007E5288"/>
    <w:rsid w:val="007F31BD"/>
    <w:rsid w:val="007F62EC"/>
    <w:rsid w:val="00810B06"/>
    <w:rsid w:val="00812919"/>
    <w:rsid w:val="008144D3"/>
    <w:rsid w:val="00814E01"/>
    <w:rsid w:val="00855DD2"/>
    <w:rsid w:val="008A139F"/>
    <w:rsid w:val="008B07F6"/>
    <w:rsid w:val="008B277E"/>
    <w:rsid w:val="008D2D96"/>
    <w:rsid w:val="008D6CB2"/>
    <w:rsid w:val="008E2505"/>
    <w:rsid w:val="008E42A8"/>
    <w:rsid w:val="008E7FA0"/>
    <w:rsid w:val="008F2C3E"/>
    <w:rsid w:val="009029BB"/>
    <w:rsid w:val="009038CE"/>
    <w:rsid w:val="00916331"/>
    <w:rsid w:val="00945B5B"/>
    <w:rsid w:val="009603C4"/>
    <w:rsid w:val="00962CB3"/>
    <w:rsid w:val="009630EC"/>
    <w:rsid w:val="00974C2A"/>
    <w:rsid w:val="00983A8D"/>
    <w:rsid w:val="009A38B7"/>
    <w:rsid w:val="009B31C7"/>
    <w:rsid w:val="009B44DA"/>
    <w:rsid w:val="009B4AA8"/>
    <w:rsid w:val="009D5667"/>
    <w:rsid w:val="009E22FE"/>
    <w:rsid w:val="009E48CB"/>
    <w:rsid w:val="009E7346"/>
    <w:rsid w:val="009F6E81"/>
    <w:rsid w:val="00A10D3C"/>
    <w:rsid w:val="00A16BBD"/>
    <w:rsid w:val="00A32A13"/>
    <w:rsid w:val="00A3636D"/>
    <w:rsid w:val="00A37F93"/>
    <w:rsid w:val="00A41352"/>
    <w:rsid w:val="00A47E24"/>
    <w:rsid w:val="00A572C6"/>
    <w:rsid w:val="00A643EF"/>
    <w:rsid w:val="00A7003C"/>
    <w:rsid w:val="00A710B0"/>
    <w:rsid w:val="00A712CD"/>
    <w:rsid w:val="00A770F0"/>
    <w:rsid w:val="00AA02BB"/>
    <w:rsid w:val="00AA14D2"/>
    <w:rsid w:val="00AA6F11"/>
    <w:rsid w:val="00AB4C42"/>
    <w:rsid w:val="00AB5513"/>
    <w:rsid w:val="00AC4B79"/>
    <w:rsid w:val="00AE0657"/>
    <w:rsid w:val="00AF33DE"/>
    <w:rsid w:val="00B46F67"/>
    <w:rsid w:val="00B47DC3"/>
    <w:rsid w:val="00B72B31"/>
    <w:rsid w:val="00B73FBD"/>
    <w:rsid w:val="00B745C5"/>
    <w:rsid w:val="00BA30CD"/>
    <w:rsid w:val="00BA617E"/>
    <w:rsid w:val="00BA6FE6"/>
    <w:rsid w:val="00BB0481"/>
    <w:rsid w:val="00BB15FF"/>
    <w:rsid w:val="00BC5F57"/>
    <w:rsid w:val="00BD09C3"/>
    <w:rsid w:val="00BD4B92"/>
    <w:rsid w:val="00BD4DB5"/>
    <w:rsid w:val="00BE5ED6"/>
    <w:rsid w:val="00BE7CF2"/>
    <w:rsid w:val="00BF24FF"/>
    <w:rsid w:val="00BF7443"/>
    <w:rsid w:val="00C124FD"/>
    <w:rsid w:val="00C26105"/>
    <w:rsid w:val="00C277D0"/>
    <w:rsid w:val="00C31218"/>
    <w:rsid w:val="00C368A4"/>
    <w:rsid w:val="00C53B56"/>
    <w:rsid w:val="00C54D98"/>
    <w:rsid w:val="00C61CFF"/>
    <w:rsid w:val="00C83BA2"/>
    <w:rsid w:val="00C8678E"/>
    <w:rsid w:val="00CB754B"/>
    <w:rsid w:val="00CC1030"/>
    <w:rsid w:val="00CC5F18"/>
    <w:rsid w:val="00CD31D6"/>
    <w:rsid w:val="00CD5B30"/>
    <w:rsid w:val="00CF040B"/>
    <w:rsid w:val="00CF6CB1"/>
    <w:rsid w:val="00D22534"/>
    <w:rsid w:val="00D359DE"/>
    <w:rsid w:val="00D40EC9"/>
    <w:rsid w:val="00D55DBA"/>
    <w:rsid w:val="00D55E46"/>
    <w:rsid w:val="00D67C45"/>
    <w:rsid w:val="00D71D13"/>
    <w:rsid w:val="00D85272"/>
    <w:rsid w:val="00D85DCA"/>
    <w:rsid w:val="00D8681A"/>
    <w:rsid w:val="00D92AB6"/>
    <w:rsid w:val="00D95829"/>
    <w:rsid w:val="00DC23C3"/>
    <w:rsid w:val="00DD2838"/>
    <w:rsid w:val="00DE3F6D"/>
    <w:rsid w:val="00DF34E4"/>
    <w:rsid w:val="00DF5298"/>
    <w:rsid w:val="00E06B0D"/>
    <w:rsid w:val="00E41DDA"/>
    <w:rsid w:val="00E43ADF"/>
    <w:rsid w:val="00E52D74"/>
    <w:rsid w:val="00E54F74"/>
    <w:rsid w:val="00E703E7"/>
    <w:rsid w:val="00E91BCC"/>
    <w:rsid w:val="00EA0721"/>
    <w:rsid w:val="00EB58F2"/>
    <w:rsid w:val="00EC21A7"/>
    <w:rsid w:val="00EC4AFF"/>
    <w:rsid w:val="00EE276B"/>
    <w:rsid w:val="00EF090D"/>
    <w:rsid w:val="00F02306"/>
    <w:rsid w:val="00F06D02"/>
    <w:rsid w:val="00F15DDE"/>
    <w:rsid w:val="00F271AE"/>
    <w:rsid w:val="00F30D5A"/>
    <w:rsid w:val="00F340E6"/>
    <w:rsid w:val="00F46C07"/>
    <w:rsid w:val="00F57070"/>
    <w:rsid w:val="00F7779C"/>
    <w:rsid w:val="00F96B77"/>
    <w:rsid w:val="00FA2A37"/>
    <w:rsid w:val="00FA2A58"/>
    <w:rsid w:val="00FB5CFE"/>
    <w:rsid w:val="00FD279A"/>
    <w:rsid w:val="00FD6736"/>
    <w:rsid w:val="00FE484C"/>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64F9-246C-4A05-A70F-763A485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78E"/>
    <w:rPr>
      <w:rFonts w:ascii="Times New Roman" w:hAnsi="Times New Roman" w:cs="Times New Roman"/>
    </w:rPr>
  </w:style>
  <w:style w:type="paragraph" w:styleId="Heading1">
    <w:name w:val="heading 1"/>
    <w:basedOn w:val="Normal"/>
    <w:next w:val="Normal"/>
    <w:link w:val="Heading1Char"/>
    <w:uiPriority w:val="9"/>
    <w:qFormat/>
    <w:rsid w:val="00BE7CF2"/>
    <w:pPr>
      <w:spacing w:before="360" w:after="120"/>
      <w:outlineLvl w:val="0"/>
    </w:pPr>
    <w:rPr>
      <w:b/>
      <w:sz w:val="32"/>
    </w:rPr>
  </w:style>
  <w:style w:type="paragraph" w:styleId="Heading2">
    <w:name w:val="heading 2"/>
    <w:basedOn w:val="Normal"/>
    <w:next w:val="Normal"/>
    <w:link w:val="Heading2Char"/>
    <w:uiPriority w:val="9"/>
    <w:unhideWhenUsed/>
    <w:qFormat/>
    <w:rsid w:val="00BE7CF2"/>
    <w:pPr>
      <w:spacing w:before="240" w:after="120"/>
      <w:outlineLvl w:val="1"/>
    </w:pPr>
    <w:rPr>
      <w:b/>
      <w:color w:val="2F5496" w:themeColor="accent1" w:themeShade="BF"/>
      <w:sz w:val="28"/>
    </w:rPr>
  </w:style>
  <w:style w:type="paragraph" w:styleId="Heading3">
    <w:name w:val="heading 3"/>
    <w:basedOn w:val="Normal"/>
    <w:next w:val="Normal"/>
    <w:link w:val="Heading3Char"/>
    <w:uiPriority w:val="9"/>
    <w:unhideWhenUsed/>
    <w:qFormat/>
    <w:rsid w:val="00CD5B30"/>
    <w:pPr>
      <w:keepNext/>
      <w:keepLines/>
      <w:spacing w:before="40" w:after="0"/>
      <w:outlineLvl w:val="2"/>
    </w:pPr>
    <w:rPr>
      <w:rFonts w:eastAsiaTheme="majorEastAsia"/>
      <w:b/>
      <w:i/>
      <w:szCs w:val="24"/>
    </w:rPr>
  </w:style>
  <w:style w:type="paragraph" w:styleId="Heading4">
    <w:name w:val="heading 4"/>
    <w:basedOn w:val="Normal"/>
    <w:next w:val="Normal"/>
    <w:link w:val="Heading4Char"/>
    <w:uiPriority w:val="9"/>
    <w:unhideWhenUsed/>
    <w:qFormat/>
    <w:rsid w:val="00FA2A58"/>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8E"/>
  </w:style>
  <w:style w:type="paragraph" w:styleId="Footer">
    <w:name w:val="footer"/>
    <w:basedOn w:val="Normal"/>
    <w:link w:val="FooterChar"/>
    <w:uiPriority w:val="99"/>
    <w:unhideWhenUsed/>
    <w:rsid w:val="00C86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8E"/>
  </w:style>
  <w:style w:type="paragraph" w:styleId="Title">
    <w:name w:val="Title"/>
    <w:basedOn w:val="Normal"/>
    <w:next w:val="Normal"/>
    <w:link w:val="TitleChar"/>
    <w:uiPriority w:val="10"/>
    <w:qFormat/>
    <w:rsid w:val="00FA2A58"/>
    <w:pPr>
      <w:spacing w:after="0" w:line="240" w:lineRule="auto"/>
      <w:contextualSpacing/>
    </w:pPr>
    <w:rPr>
      <w:rFonts w:eastAsiaTheme="majorEastAsia"/>
      <w:spacing w:val="-10"/>
      <w:kern w:val="28"/>
      <w:sz w:val="44"/>
      <w:szCs w:val="32"/>
    </w:rPr>
  </w:style>
  <w:style w:type="character" w:customStyle="1" w:styleId="TitleChar">
    <w:name w:val="Title Char"/>
    <w:basedOn w:val="DefaultParagraphFont"/>
    <w:link w:val="Title"/>
    <w:uiPriority w:val="10"/>
    <w:rsid w:val="00FA2A58"/>
    <w:rPr>
      <w:rFonts w:ascii="Times New Roman" w:eastAsiaTheme="majorEastAsia" w:hAnsi="Times New Roman" w:cs="Times New Roman"/>
      <w:spacing w:val="-10"/>
      <w:kern w:val="28"/>
      <w:sz w:val="44"/>
      <w:szCs w:val="32"/>
    </w:rPr>
  </w:style>
  <w:style w:type="paragraph" w:styleId="Subtitle">
    <w:name w:val="Subtitle"/>
    <w:basedOn w:val="Normal"/>
    <w:next w:val="Normal"/>
    <w:link w:val="SubtitleChar"/>
    <w:uiPriority w:val="11"/>
    <w:qFormat/>
    <w:rsid w:val="00C8678E"/>
    <w:pPr>
      <w:numPr>
        <w:ilvl w:val="1"/>
      </w:numPr>
      <w:spacing w:after="0"/>
    </w:pPr>
    <w:rPr>
      <w:rFonts w:eastAsiaTheme="minorEastAsia"/>
      <w:spacing w:val="15"/>
      <w:sz w:val="24"/>
    </w:rPr>
  </w:style>
  <w:style w:type="character" w:customStyle="1" w:styleId="SubtitleChar">
    <w:name w:val="Subtitle Char"/>
    <w:basedOn w:val="DefaultParagraphFont"/>
    <w:link w:val="Subtitle"/>
    <w:uiPriority w:val="11"/>
    <w:rsid w:val="00C8678E"/>
    <w:rPr>
      <w:rFonts w:ascii="Times New Roman" w:eastAsiaTheme="minorEastAsia" w:hAnsi="Times New Roman" w:cs="Times New Roman"/>
      <w:spacing w:val="15"/>
      <w:sz w:val="24"/>
    </w:rPr>
  </w:style>
  <w:style w:type="character" w:styleId="SubtleEmphasis">
    <w:name w:val="Subtle Emphasis"/>
    <w:basedOn w:val="DefaultParagraphFont"/>
    <w:uiPriority w:val="19"/>
    <w:qFormat/>
    <w:rsid w:val="00C8678E"/>
    <w:rPr>
      <w:i/>
      <w:iCs/>
      <w:color w:val="404040" w:themeColor="text1" w:themeTint="BF"/>
    </w:rPr>
  </w:style>
  <w:style w:type="character" w:customStyle="1" w:styleId="Heading1Char">
    <w:name w:val="Heading 1 Char"/>
    <w:basedOn w:val="DefaultParagraphFont"/>
    <w:link w:val="Heading1"/>
    <w:uiPriority w:val="9"/>
    <w:rsid w:val="00BE7CF2"/>
    <w:rPr>
      <w:rFonts w:ascii="Times New Roman" w:hAnsi="Times New Roman" w:cs="Times New Roman"/>
      <w:b/>
      <w:sz w:val="32"/>
    </w:rPr>
  </w:style>
  <w:style w:type="paragraph" w:styleId="ListParagraph">
    <w:name w:val="List Paragraph"/>
    <w:basedOn w:val="Normal"/>
    <w:uiPriority w:val="34"/>
    <w:qFormat/>
    <w:rsid w:val="00C8678E"/>
    <w:pPr>
      <w:ind w:left="720"/>
      <w:contextualSpacing/>
    </w:pPr>
  </w:style>
  <w:style w:type="character" w:customStyle="1" w:styleId="Heading2Char">
    <w:name w:val="Heading 2 Char"/>
    <w:basedOn w:val="DefaultParagraphFont"/>
    <w:link w:val="Heading2"/>
    <w:uiPriority w:val="9"/>
    <w:rsid w:val="00BE7CF2"/>
    <w:rPr>
      <w:rFonts w:ascii="Times New Roman" w:hAnsi="Times New Roman" w:cs="Times New Roman"/>
      <w:b/>
      <w:color w:val="2F5496" w:themeColor="accent1" w:themeShade="BF"/>
      <w:sz w:val="28"/>
    </w:rPr>
  </w:style>
  <w:style w:type="character" w:customStyle="1" w:styleId="Heading3Char">
    <w:name w:val="Heading 3 Char"/>
    <w:basedOn w:val="DefaultParagraphFont"/>
    <w:link w:val="Heading3"/>
    <w:uiPriority w:val="9"/>
    <w:rsid w:val="00CD5B30"/>
    <w:rPr>
      <w:rFonts w:ascii="Times New Roman" w:eastAsiaTheme="majorEastAsia" w:hAnsi="Times New Roman" w:cs="Times New Roman"/>
      <w:b/>
      <w:i/>
      <w:szCs w:val="24"/>
    </w:rPr>
  </w:style>
  <w:style w:type="character" w:customStyle="1" w:styleId="Heading4Char">
    <w:name w:val="Heading 4 Char"/>
    <w:basedOn w:val="DefaultParagraphFont"/>
    <w:link w:val="Heading4"/>
    <w:uiPriority w:val="9"/>
    <w:rsid w:val="00FA2A58"/>
    <w:rPr>
      <w:rFonts w:ascii="Times New Roman" w:eastAsiaTheme="majorEastAsia" w:hAnsi="Times New Roman" w:cstheme="majorBidi"/>
      <w:b/>
      <w:i/>
      <w:iCs/>
    </w:rPr>
  </w:style>
  <w:style w:type="paragraph" w:customStyle="1" w:styleId="TableParagraph">
    <w:name w:val="Table Paragraph"/>
    <w:basedOn w:val="Normal"/>
    <w:uiPriority w:val="1"/>
    <w:qFormat/>
    <w:rsid w:val="00FF1AEB"/>
    <w:pPr>
      <w:widowControl w:val="0"/>
      <w:spacing w:after="0" w:line="240" w:lineRule="auto"/>
    </w:pPr>
    <w:rPr>
      <w:rFonts w:asciiTheme="minorHAnsi" w:hAnsiTheme="minorHAnsi" w:cstheme="minorBidi"/>
    </w:rPr>
  </w:style>
  <w:style w:type="table" w:styleId="TableGrid">
    <w:name w:val="Table Grid"/>
    <w:basedOn w:val="TableNormal"/>
    <w:uiPriority w:val="39"/>
    <w:rsid w:val="00F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F1A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FF1A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2-Accent1">
    <w:name w:val="List Table 2 Accent 1"/>
    <w:basedOn w:val="TableNormal"/>
    <w:uiPriority w:val="47"/>
    <w:rsid w:val="00F271A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F2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AE"/>
    <w:rPr>
      <w:rFonts w:ascii="Segoe UI" w:hAnsi="Segoe UI" w:cs="Segoe UI"/>
      <w:sz w:val="18"/>
      <w:szCs w:val="18"/>
    </w:rPr>
  </w:style>
  <w:style w:type="paragraph" w:styleId="Caption">
    <w:name w:val="caption"/>
    <w:basedOn w:val="Normal"/>
    <w:next w:val="Normal"/>
    <w:uiPriority w:val="35"/>
    <w:unhideWhenUsed/>
    <w:qFormat/>
    <w:rsid w:val="00F271AE"/>
    <w:pPr>
      <w:spacing w:after="200" w:line="240" w:lineRule="auto"/>
    </w:pPr>
    <w:rPr>
      <w:i/>
      <w:iCs/>
      <w:color w:val="44546A" w:themeColor="text2"/>
      <w:sz w:val="18"/>
      <w:szCs w:val="18"/>
    </w:rPr>
  </w:style>
  <w:style w:type="table" w:styleId="GridTable1Light-Accent1">
    <w:name w:val="Grid Table 1 Light Accent 1"/>
    <w:basedOn w:val="TableNormal"/>
    <w:uiPriority w:val="46"/>
    <w:rsid w:val="009603C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53B56"/>
    <w:rPr>
      <w:sz w:val="16"/>
      <w:szCs w:val="16"/>
    </w:rPr>
  </w:style>
  <w:style w:type="paragraph" w:styleId="CommentText">
    <w:name w:val="annotation text"/>
    <w:basedOn w:val="Normal"/>
    <w:link w:val="CommentTextChar"/>
    <w:uiPriority w:val="99"/>
    <w:semiHidden/>
    <w:unhideWhenUsed/>
    <w:rsid w:val="00C53B56"/>
    <w:pPr>
      <w:spacing w:line="240" w:lineRule="auto"/>
    </w:pPr>
    <w:rPr>
      <w:sz w:val="20"/>
      <w:szCs w:val="20"/>
    </w:rPr>
  </w:style>
  <w:style w:type="character" w:customStyle="1" w:styleId="CommentTextChar">
    <w:name w:val="Comment Text Char"/>
    <w:basedOn w:val="DefaultParagraphFont"/>
    <w:link w:val="CommentText"/>
    <w:uiPriority w:val="99"/>
    <w:semiHidden/>
    <w:rsid w:val="00C53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B56"/>
    <w:rPr>
      <w:b/>
      <w:bCs/>
    </w:rPr>
  </w:style>
  <w:style w:type="character" w:customStyle="1" w:styleId="CommentSubjectChar">
    <w:name w:val="Comment Subject Char"/>
    <w:basedOn w:val="CommentTextChar"/>
    <w:link w:val="CommentSubject"/>
    <w:uiPriority w:val="99"/>
    <w:semiHidden/>
    <w:rsid w:val="00C53B56"/>
    <w:rPr>
      <w:rFonts w:ascii="Times New Roman" w:hAnsi="Times New Roman" w:cs="Times New Roman"/>
      <w:b/>
      <w:bCs/>
      <w:sz w:val="20"/>
      <w:szCs w:val="20"/>
    </w:rPr>
  </w:style>
  <w:style w:type="character" w:styleId="Hyperlink">
    <w:name w:val="Hyperlink"/>
    <w:basedOn w:val="DefaultParagraphFont"/>
    <w:uiPriority w:val="99"/>
    <w:unhideWhenUsed/>
    <w:rsid w:val="00AB4C42"/>
    <w:rPr>
      <w:color w:val="0563C1" w:themeColor="hyperlink"/>
      <w:u w:val="single"/>
    </w:rPr>
  </w:style>
  <w:style w:type="character" w:styleId="UnresolvedMention">
    <w:name w:val="Unresolved Mention"/>
    <w:basedOn w:val="DefaultParagraphFont"/>
    <w:uiPriority w:val="99"/>
    <w:semiHidden/>
    <w:unhideWhenUsed/>
    <w:rsid w:val="00AB4C42"/>
    <w:rPr>
      <w:color w:val="808080"/>
      <w:shd w:val="clear" w:color="auto" w:fill="E6E6E6"/>
    </w:rPr>
  </w:style>
  <w:style w:type="character" w:styleId="FollowedHyperlink">
    <w:name w:val="FollowedHyperlink"/>
    <w:basedOn w:val="DefaultParagraphFont"/>
    <w:uiPriority w:val="99"/>
    <w:semiHidden/>
    <w:unhideWhenUsed/>
    <w:rsid w:val="000D3EB4"/>
    <w:rPr>
      <w:color w:val="954F72" w:themeColor="followedHyperlink"/>
      <w:u w:val="single"/>
    </w:rPr>
  </w:style>
  <w:style w:type="paragraph" w:styleId="Revision">
    <w:name w:val="Revision"/>
    <w:hidden/>
    <w:uiPriority w:val="99"/>
    <w:semiHidden/>
    <w:rsid w:val="00A643EF"/>
    <w:pPr>
      <w:spacing w:after="0" w:line="240" w:lineRule="auto"/>
    </w:pPr>
    <w:rPr>
      <w:rFonts w:ascii="Times New Roman" w:hAnsi="Times New Roman" w:cs="Times New Roman"/>
    </w:rPr>
  </w:style>
  <w:style w:type="paragraph" w:styleId="FootnoteText">
    <w:name w:val="footnote text"/>
    <w:basedOn w:val="Normal"/>
    <w:link w:val="FootnoteTextChar"/>
    <w:uiPriority w:val="99"/>
    <w:semiHidden/>
    <w:unhideWhenUsed/>
    <w:rsid w:val="000B0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55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055B"/>
    <w:rPr>
      <w:vertAlign w:val="superscript"/>
    </w:rPr>
  </w:style>
  <w:style w:type="character" w:styleId="HTMLAcronym">
    <w:name w:val="HTML Acronym"/>
    <w:basedOn w:val="DefaultParagraphFont"/>
    <w:uiPriority w:val="99"/>
    <w:semiHidden/>
    <w:unhideWhenUsed/>
    <w:rsid w:val="00FE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8595">
      <w:bodyDiv w:val="1"/>
      <w:marLeft w:val="0"/>
      <w:marRight w:val="0"/>
      <w:marTop w:val="0"/>
      <w:marBottom w:val="0"/>
      <w:divBdr>
        <w:top w:val="none" w:sz="0" w:space="0" w:color="auto"/>
        <w:left w:val="none" w:sz="0" w:space="0" w:color="auto"/>
        <w:bottom w:val="none" w:sz="0" w:space="0" w:color="auto"/>
        <w:right w:val="none" w:sz="0" w:space="0" w:color="auto"/>
      </w:divBdr>
    </w:div>
    <w:div w:id="626156741">
      <w:bodyDiv w:val="1"/>
      <w:marLeft w:val="0"/>
      <w:marRight w:val="0"/>
      <w:marTop w:val="0"/>
      <w:marBottom w:val="0"/>
      <w:divBdr>
        <w:top w:val="none" w:sz="0" w:space="0" w:color="auto"/>
        <w:left w:val="none" w:sz="0" w:space="0" w:color="auto"/>
        <w:bottom w:val="none" w:sz="0" w:space="0" w:color="auto"/>
        <w:right w:val="none" w:sz="0" w:space="0" w:color="auto"/>
      </w:divBdr>
      <w:divsChild>
        <w:div w:id="1253973757">
          <w:marLeft w:val="0"/>
          <w:marRight w:val="0"/>
          <w:marTop w:val="0"/>
          <w:marBottom w:val="0"/>
          <w:divBdr>
            <w:top w:val="none" w:sz="0" w:space="0" w:color="auto"/>
            <w:left w:val="none" w:sz="0" w:space="0" w:color="auto"/>
            <w:bottom w:val="none" w:sz="0" w:space="0" w:color="auto"/>
            <w:right w:val="none" w:sz="0" w:space="0" w:color="auto"/>
          </w:divBdr>
        </w:div>
        <w:div w:id="1580557961">
          <w:marLeft w:val="0"/>
          <w:marRight w:val="0"/>
          <w:marTop w:val="0"/>
          <w:marBottom w:val="0"/>
          <w:divBdr>
            <w:top w:val="none" w:sz="0" w:space="0" w:color="auto"/>
            <w:left w:val="none" w:sz="0" w:space="0" w:color="auto"/>
            <w:bottom w:val="none" w:sz="0" w:space="0" w:color="auto"/>
            <w:right w:val="none" w:sz="0" w:space="0" w:color="auto"/>
          </w:divBdr>
        </w:div>
        <w:div w:id="1148941608">
          <w:marLeft w:val="0"/>
          <w:marRight w:val="0"/>
          <w:marTop w:val="0"/>
          <w:marBottom w:val="0"/>
          <w:divBdr>
            <w:top w:val="none" w:sz="0" w:space="0" w:color="auto"/>
            <w:left w:val="none" w:sz="0" w:space="0" w:color="auto"/>
            <w:bottom w:val="none" w:sz="0" w:space="0" w:color="auto"/>
            <w:right w:val="none" w:sz="0" w:space="0" w:color="auto"/>
          </w:divBdr>
        </w:div>
        <w:div w:id="96719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srisingsta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4DCCF6B51104EAD8D3824ABF6E9DE" ma:contentTypeVersion="6" ma:contentTypeDescription="Create a new document." ma:contentTypeScope="" ma:versionID="90a1f722ff9e23bc72d11864243c7304">
  <xsd:schema xmlns:xsd="http://www.w3.org/2001/XMLSchema" xmlns:xs="http://www.w3.org/2001/XMLSchema" xmlns:p="http://schemas.microsoft.com/office/2006/metadata/properties" xmlns:ns2="e8bd33ee-838d-4462-91a1-b45c3859cf93" xmlns:ns3="ce76e33d-4423-43b2-9a29-f7d0ca223b5a" targetNamespace="http://schemas.microsoft.com/office/2006/metadata/properties" ma:root="true" ma:fieldsID="71077feab24b1ee2bfe545223d10472e" ns2:_="" ns3:_="">
    <xsd:import namespace="e8bd33ee-838d-4462-91a1-b45c3859cf93"/>
    <xsd:import namespace="ce76e33d-4423-43b2-9a29-f7d0ca223b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33ee-838d-4462-91a1-b45c3859cf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76e33d-4423-43b2-9a29-f7d0ca223b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7813-74E7-4C2F-BCAB-B1579249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33ee-838d-4462-91a1-b45c3859cf93"/>
    <ds:schemaRef ds:uri="ce76e33d-4423-43b2-9a29-f7d0ca223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045E7-C5DC-4D5E-93CC-FD4F476393D7}">
  <ds:schemaRefs>
    <ds:schemaRef ds:uri="http://schemas.microsoft.com/sharepoint/v3/contenttype/forms"/>
  </ds:schemaRefs>
</ds:datastoreItem>
</file>

<file path=customXml/itemProps3.xml><?xml version="1.0" encoding="utf-8"?>
<ds:datastoreItem xmlns:ds="http://schemas.openxmlformats.org/officeDocument/2006/customXml" ds:itemID="{401736CD-E3A4-4263-A680-DEAE01747016}">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ce76e33d-4423-43b2-9a29-f7d0ca223b5a"/>
    <ds:schemaRef ds:uri="e8bd33ee-838d-4462-91a1-b45c3859cf93"/>
    <ds:schemaRef ds:uri="http://www.w3.org/XML/1998/namespace"/>
  </ds:schemaRefs>
</ds:datastoreItem>
</file>

<file path=customXml/itemProps4.xml><?xml version="1.0" encoding="utf-8"?>
<ds:datastoreItem xmlns:ds="http://schemas.openxmlformats.org/officeDocument/2006/customXml" ds:itemID="{872FBDF9-0EEE-4517-A7DC-6615B539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January 8, 2018 - Effectiveness of the Child Care Program</dc:title>
  <dc:subject/>
  <dc:creator>Wilson,Allison P</dc:creator>
  <cp:keywords/>
  <dc:description/>
  <cp:lastModifiedBy>Springer,Lance J</cp:lastModifiedBy>
  <cp:revision>4</cp:revision>
  <cp:lastPrinted>2019-01-02T14:47:00Z</cp:lastPrinted>
  <dcterms:created xsi:type="dcterms:W3CDTF">2019-01-02T15:28:00Z</dcterms:created>
  <dcterms:modified xsi:type="dcterms:W3CDTF">2019-01-04T20:34:00Z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0x010100D6A4DCCF6B51104EAD8D3824ABF6E9DE</vt:lpwstr>
  </property>
</Properties>
</file>