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9F" w:rsidRPr="00F270D3" w:rsidRDefault="0075646C" w:rsidP="00F3439F">
      <w:pPr>
        <w:pStyle w:val="Title"/>
        <w:rPr>
          <w:rFonts w:cstheme="minorHAnsi"/>
          <w:sz w:val="24"/>
          <w:szCs w:val="24"/>
        </w:rPr>
      </w:pPr>
      <w:r w:rsidRPr="00F270D3">
        <w:rPr>
          <w:rFonts w:cstheme="minorHAnsi"/>
          <w:sz w:val="24"/>
          <w:szCs w:val="24"/>
        </w:rPr>
        <w:t>Texas Workforce Commission</w:t>
      </w:r>
      <w:r w:rsidR="005A5D89" w:rsidRPr="00F270D3">
        <w:rPr>
          <w:rFonts w:cstheme="minorHAnsi"/>
          <w:sz w:val="24"/>
          <w:szCs w:val="24"/>
        </w:rPr>
        <w:t xml:space="preserve"> </w:t>
      </w:r>
      <w:r w:rsidRPr="00F270D3">
        <w:rPr>
          <w:rFonts w:cstheme="minorHAnsi"/>
          <w:sz w:val="24"/>
          <w:szCs w:val="24"/>
        </w:rPr>
        <w:t>Order</w:t>
      </w:r>
    </w:p>
    <w:p w:rsidR="00F3439F" w:rsidRPr="00F270D3" w:rsidRDefault="004F68C4" w:rsidP="00F3439F">
      <w:pPr>
        <w:pStyle w:val="Title"/>
        <w:rPr>
          <w:rFonts w:cstheme="minorHAnsi"/>
          <w:b w:val="0"/>
          <w:sz w:val="24"/>
          <w:szCs w:val="24"/>
        </w:rPr>
      </w:pPr>
      <w:r w:rsidRPr="00F270D3">
        <w:rPr>
          <w:rFonts w:cstheme="minorHAnsi"/>
          <w:sz w:val="24"/>
          <w:szCs w:val="24"/>
        </w:rPr>
        <w:t xml:space="preserve">Fiscal Year 2020 </w:t>
      </w:r>
      <w:r w:rsidR="00F270D3" w:rsidRPr="00F270D3">
        <w:rPr>
          <w:rFonts w:cstheme="minorHAnsi"/>
          <w:sz w:val="24"/>
          <w:szCs w:val="24"/>
        </w:rPr>
        <w:t>Block Grant Allocations and Distribution</w:t>
      </w:r>
    </w:p>
    <w:p w:rsidR="00D836E5" w:rsidRPr="00F270D3" w:rsidRDefault="00F270D3" w:rsidP="000D27DA">
      <w:pPr>
        <w:rPr>
          <w:rFonts w:cstheme="minorHAnsi"/>
          <w:sz w:val="24"/>
          <w:szCs w:val="24"/>
        </w:rPr>
      </w:pPr>
      <w:r w:rsidRPr="00F270D3">
        <w:rPr>
          <w:rFonts w:cstheme="minorHAnsi"/>
          <w:sz w:val="24"/>
          <w:szCs w:val="24"/>
        </w:rPr>
        <w:t>WHEREAS, Sections 301.001, 302.002, and 302.065, Texas Labor Code, establish the Texas Workforce Commission to operate an integrated workforce development system in this state, in particular through the consolidation of job training, employment, and employment-support services (including subsidized child care), to achieve efficient and effective delivery of services, and to allocate funds to local workforce development areas for the purpose of meeting or exceeding statewide performance targets, as set forth in the General Appropriations Act, and consistent with federal and state program requirements;</w:t>
      </w:r>
    </w:p>
    <w:p w:rsidR="00D836E5" w:rsidRPr="00F270D3" w:rsidRDefault="00F270D3" w:rsidP="000D27DA">
      <w:pPr>
        <w:rPr>
          <w:rFonts w:cstheme="minorHAnsi"/>
          <w:sz w:val="24"/>
          <w:szCs w:val="24"/>
        </w:rPr>
      </w:pPr>
      <w:r w:rsidRPr="00F270D3">
        <w:rPr>
          <w:rFonts w:cstheme="minorHAnsi"/>
          <w:sz w:val="24"/>
          <w:szCs w:val="24"/>
        </w:rPr>
        <w:t>WHEREAS, Section 302.062(a), Texas Labor Code, provides that the Texas Workforce Commission shall provide to the local workforce development areas in which local workforce boards have been certified and local plans approved by the Governor, funds available to the Commission for workforce training and employment services through a block grant process;</w:t>
      </w:r>
    </w:p>
    <w:p w:rsidR="00F91B26" w:rsidRPr="00F270D3" w:rsidRDefault="00F270D3" w:rsidP="000D27DA">
      <w:pPr>
        <w:rPr>
          <w:rFonts w:cstheme="minorHAnsi"/>
          <w:sz w:val="24"/>
          <w:szCs w:val="24"/>
        </w:rPr>
      </w:pPr>
      <w:r w:rsidRPr="00F270D3">
        <w:rPr>
          <w:rFonts w:cstheme="minorHAnsi"/>
          <w:sz w:val="24"/>
          <w:szCs w:val="24"/>
        </w:rPr>
        <w:t>WHEREAS, H.B. No. 1, General Appropriations Act, 86</w:t>
      </w:r>
      <w:r w:rsidRPr="00F270D3">
        <w:rPr>
          <w:rFonts w:cstheme="minorHAnsi"/>
          <w:sz w:val="24"/>
          <w:szCs w:val="24"/>
          <w:vertAlign w:val="superscript"/>
        </w:rPr>
        <w:t>th</w:t>
      </w:r>
      <w:r w:rsidRPr="00F270D3">
        <w:rPr>
          <w:rFonts w:cstheme="minorHAnsi"/>
          <w:sz w:val="24"/>
          <w:szCs w:val="24"/>
        </w:rPr>
        <w:t xml:space="preserve"> Legislature, Regular Session, appropriates funds to support the Texas Workforce Commission’s mission to promote and support a workforce system that offers individuals, employers, and communities the opportunity to achieve and sustain economic prosperity for the fiscal year 2020-21 biennium;</w:t>
      </w:r>
    </w:p>
    <w:p w:rsidR="0075646C" w:rsidRPr="00F270D3" w:rsidRDefault="00F270D3" w:rsidP="000D27DA">
      <w:pPr>
        <w:rPr>
          <w:rFonts w:cstheme="minorHAnsi"/>
          <w:sz w:val="24"/>
          <w:szCs w:val="24"/>
        </w:rPr>
      </w:pPr>
      <w:r w:rsidRPr="00F270D3">
        <w:rPr>
          <w:rFonts w:cstheme="minorHAnsi"/>
          <w:sz w:val="24"/>
          <w:szCs w:val="24"/>
        </w:rPr>
        <w:t>WHEREAS, funds appropriated to TWC in H.B. No. 1, General Appropriations Act, 86</w:t>
      </w:r>
      <w:r w:rsidRPr="00F270D3">
        <w:rPr>
          <w:rFonts w:cstheme="minorHAnsi"/>
          <w:sz w:val="24"/>
          <w:szCs w:val="24"/>
          <w:vertAlign w:val="superscript"/>
        </w:rPr>
        <w:t>th</w:t>
      </w:r>
      <w:r w:rsidRPr="00F270D3">
        <w:rPr>
          <w:rFonts w:cstheme="minorHAnsi"/>
          <w:sz w:val="24"/>
          <w:szCs w:val="24"/>
        </w:rPr>
        <w:t xml:space="preserve"> Legislature, Regular Session, for fiscal year 2020 for the objectives of supporting a market-driven system and helping jobseekers secure employment, and for child care services are included by TWC in the block grant allocations for fiscal year 2020 to all local workforce development areas throughout the state (including those allocations previously adopted for Workforce Innovation and Opportunity Act Title I programs and Adult Education and Literacy programs, approved April 30, 2019, and effective July 1, 2019, pursuant to federal law and regulation);</w:t>
      </w:r>
    </w:p>
    <w:p w:rsidR="004F68C4" w:rsidRPr="00F270D3" w:rsidRDefault="00F270D3" w:rsidP="004F68C4">
      <w:pPr>
        <w:rPr>
          <w:rFonts w:cstheme="minorHAnsi"/>
          <w:sz w:val="24"/>
          <w:szCs w:val="24"/>
        </w:rPr>
      </w:pPr>
      <w:r w:rsidRPr="00F270D3">
        <w:rPr>
          <w:rFonts w:cstheme="minorHAnsi"/>
          <w:sz w:val="24"/>
          <w:szCs w:val="24"/>
        </w:rPr>
        <w:t>WHEREAS, these block grant allocations and distributions consist of state and federal program funds for workforce training and employment and support services for Child Care Services ($719,301,868), Temporary Assistance for Needy Families (TANF) Choices ($74,475,980), Employment Services ($24,578,423), Supplemental Nutrition Assistance Program (SNAP) Employment and Training ($14,867,553)</w:t>
      </w:r>
      <w:r w:rsidR="004A652E">
        <w:rPr>
          <w:rFonts w:cstheme="minorHAnsi"/>
          <w:sz w:val="24"/>
          <w:szCs w:val="24"/>
        </w:rPr>
        <w:t xml:space="preserve">, </w:t>
      </w:r>
      <w:r w:rsidRPr="00F270D3">
        <w:rPr>
          <w:rFonts w:cstheme="minorHAnsi"/>
          <w:sz w:val="24"/>
          <w:szCs w:val="24"/>
        </w:rPr>
        <w:t>and Small Board Funding Distribution ($1,353,313), in addition to the aforementioned Workforce Innovation and Opportunity Act Title I programs and Adult Education and Literacy programs;</w:t>
      </w:r>
    </w:p>
    <w:p w:rsidR="00F270D3" w:rsidRPr="00F270D3" w:rsidRDefault="00F270D3" w:rsidP="00F270D3">
      <w:pPr>
        <w:rPr>
          <w:rFonts w:cstheme="minorHAnsi"/>
          <w:sz w:val="24"/>
          <w:szCs w:val="24"/>
        </w:rPr>
      </w:pPr>
      <w:r w:rsidRPr="00F270D3">
        <w:rPr>
          <w:rFonts w:cstheme="minorHAnsi"/>
          <w:sz w:val="24"/>
          <w:szCs w:val="24"/>
        </w:rPr>
        <w:t>WHEREAS, these block grant allocations are awarded in concert with the requirements of associated state and federal statutes, program regulations and rules, and TWC contract provisions and requirements.</w:t>
      </w:r>
    </w:p>
    <w:p w:rsidR="00F270D3" w:rsidRPr="00F270D3" w:rsidRDefault="00F270D3">
      <w:pPr>
        <w:spacing w:before="0" w:after="0"/>
        <w:ind w:firstLine="0"/>
        <w:rPr>
          <w:rFonts w:cstheme="minorHAnsi"/>
          <w:sz w:val="24"/>
          <w:szCs w:val="24"/>
        </w:rPr>
      </w:pPr>
      <w:r w:rsidRPr="00F270D3">
        <w:rPr>
          <w:rFonts w:cstheme="minorHAnsi"/>
          <w:sz w:val="24"/>
          <w:szCs w:val="24"/>
        </w:rPr>
        <w:br w:type="page"/>
      </w:r>
    </w:p>
    <w:p w:rsidR="004F68C4" w:rsidRPr="00F270D3" w:rsidRDefault="00F270D3" w:rsidP="004F68C4">
      <w:pPr>
        <w:rPr>
          <w:rFonts w:cstheme="minorHAnsi"/>
          <w:sz w:val="24"/>
          <w:szCs w:val="24"/>
        </w:rPr>
      </w:pPr>
      <w:r w:rsidRPr="00F270D3">
        <w:rPr>
          <w:rFonts w:cstheme="minorHAnsi"/>
          <w:sz w:val="24"/>
          <w:szCs w:val="24"/>
        </w:rPr>
        <w:lastRenderedPageBreak/>
        <w:t xml:space="preserve">NOW THEREFORE, IT IS ORDERED by the Texas Workforce Commission that the fiscal year 2020 block grant allocations and Small Board Funding Distribution are adopted, and the </w:t>
      </w:r>
      <w:r w:rsidR="004A652E">
        <w:rPr>
          <w:rFonts w:cstheme="minorHAnsi"/>
          <w:sz w:val="24"/>
          <w:szCs w:val="24"/>
        </w:rPr>
        <w:t xml:space="preserve">Interim </w:t>
      </w:r>
      <w:bookmarkStart w:id="0" w:name="_GoBack"/>
      <w:bookmarkEnd w:id="0"/>
      <w:r w:rsidRPr="00F270D3">
        <w:rPr>
          <w:rFonts w:cstheme="minorHAnsi"/>
          <w:sz w:val="24"/>
          <w:szCs w:val="24"/>
        </w:rPr>
        <w:t>Executive Director is hereby ordered to administer these block grant allocations in the most feasible and economical manner and within all guidelines prescribed by H.B. No. 1, General Appropriations Act, 86</w:t>
      </w:r>
      <w:r w:rsidRPr="00F270D3">
        <w:rPr>
          <w:rFonts w:cstheme="minorHAnsi"/>
          <w:sz w:val="24"/>
          <w:szCs w:val="24"/>
          <w:vertAlign w:val="superscript"/>
        </w:rPr>
        <w:t>th</w:t>
      </w:r>
      <w:r w:rsidRPr="00F270D3">
        <w:rPr>
          <w:rFonts w:cstheme="minorHAnsi"/>
          <w:sz w:val="24"/>
          <w:szCs w:val="24"/>
        </w:rPr>
        <w:t xml:space="preserve"> Legislature, Regular Session, the Texas Labor Code, and TWC rules.</w:t>
      </w:r>
    </w:p>
    <w:p w:rsidR="0075646C" w:rsidRPr="00F270D3" w:rsidRDefault="0075646C" w:rsidP="000D27DA">
      <w:pPr>
        <w:pStyle w:val="Normal2"/>
        <w:rPr>
          <w:rFonts w:cstheme="minorHAnsi"/>
          <w:sz w:val="24"/>
          <w:szCs w:val="24"/>
        </w:rPr>
      </w:pPr>
      <w:r w:rsidRPr="00F270D3">
        <w:rPr>
          <w:rFonts w:cstheme="minorHAnsi"/>
          <w:sz w:val="24"/>
          <w:szCs w:val="24"/>
        </w:rPr>
        <w:t xml:space="preserve">Adopted on </w:t>
      </w:r>
      <w:r w:rsidR="00F3439F" w:rsidRPr="00F270D3">
        <w:rPr>
          <w:rFonts w:cstheme="minorHAnsi"/>
          <w:sz w:val="24"/>
          <w:szCs w:val="24"/>
        </w:rPr>
        <w:t>August 23, 2019</w:t>
      </w:r>
      <w:r w:rsidR="0047769A" w:rsidRPr="00F270D3">
        <w:rPr>
          <w:rFonts w:cstheme="minorHAnsi"/>
          <w:sz w:val="24"/>
          <w:szCs w:val="24"/>
        </w:rPr>
        <w:t>:</w:t>
      </w:r>
    </w:p>
    <w:p w:rsidR="00B51503" w:rsidRPr="00F270D3" w:rsidRDefault="00B51503" w:rsidP="000D27DA">
      <w:pPr>
        <w:pStyle w:val="Normal2"/>
        <w:rPr>
          <w:rFonts w:cstheme="minorHAnsi"/>
          <w:sz w:val="24"/>
          <w:szCs w:val="24"/>
        </w:rPr>
      </w:pPr>
    </w:p>
    <w:p w:rsidR="00F3439F" w:rsidRPr="00F270D3" w:rsidRDefault="00F3439F" w:rsidP="000D27DA">
      <w:pPr>
        <w:pStyle w:val="Normal2"/>
        <w:rPr>
          <w:rFonts w:cstheme="minorHAnsi"/>
          <w:sz w:val="24"/>
          <w:szCs w:val="24"/>
        </w:rPr>
      </w:pPr>
    </w:p>
    <w:p w:rsidR="00804C13" w:rsidRPr="00F270D3" w:rsidRDefault="006E31F5" w:rsidP="000D27DA">
      <w:pPr>
        <w:pStyle w:val="NoSpacing"/>
        <w:pBdr>
          <w:top w:val="single" w:sz="4" w:space="1" w:color="auto"/>
        </w:pBdr>
        <w:rPr>
          <w:rFonts w:cstheme="minorHAnsi"/>
          <w:sz w:val="24"/>
          <w:szCs w:val="24"/>
        </w:rPr>
      </w:pPr>
      <w:r w:rsidRPr="00F270D3">
        <w:rPr>
          <w:rFonts w:cstheme="minorHAnsi"/>
          <w:sz w:val="24"/>
          <w:szCs w:val="24"/>
        </w:rPr>
        <w:t>Ruth R. Hughs</w:t>
      </w:r>
      <w:r w:rsidR="00FF0C84" w:rsidRPr="00F270D3">
        <w:rPr>
          <w:rFonts w:cstheme="minorHAnsi"/>
          <w:sz w:val="24"/>
          <w:szCs w:val="24"/>
        </w:rPr>
        <w:t>,</w:t>
      </w:r>
      <w:r w:rsidRPr="00F270D3">
        <w:rPr>
          <w:rFonts w:cstheme="minorHAnsi"/>
          <w:sz w:val="24"/>
          <w:szCs w:val="24"/>
        </w:rPr>
        <w:t xml:space="preserve"> </w:t>
      </w:r>
      <w:r w:rsidR="00804C13" w:rsidRPr="00F270D3">
        <w:rPr>
          <w:rFonts w:cstheme="minorHAnsi"/>
          <w:sz w:val="24"/>
          <w:szCs w:val="24"/>
        </w:rPr>
        <w:t xml:space="preserve">Chair and Commissioner Representing </w:t>
      </w:r>
      <w:r w:rsidR="00FF0C84" w:rsidRPr="00F270D3">
        <w:rPr>
          <w:rFonts w:cstheme="minorHAnsi"/>
          <w:sz w:val="24"/>
          <w:szCs w:val="24"/>
        </w:rPr>
        <w:t>Employers</w:t>
      </w:r>
    </w:p>
    <w:p w:rsidR="00B51503" w:rsidRPr="00F270D3" w:rsidRDefault="00B51503" w:rsidP="000D27DA">
      <w:pPr>
        <w:pStyle w:val="Normal2"/>
        <w:rPr>
          <w:rFonts w:cstheme="minorHAnsi"/>
          <w:sz w:val="24"/>
          <w:szCs w:val="24"/>
        </w:rPr>
      </w:pPr>
    </w:p>
    <w:p w:rsidR="00F3439F" w:rsidRPr="00F270D3" w:rsidRDefault="00F3439F" w:rsidP="000D27DA">
      <w:pPr>
        <w:pStyle w:val="Normal2"/>
        <w:rPr>
          <w:rFonts w:cstheme="minorHAnsi"/>
          <w:sz w:val="24"/>
          <w:szCs w:val="24"/>
        </w:rPr>
      </w:pPr>
    </w:p>
    <w:p w:rsidR="00804C13" w:rsidRPr="00F270D3" w:rsidRDefault="00FF0C84" w:rsidP="000D27DA">
      <w:pPr>
        <w:pStyle w:val="NoSpacing"/>
        <w:pBdr>
          <w:top w:val="single" w:sz="4" w:space="1" w:color="auto"/>
        </w:pBdr>
        <w:rPr>
          <w:rFonts w:cstheme="minorHAnsi"/>
          <w:sz w:val="24"/>
          <w:szCs w:val="24"/>
        </w:rPr>
      </w:pPr>
      <w:r w:rsidRPr="00F270D3">
        <w:rPr>
          <w:rFonts w:cstheme="minorHAnsi"/>
          <w:sz w:val="24"/>
          <w:szCs w:val="24"/>
        </w:rPr>
        <w:t>Julian Alvarez, Commissioner Representing Labor</w:t>
      </w:r>
    </w:p>
    <w:p w:rsidR="00F3439F" w:rsidRPr="00F270D3" w:rsidRDefault="00F3439F" w:rsidP="00245C2C">
      <w:pPr>
        <w:pStyle w:val="Normal2"/>
        <w:rPr>
          <w:rFonts w:cstheme="minorHAnsi"/>
          <w:sz w:val="24"/>
          <w:szCs w:val="24"/>
        </w:rPr>
      </w:pPr>
    </w:p>
    <w:p w:rsidR="00245C2C" w:rsidRPr="00F270D3" w:rsidRDefault="00245C2C" w:rsidP="00245C2C">
      <w:pPr>
        <w:pStyle w:val="Normal2"/>
        <w:rPr>
          <w:rFonts w:cstheme="minorHAnsi"/>
          <w:sz w:val="24"/>
          <w:szCs w:val="24"/>
        </w:rPr>
      </w:pPr>
    </w:p>
    <w:p w:rsidR="00F3439F" w:rsidRPr="00F270D3" w:rsidRDefault="00F3439F" w:rsidP="00F3439F">
      <w:pPr>
        <w:pStyle w:val="NoSpacing"/>
        <w:pBdr>
          <w:top w:val="single" w:sz="4" w:space="1" w:color="auto"/>
        </w:pBdr>
        <w:rPr>
          <w:rFonts w:cstheme="minorHAnsi"/>
          <w:sz w:val="24"/>
          <w:szCs w:val="24"/>
        </w:rPr>
      </w:pPr>
      <w:r w:rsidRPr="00F270D3">
        <w:rPr>
          <w:rFonts w:cstheme="minorHAnsi"/>
          <w:sz w:val="24"/>
          <w:szCs w:val="24"/>
        </w:rPr>
        <w:t>Bryan Daniel, Commissioner Representing the Public</w:t>
      </w:r>
    </w:p>
    <w:sectPr w:rsidR="00F3439F" w:rsidRPr="00F270D3" w:rsidSect="00D767DE">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3F" w:rsidRDefault="00C92A3F" w:rsidP="000D27DA">
      <w:r>
        <w:separator/>
      </w:r>
    </w:p>
  </w:endnote>
  <w:endnote w:type="continuationSeparator" w:id="0">
    <w:p w:rsidR="00C92A3F" w:rsidRDefault="00C92A3F" w:rsidP="000D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3F" w:rsidRDefault="00C92A3F" w:rsidP="000D27DA">
      <w:r>
        <w:separator/>
      </w:r>
    </w:p>
  </w:footnote>
  <w:footnote w:type="continuationSeparator" w:id="0">
    <w:p w:rsidR="00C92A3F" w:rsidRDefault="00C92A3F" w:rsidP="000D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F8"/>
    <w:rsid w:val="00006293"/>
    <w:rsid w:val="00020FC3"/>
    <w:rsid w:val="0003115D"/>
    <w:rsid w:val="00044496"/>
    <w:rsid w:val="0006303E"/>
    <w:rsid w:val="000C3F0C"/>
    <w:rsid w:val="000C5715"/>
    <w:rsid w:val="000D06EF"/>
    <w:rsid w:val="000D200D"/>
    <w:rsid w:val="000D27DA"/>
    <w:rsid w:val="000D4678"/>
    <w:rsid w:val="000F4DE4"/>
    <w:rsid w:val="0011029D"/>
    <w:rsid w:val="0014794F"/>
    <w:rsid w:val="0015472C"/>
    <w:rsid w:val="00162A26"/>
    <w:rsid w:val="00162CE7"/>
    <w:rsid w:val="00164CFA"/>
    <w:rsid w:val="0017683E"/>
    <w:rsid w:val="001B14F4"/>
    <w:rsid w:val="001B6525"/>
    <w:rsid w:val="001C2D99"/>
    <w:rsid w:val="001C6BE8"/>
    <w:rsid w:val="001E0A6E"/>
    <w:rsid w:val="001F72F8"/>
    <w:rsid w:val="00200710"/>
    <w:rsid w:val="002061A7"/>
    <w:rsid w:val="00210500"/>
    <w:rsid w:val="00214948"/>
    <w:rsid w:val="002304F3"/>
    <w:rsid w:val="0024036B"/>
    <w:rsid w:val="00245C2C"/>
    <w:rsid w:val="002634D3"/>
    <w:rsid w:val="00276DE3"/>
    <w:rsid w:val="002A2EE9"/>
    <w:rsid w:val="002B52A2"/>
    <w:rsid w:val="002D2450"/>
    <w:rsid w:val="002D6517"/>
    <w:rsid w:val="002E4843"/>
    <w:rsid w:val="00316E5D"/>
    <w:rsid w:val="00320237"/>
    <w:rsid w:val="00321828"/>
    <w:rsid w:val="003241B7"/>
    <w:rsid w:val="003354FD"/>
    <w:rsid w:val="0033798F"/>
    <w:rsid w:val="003433FE"/>
    <w:rsid w:val="00352441"/>
    <w:rsid w:val="00356980"/>
    <w:rsid w:val="00362123"/>
    <w:rsid w:val="00364309"/>
    <w:rsid w:val="00364A24"/>
    <w:rsid w:val="003705C7"/>
    <w:rsid w:val="00375409"/>
    <w:rsid w:val="00386E43"/>
    <w:rsid w:val="003A0F9B"/>
    <w:rsid w:val="003A14AB"/>
    <w:rsid w:val="00401CC8"/>
    <w:rsid w:val="00415449"/>
    <w:rsid w:val="00422E0F"/>
    <w:rsid w:val="0042541A"/>
    <w:rsid w:val="004446F2"/>
    <w:rsid w:val="004555CE"/>
    <w:rsid w:val="0046146B"/>
    <w:rsid w:val="0047769A"/>
    <w:rsid w:val="004A50BD"/>
    <w:rsid w:val="004A652E"/>
    <w:rsid w:val="004D337C"/>
    <w:rsid w:val="004F4B93"/>
    <w:rsid w:val="004F68C4"/>
    <w:rsid w:val="0052257B"/>
    <w:rsid w:val="00527E2E"/>
    <w:rsid w:val="0053174E"/>
    <w:rsid w:val="00557CC3"/>
    <w:rsid w:val="00570636"/>
    <w:rsid w:val="00571F0E"/>
    <w:rsid w:val="00580BEC"/>
    <w:rsid w:val="00581949"/>
    <w:rsid w:val="00581E03"/>
    <w:rsid w:val="00591308"/>
    <w:rsid w:val="00597416"/>
    <w:rsid w:val="005A5903"/>
    <w:rsid w:val="005A5D89"/>
    <w:rsid w:val="005A5F94"/>
    <w:rsid w:val="005D10A2"/>
    <w:rsid w:val="005E02A0"/>
    <w:rsid w:val="005E6F27"/>
    <w:rsid w:val="005F040D"/>
    <w:rsid w:val="00647705"/>
    <w:rsid w:val="00657A4F"/>
    <w:rsid w:val="006744C9"/>
    <w:rsid w:val="006861ED"/>
    <w:rsid w:val="00690D7B"/>
    <w:rsid w:val="00693B9A"/>
    <w:rsid w:val="00695D15"/>
    <w:rsid w:val="006B12AE"/>
    <w:rsid w:val="006C52A3"/>
    <w:rsid w:val="006D37A2"/>
    <w:rsid w:val="006D73A2"/>
    <w:rsid w:val="006E31F5"/>
    <w:rsid w:val="00707FEC"/>
    <w:rsid w:val="0071097D"/>
    <w:rsid w:val="00711C5B"/>
    <w:rsid w:val="00714D84"/>
    <w:rsid w:val="00725630"/>
    <w:rsid w:val="007271BC"/>
    <w:rsid w:val="0073339B"/>
    <w:rsid w:val="0073461D"/>
    <w:rsid w:val="00744A92"/>
    <w:rsid w:val="0075646C"/>
    <w:rsid w:val="00760DA3"/>
    <w:rsid w:val="00774415"/>
    <w:rsid w:val="00776887"/>
    <w:rsid w:val="007C3211"/>
    <w:rsid w:val="007F0407"/>
    <w:rsid w:val="007F15AE"/>
    <w:rsid w:val="00804C13"/>
    <w:rsid w:val="0080636F"/>
    <w:rsid w:val="00815437"/>
    <w:rsid w:val="008171F4"/>
    <w:rsid w:val="00825326"/>
    <w:rsid w:val="00826557"/>
    <w:rsid w:val="00830EEE"/>
    <w:rsid w:val="00837AA0"/>
    <w:rsid w:val="00844A53"/>
    <w:rsid w:val="00852633"/>
    <w:rsid w:val="00857204"/>
    <w:rsid w:val="008738B1"/>
    <w:rsid w:val="0089267F"/>
    <w:rsid w:val="008A5BCF"/>
    <w:rsid w:val="008B114E"/>
    <w:rsid w:val="008B21CC"/>
    <w:rsid w:val="008B3BEB"/>
    <w:rsid w:val="008B436C"/>
    <w:rsid w:val="008C5D86"/>
    <w:rsid w:val="008D48C0"/>
    <w:rsid w:val="008F220E"/>
    <w:rsid w:val="00903D43"/>
    <w:rsid w:val="009121A4"/>
    <w:rsid w:val="00927F55"/>
    <w:rsid w:val="0093119C"/>
    <w:rsid w:val="009469A9"/>
    <w:rsid w:val="009530C0"/>
    <w:rsid w:val="00953784"/>
    <w:rsid w:val="00956A6F"/>
    <w:rsid w:val="00971162"/>
    <w:rsid w:val="00996551"/>
    <w:rsid w:val="009A1914"/>
    <w:rsid w:val="009A40C6"/>
    <w:rsid w:val="009C142F"/>
    <w:rsid w:val="009C45AD"/>
    <w:rsid w:val="009C4946"/>
    <w:rsid w:val="009C7E0E"/>
    <w:rsid w:val="009D4741"/>
    <w:rsid w:val="009D4E65"/>
    <w:rsid w:val="009E38F8"/>
    <w:rsid w:val="00A00587"/>
    <w:rsid w:val="00A15F57"/>
    <w:rsid w:val="00A25517"/>
    <w:rsid w:val="00A27A9D"/>
    <w:rsid w:val="00A367CD"/>
    <w:rsid w:val="00A47C0E"/>
    <w:rsid w:val="00A5319F"/>
    <w:rsid w:val="00A57E4B"/>
    <w:rsid w:val="00A65397"/>
    <w:rsid w:val="00A804F4"/>
    <w:rsid w:val="00A8528C"/>
    <w:rsid w:val="00A856A6"/>
    <w:rsid w:val="00AB3C8A"/>
    <w:rsid w:val="00AE24CB"/>
    <w:rsid w:val="00AE5862"/>
    <w:rsid w:val="00AF3813"/>
    <w:rsid w:val="00B15F49"/>
    <w:rsid w:val="00B31C30"/>
    <w:rsid w:val="00B35B2F"/>
    <w:rsid w:val="00B51503"/>
    <w:rsid w:val="00B95A1F"/>
    <w:rsid w:val="00BA1B5E"/>
    <w:rsid w:val="00BC0569"/>
    <w:rsid w:val="00BC4F96"/>
    <w:rsid w:val="00BC53A1"/>
    <w:rsid w:val="00BE329D"/>
    <w:rsid w:val="00BF2D1C"/>
    <w:rsid w:val="00C00293"/>
    <w:rsid w:val="00C13EEB"/>
    <w:rsid w:val="00C17A93"/>
    <w:rsid w:val="00C354D0"/>
    <w:rsid w:val="00C36A1B"/>
    <w:rsid w:val="00C46974"/>
    <w:rsid w:val="00C53803"/>
    <w:rsid w:val="00C55DA3"/>
    <w:rsid w:val="00C862C6"/>
    <w:rsid w:val="00C92A3F"/>
    <w:rsid w:val="00CA4A4D"/>
    <w:rsid w:val="00CB1144"/>
    <w:rsid w:val="00CB746C"/>
    <w:rsid w:val="00CC07E9"/>
    <w:rsid w:val="00CC2209"/>
    <w:rsid w:val="00CC420E"/>
    <w:rsid w:val="00CD3D75"/>
    <w:rsid w:val="00CF6413"/>
    <w:rsid w:val="00D000B4"/>
    <w:rsid w:val="00D001CC"/>
    <w:rsid w:val="00D20206"/>
    <w:rsid w:val="00D640A5"/>
    <w:rsid w:val="00D767DE"/>
    <w:rsid w:val="00D836E5"/>
    <w:rsid w:val="00D84908"/>
    <w:rsid w:val="00D92CA3"/>
    <w:rsid w:val="00DC276C"/>
    <w:rsid w:val="00DE5E07"/>
    <w:rsid w:val="00E05680"/>
    <w:rsid w:val="00E3560B"/>
    <w:rsid w:val="00E40142"/>
    <w:rsid w:val="00E40528"/>
    <w:rsid w:val="00E4607B"/>
    <w:rsid w:val="00E57FF8"/>
    <w:rsid w:val="00E71A58"/>
    <w:rsid w:val="00E962D6"/>
    <w:rsid w:val="00EA4AE8"/>
    <w:rsid w:val="00EB14A4"/>
    <w:rsid w:val="00EC436A"/>
    <w:rsid w:val="00EE5E58"/>
    <w:rsid w:val="00EF1BDA"/>
    <w:rsid w:val="00EF71ED"/>
    <w:rsid w:val="00F21223"/>
    <w:rsid w:val="00F23C04"/>
    <w:rsid w:val="00F270D3"/>
    <w:rsid w:val="00F32F3D"/>
    <w:rsid w:val="00F33CFD"/>
    <w:rsid w:val="00F3439F"/>
    <w:rsid w:val="00F40065"/>
    <w:rsid w:val="00F45276"/>
    <w:rsid w:val="00F6235D"/>
    <w:rsid w:val="00F71674"/>
    <w:rsid w:val="00F76EB6"/>
    <w:rsid w:val="00F91B26"/>
    <w:rsid w:val="00FB134B"/>
    <w:rsid w:val="00FB4C4D"/>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0FAC0"/>
  <w15:docId w15:val="{F1441A14-A5CC-4C82-9A27-2F98641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DA"/>
    <w:pPr>
      <w:spacing w:before="120" w:after="120"/>
      <w:ind w:firstLine="72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0D27DA"/>
    <w:pPr>
      <w:spacing w:after="240"/>
      <w:contextualSpacing/>
      <w:jc w:val="center"/>
    </w:pPr>
    <w:rPr>
      <w:rFonts w:asciiTheme="minorHAnsi" w:hAnsiTheme="minorHAnsi"/>
      <w:b/>
      <w:sz w:val="22"/>
      <w:szCs w:val="22"/>
    </w:rPr>
  </w:style>
  <w:style w:type="paragraph" w:styleId="Header">
    <w:name w:val="header"/>
    <w:basedOn w:val="Normal"/>
    <w:link w:val="HeaderChar"/>
    <w:uiPriority w:val="99"/>
    <w:rsid w:val="00A5319F"/>
    <w:pPr>
      <w:tabs>
        <w:tab w:val="center" w:pos="4320"/>
        <w:tab w:val="right" w:pos="8640"/>
      </w:tabs>
    </w:pPr>
  </w:style>
  <w:style w:type="paragraph" w:styleId="Footer">
    <w:name w:val="footer"/>
    <w:basedOn w:val="Normal"/>
    <w:rsid w:val="00A5319F"/>
    <w:pPr>
      <w:tabs>
        <w:tab w:val="center" w:pos="4320"/>
        <w:tab w:val="right" w:pos="8640"/>
      </w:tabs>
    </w:pPr>
  </w:style>
  <w:style w:type="paragraph" w:styleId="BalloonText">
    <w:name w:val="Balloon Text"/>
    <w:basedOn w:val="Normal"/>
    <w:link w:val="BalloonTextChar"/>
    <w:rsid w:val="0003115D"/>
    <w:rPr>
      <w:rFonts w:ascii="Tahoma" w:hAnsi="Tahoma" w:cs="Tahoma"/>
      <w:sz w:val="16"/>
      <w:szCs w:val="16"/>
    </w:rPr>
  </w:style>
  <w:style w:type="character" w:customStyle="1" w:styleId="BalloonTextChar">
    <w:name w:val="Balloon Text Char"/>
    <w:basedOn w:val="DefaultParagraphFont"/>
    <w:link w:val="BalloonText"/>
    <w:rsid w:val="0003115D"/>
    <w:rPr>
      <w:rFonts w:ascii="Tahoma" w:hAnsi="Tahoma" w:cs="Tahoma"/>
      <w:sz w:val="16"/>
      <w:szCs w:val="16"/>
    </w:rPr>
  </w:style>
  <w:style w:type="character" w:customStyle="1" w:styleId="HeaderChar">
    <w:name w:val="Header Char"/>
    <w:basedOn w:val="DefaultParagraphFont"/>
    <w:link w:val="Header"/>
    <w:uiPriority w:val="99"/>
    <w:rsid w:val="00804C13"/>
    <w:rPr>
      <w:sz w:val="24"/>
    </w:rPr>
  </w:style>
  <w:style w:type="paragraph" w:styleId="NoSpacing">
    <w:name w:val="No Spacing"/>
    <w:uiPriority w:val="1"/>
    <w:qFormat/>
    <w:rsid w:val="000D27DA"/>
    <w:rPr>
      <w:rFonts w:asciiTheme="minorHAnsi" w:hAnsiTheme="minorHAnsi"/>
      <w:sz w:val="22"/>
    </w:rPr>
  </w:style>
  <w:style w:type="character" w:styleId="CommentReference">
    <w:name w:val="annotation reference"/>
    <w:basedOn w:val="DefaultParagraphFont"/>
    <w:rsid w:val="00C46974"/>
    <w:rPr>
      <w:sz w:val="16"/>
      <w:szCs w:val="16"/>
    </w:rPr>
  </w:style>
  <w:style w:type="paragraph" w:styleId="CommentText">
    <w:name w:val="annotation text"/>
    <w:basedOn w:val="Normal"/>
    <w:link w:val="CommentTextChar"/>
    <w:rsid w:val="00C46974"/>
    <w:rPr>
      <w:sz w:val="20"/>
    </w:rPr>
  </w:style>
  <w:style w:type="character" w:customStyle="1" w:styleId="CommentTextChar">
    <w:name w:val="Comment Text Char"/>
    <w:basedOn w:val="DefaultParagraphFont"/>
    <w:link w:val="CommentText"/>
    <w:rsid w:val="00C46974"/>
  </w:style>
  <w:style w:type="paragraph" w:styleId="CommentSubject">
    <w:name w:val="annotation subject"/>
    <w:basedOn w:val="CommentText"/>
    <w:next w:val="CommentText"/>
    <w:link w:val="CommentSubjectChar"/>
    <w:rsid w:val="00C46974"/>
    <w:rPr>
      <w:b/>
      <w:bCs/>
    </w:rPr>
  </w:style>
  <w:style w:type="character" w:customStyle="1" w:styleId="CommentSubjectChar">
    <w:name w:val="Comment Subject Char"/>
    <w:basedOn w:val="CommentTextChar"/>
    <w:link w:val="CommentSubject"/>
    <w:rsid w:val="00C46974"/>
    <w:rPr>
      <w:b/>
      <w:bCs/>
    </w:rPr>
  </w:style>
  <w:style w:type="paragraph" w:customStyle="1" w:styleId="Normal2">
    <w:name w:val="Normal 2"/>
    <w:basedOn w:val="Normal"/>
    <w:link w:val="Normal2Char"/>
    <w:qFormat/>
    <w:rsid w:val="000D27DA"/>
    <w:pPr>
      <w:ind w:firstLine="0"/>
    </w:pPr>
  </w:style>
  <w:style w:type="character" w:customStyle="1" w:styleId="Normal2Char">
    <w:name w:val="Normal 2 Char"/>
    <w:basedOn w:val="DefaultParagraphFont"/>
    <w:link w:val="Normal2"/>
    <w:rsid w:val="000D27D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2990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Workforce Commission Order Program Year 2017 Block Grant Allocations and Fiscal Year 2018 Planning Estimates</vt:lpstr>
    </vt:vector>
  </TitlesOfParts>
  <Company>TWC</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 Order Program Year 2017 Block Grant Allocations and Fiscal Year 2018 Planning Estimates</dc:title>
  <dc:creator>TWC</dc:creator>
  <cp:keywords>block grant allocations, planning estimates</cp:keywords>
  <cp:lastModifiedBy>Rojo,Melissa</cp:lastModifiedBy>
  <cp:revision>5</cp:revision>
  <cp:lastPrinted>2019-08-16T14:41:00Z</cp:lastPrinted>
  <dcterms:created xsi:type="dcterms:W3CDTF">2019-08-16T14:36:00Z</dcterms:created>
  <dcterms:modified xsi:type="dcterms:W3CDTF">2019-08-16T14:43:00Z</dcterms:modified>
</cp:coreProperties>
</file>