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68" w:rsidRPr="004E5668" w:rsidRDefault="00170749" w:rsidP="00A246A2">
      <w:pPr>
        <w:pStyle w:val="Heading1"/>
      </w:pPr>
      <w:r>
        <w:t>VR Standards for Providers</w:t>
      </w:r>
      <w:r w:rsidR="004E5668" w:rsidRPr="004E5668">
        <w:t xml:space="preserve"> Chapter 20: Premiums</w:t>
      </w:r>
    </w:p>
    <w:p w:rsidR="004E5668" w:rsidRDefault="004E5668" w:rsidP="00A246A2">
      <w:r>
        <w:t>Posted on Oct. 1, 2019.</w:t>
      </w:r>
    </w:p>
    <w:p w:rsidR="004E5668" w:rsidRDefault="004E5668" w:rsidP="00A246A2">
      <w:r>
        <w:t xml:space="preserve">The following sections in the VR-SFP </w:t>
      </w:r>
      <w:r w:rsidR="00170749">
        <w:t xml:space="preserve">are </w:t>
      </w:r>
      <w:r w:rsidR="00170749" w:rsidRPr="00170749">
        <w:rPr>
          <w:b/>
        </w:rPr>
        <w:t>new</w:t>
      </w:r>
      <w:r>
        <w:t>; these requirements will take effect November 1, 2019.</w:t>
      </w:r>
    </w:p>
    <w:p w:rsidR="00757A63" w:rsidRPr="00A246A2" w:rsidRDefault="00757A63" w:rsidP="00A246A2">
      <w:pPr>
        <w:pStyle w:val="Heading2"/>
      </w:pPr>
      <w:r w:rsidRPr="00A246A2">
        <w:t>20.11 Brain Injury Premium</w:t>
      </w:r>
    </w:p>
    <w:p w:rsidR="00757A63" w:rsidRPr="008C6AD9" w:rsidRDefault="0063595D" w:rsidP="00A246A2">
      <w:pPr>
        <w:pStyle w:val="Heading3"/>
        <w:rPr>
          <w:rFonts w:eastAsia="Times New Roman"/>
        </w:rPr>
      </w:pPr>
      <w:r w:rsidRPr="008C6AD9">
        <w:rPr>
          <w:rFonts w:eastAsia="Times New Roman"/>
        </w:rPr>
        <w:t>20.11</w:t>
      </w:r>
      <w:r w:rsidR="00757A63" w:rsidRPr="008C6AD9">
        <w:rPr>
          <w:rFonts w:eastAsia="Times New Roman"/>
        </w:rPr>
        <w:t>.1 Service Description</w:t>
      </w:r>
    </w:p>
    <w:p w:rsidR="00BA7227" w:rsidRPr="00BB7662" w:rsidRDefault="00185F67" w:rsidP="00A246A2">
      <w:r w:rsidRPr="00BB7662">
        <w:t>An acquired brain injury</w:t>
      </w:r>
      <w:r w:rsidR="00472842">
        <w:t xml:space="preserve"> (traumatic and nontraumatic)</w:t>
      </w:r>
      <w:r w:rsidR="00FF58D1">
        <w:t xml:space="preserve"> </w:t>
      </w:r>
      <w:r w:rsidRPr="00BB7662">
        <w:t>is an injury to the brain</w:t>
      </w:r>
      <w:r w:rsidR="00BA7227" w:rsidRPr="00BB7662">
        <w:t xml:space="preserve"> that </w:t>
      </w:r>
      <w:r w:rsidRPr="00BB7662">
        <w:t xml:space="preserve">is not hereditary, congenital, degenerative, or induced by birth trauma. The brain injury occurs after birth. </w:t>
      </w:r>
    </w:p>
    <w:p w:rsidR="00EF5286" w:rsidRPr="00BB7662" w:rsidRDefault="00185F67" w:rsidP="00A246A2">
      <w:r w:rsidRPr="00BB7662">
        <w:t xml:space="preserve">Examples </w:t>
      </w:r>
      <w:r w:rsidR="008F1834">
        <w:t>of injuries t</w:t>
      </w:r>
      <w:r w:rsidR="008F1834" w:rsidRPr="00BB7662">
        <w:t>h</w:t>
      </w:r>
      <w:r w:rsidR="008F1834">
        <w:t>at affect</w:t>
      </w:r>
      <w:r w:rsidR="008F1834" w:rsidRPr="00BB7662">
        <w:t xml:space="preserve"> the brain or </w:t>
      </w:r>
      <w:r w:rsidR="00A84EE6">
        <w:t xml:space="preserve">the </w:t>
      </w:r>
      <w:r w:rsidR="008F1834" w:rsidRPr="00BB7662">
        <w:t xml:space="preserve">oxygen supply to the brain </w:t>
      </w:r>
      <w:r w:rsidRPr="00BB7662">
        <w:t xml:space="preserve">include: </w:t>
      </w:r>
    </w:p>
    <w:p w:rsidR="00BA7227" w:rsidRPr="00BB7662" w:rsidRDefault="00415CC4" w:rsidP="00A246A2">
      <w:pPr>
        <w:pStyle w:val="ListParagraph"/>
        <w:numPr>
          <w:ilvl w:val="0"/>
          <w:numId w:val="16"/>
        </w:numPr>
      </w:pPr>
      <w:r w:rsidRPr="00BB7662">
        <w:t>s</w:t>
      </w:r>
      <w:r w:rsidR="00185F67" w:rsidRPr="00BB7662">
        <w:t>troke</w:t>
      </w:r>
      <w:r w:rsidR="00BA7227" w:rsidRPr="00BB7662">
        <w:t>;</w:t>
      </w:r>
      <w:r w:rsidR="00185F67" w:rsidRPr="00BB7662">
        <w:t xml:space="preserve"> </w:t>
      </w:r>
    </w:p>
    <w:p w:rsidR="00BA7227" w:rsidRPr="00BB7662" w:rsidRDefault="00415CC4" w:rsidP="00A246A2">
      <w:pPr>
        <w:pStyle w:val="ListParagraph"/>
        <w:numPr>
          <w:ilvl w:val="0"/>
          <w:numId w:val="16"/>
        </w:numPr>
      </w:pPr>
      <w:r w:rsidRPr="00BB7662">
        <w:t>a</w:t>
      </w:r>
      <w:r w:rsidR="00185F67" w:rsidRPr="00BB7662">
        <w:t>neurysm</w:t>
      </w:r>
      <w:r w:rsidR="00BA7227" w:rsidRPr="00BB7662">
        <w:t>;</w:t>
      </w:r>
      <w:r w:rsidR="00185F67" w:rsidRPr="00BB7662">
        <w:t xml:space="preserve"> </w:t>
      </w:r>
    </w:p>
    <w:p w:rsidR="00415CC4" w:rsidRPr="00BB7662" w:rsidRDefault="00415CC4" w:rsidP="00A246A2">
      <w:pPr>
        <w:pStyle w:val="ListParagraph"/>
        <w:numPr>
          <w:ilvl w:val="0"/>
          <w:numId w:val="16"/>
        </w:numPr>
      </w:pPr>
      <w:r w:rsidRPr="00BB7662">
        <w:t>t</w:t>
      </w:r>
      <w:r w:rsidR="00185F67" w:rsidRPr="00BB7662">
        <w:t>umor</w:t>
      </w:r>
      <w:r w:rsidRPr="00BB7662">
        <w:t>;</w:t>
      </w:r>
      <w:r w:rsidR="00185F67" w:rsidRPr="00BB7662">
        <w:t xml:space="preserve"> </w:t>
      </w:r>
    </w:p>
    <w:p w:rsidR="00472842" w:rsidRDefault="00185F67" w:rsidP="00A246A2">
      <w:pPr>
        <w:pStyle w:val="ListParagraph"/>
        <w:numPr>
          <w:ilvl w:val="0"/>
          <w:numId w:val="16"/>
        </w:numPr>
      </w:pPr>
      <w:r w:rsidRPr="00BB7662">
        <w:t>infectious disease</w:t>
      </w:r>
      <w:r w:rsidR="00EB59AE">
        <w:t xml:space="preserve">; </w:t>
      </w:r>
    </w:p>
    <w:p w:rsidR="00472842" w:rsidRDefault="00472842" w:rsidP="00A246A2">
      <w:pPr>
        <w:pStyle w:val="ListParagraph"/>
        <w:numPr>
          <w:ilvl w:val="0"/>
          <w:numId w:val="16"/>
        </w:numPr>
      </w:pPr>
      <w:r>
        <w:t>falls</w:t>
      </w:r>
      <w:r w:rsidR="00FF58D1">
        <w:t>;</w:t>
      </w:r>
    </w:p>
    <w:p w:rsidR="00472842" w:rsidRDefault="00472842" w:rsidP="00A246A2">
      <w:pPr>
        <w:pStyle w:val="ListParagraph"/>
        <w:numPr>
          <w:ilvl w:val="0"/>
          <w:numId w:val="16"/>
        </w:numPr>
      </w:pPr>
      <w:r>
        <w:t>car accident</w:t>
      </w:r>
      <w:r w:rsidR="00FF58D1">
        <w:t>;</w:t>
      </w:r>
      <w:r>
        <w:t xml:space="preserve"> </w:t>
      </w:r>
    </w:p>
    <w:p w:rsidR="00286028" w:rsidRDefault="00472842" w:rsidP="00A246A2">
      <w:pPr>
        <w:pStyle w:val="ListParagraph"/>
        <w:numPr>
          <w:ilvl w:val="0"/>
          <w:numId w:val="16"/>
        </w:numPr>
      </w:pPr>
      <w:r>
        <w:t>sports injury</w:t>
      </w:r>
      <w:r w:rsidR="00FF58D1">
        <w:t>;</w:t>
      </w:r>
      <w:r>
        <w:t xml:space="preserve"> </w:t>
      </w:r>
      <w:r w:rsidR="00EB59AE">
        <w:t>and</w:t>
      </w:r>
    </w:p>
    <w:p w:rsidR="00EB59AE" w:rsidRPr="00BB7662" w:rsidRDefault="00EB59AE" w:rsidP="00A246A2">
      <w:pPr>
        <w:pStyle w:val="ListParagraph"/>
        <w:numPr>
          <w:ilvl w:val="0"/>
          <w:numId w:val="16"/>
        </w:numPr>
      </w:pPr>
      <w:r>
        <w:t>lack of oxygen to the brain.</w:t>
      </w:r>
    </w:p>
    <w:p w:rsidR="00757A63" w:rsidRPr="00BB7662" w:rsidRDefault="00757A63" w:rsidP="00A246A2">
      <w:r w:rsidRPr="00BB7662">
        <w:t xml:space="preserve">A provider is eligible </w:t>
      </w:r>
      <w:r w:rsidR="00C42B43">
        <w:t xml:space="preserve">to provide services </w:t>
      </w:r>
      <w:r w:rsidRPr="00BB7662">
        <w:t>for the Brain Injury Premium when:</w:t>
      </w:r>
    </w:p>
    <w:p w:rsidR="00757A63" w:rsidRPr="00BB7662" w:rsidRDefault="00757A63" w:rsidP="00A246A2">
      <w:pPr>
        <w:pStyle w:val="ListParagraph"/>
        <w:numPr>
          <w:ilvl w:val="0"/>
          <w:numId w:val="4"/>
        </w:numPr>
      </w:pPr>
      <w:r w:rsidRPr="00BB7662">
        <w:t xml:space="preserve">the customer has been diagnosed with </w:t>
      </w:r>
      <w:r w:rsidR="00230DF9" w:rsidRPr="00BB7662">
        <w:t xml:space="preserve">an </w:t>
      </w:r>
      <w:r w:rsidRPr="00BB7662">
        <w:t>acquired brain injury</w:t>
      </w:r>
      <w:r w:rsidR="00F114DC" w:rsidRPr="00BB7662">
        <w:t>;</w:t>
      </w:r>
      <w:r w:rsidRPr="00BB7662">
        <w:t xml:space="preserve"> </w:t>
      </w:r>
    </w:p>
    <w:p w:rsidR="00757A63" w:rsidRPr="00BB7662" w:rsidRDefault="00757A63" w:rsidP="00A246A2">
      <w:pPr>
        <w:pStyle w:val="ListParagraph"/>
        <w:numPr>
          <w:ilvl w:val="0"/>
          <w:numId w:val="4"/>
        </w:numPr>
      </w:pPr>
      <w:r w:rsidRPr="00BB7662">
        <w:t xml:space="preserve">the </w:t>
      </w:r>
      <w:r w:rsidR="00FD402D">
        <w:t>Vocational Rehabilitation (</w:t>
      </w:r>
      <w:r w:rsidR="00CB3573">
        <w:t>VR</w:t>
      </w:r>
      <w:r w:rsidR="00FD402D">
        <w:t>)</w:t>
      </w:r>
      <w:r w:rsidR="00CB3573">
        <w:t xml:space="preserve"> </w:t>
      </w:r>
      <w:r w:rsidRPr="00BB7662">
        <w:t>counselor determines that the customer requires intervention to remove barriers to employment that are directly related to the diagn</w:t>
      </w:r>
      <w:r w:rsidR="006C0D26" w:rsidRPr="00BB7662">
        <w:t>osis of acquired brain injury</w:t>
      </w:r>
      <w:r w:rsidR="00E61EF3" w:rsidRPr="00BB7662">
        <w:t>;</w:t>
      </w:r>
      <w:r w:rsidR="006C0D26" w:rsidRPr="00BB7662">
        <w:t xml:space="preserve"> and</w:t>
      </w:r>
      <w:r w:rsidRPr="00BB7662">
        <w:t xml:space="preserve"> </w:t>
      </w:r>
    </w:p>
    <w:p w:rsidR="006C0D26" w:rsidRPr="00BB7662" w:rsidRDefault="00757A63" w:rsidP="00A246A2">
      <w:pPr>
        <w:pStyle w:val="ListParagraph"/>
        <w:numPr>
          <w:ilvl w:val="0"/>
          <w:numId w:val="4"/>
        </w:numPr>
      </w:pPr>
      <w:r w:rsidRPr="00BB7662">
        <w:t>the direct service provider has</w:t>
      </w:r>
      <w:r w:rsidR="006C0D26" w:rsidRPr="00BB7662">
        <w:t xml:space="preserve"> </w:t>
      </w:r>
      <w:r w:rsidR="00EB59AE">
        <w:t xml:space="preserve">a </w:t>
      </w:r>
      <w:r w:rsidR="00260FD5">
        <w:t>staff</w:t>
      </w:r>
      <w:r w:rsidR="00EB59AE">
        <w:t xml:space="preserve"> </w:t>
      </w:r>
      <w:r w:rsidR="0046734F">
        <w:t xml:space="preserve">member </w:t>
      </w:r>
      <w:r w:rsidR="00EB59AE">
        <w:t>who will provide the services</w:t>
      </w:r>
      <w:r w:rsidR="00260FD5">
        <w:t xml:space="preserve"> </w:t>
      </w:r>
      <w:r w:rsidR="006618E6">
        <w:t xml:space="preserve">and </w:t>
      </w:r>
      <w:r w:rsidR="006C0D26" w:rsidRPr="00BB7662">
        <w:t>either:</w:t>
      </w:r>
    </w:p>
    <w:p w:rsidR="006C0D26" w:rsidRPr="00BB7662" w:rsidRDefault="00EB59AE" w:rsidP="00A246A2">
      <w:pPr>
        <w:pStyle w:val="ListParagraph"/>
        <w:numPr>
          <w:ilvl w:val="1"/>
          <w:numId w:val="18"/>
        </w:numPr>
      </w:pPr>
      <w:bookmarkStart w:id="0" w:name="_Hlk6584497"/>
      <w:r w:rsidRPr="00EB59AE">
        <w:t xml:space="preserve">is certified by the Brain Injury Association of America as a certified brain injury specialist </w:t>
      </w:r>
      <w:r w:rsidR="0046734F">
        <w:t>(</w:t>
      </w:r>
      <w:r w:rsidRPr="00EB59AE">
        <w:t>CBIS</w:t>
      </w:r>
      <w:bookmarkEnd w:id="0"/>
      <w:r w:rsidR="0046734F">
        <w:t>)</w:t>
      </w:r>
      <w:r w:rsidRPr="00EB59AE">
        <w:t xml:space="preserve"> </w:t>
      </w:r>
      <w:r w:rsidR="0046734F">
        <w:t>(f</w:t>
      </w:r>
      <w:r w:rsidRPr="00EB59AE">
        <w:t xml:space="preserve">or information go to </w:t>
      </w:r>
      <w:hyperlink r:id="rId11" w:history="1">
        <w:r w:rsidRPr="00EB59AE">
          <w:rPr>
            <w:rStyle w:val="Hyperlink"/>
          </w:rPr>
          <w:t>Brain Injury of America</w:t>
        </w:r>
      </w:hyperlink>
      <w:r w:rsidR="0046734F">
        <w:t>)</w:t>
      </w:r>
      <w:r w:rsidR="006C0D26" w:rsidRPr="00EB59AE">
        <w:t>;</w:t>
      </w:r>
      <w:r w:rsidR="006C0D26" w:rsidRPr="00BB7662">
        <w:t xml:space="preserve"> or</w:t>
      </w:r>
    </w:p>
    <w:p w:rsidR="00757A63" w:rsidRPr="00BB7662" w:rsidRDefault="00260FD5" w:rsidP="00A246A2">
      <w:pPr>
        <w:pStyle w:val="ListParagraph"/>
        <w:numPr>
          <w:ilvl w:val="1"/>
          <w:numId w:val="18"/>
        </w:numPr>
      </w:pPr>
      <w:r>
        <w:t xml:space="preserve">holds a </w:t>
      </w:r>
      <w:r w:rsidRPr="00BB7662">
        <w:t xml:space="preserve">Brain Injury Endorsement </w:t>
      </w:r>
      <w:r>
        <w:t xml:space="preserve">from the </w:t>
      </w:r>
      <w:r w:rsidR="00757A63" w:rsidRPr="00BB7662">
        <w:t xml:space="preserve">University of North Texas Workplace Inclusion </w:t>
      </w:r>
      <w:r w:rsidR="00194712" w:rsidRPr="00BB7662">
        <w:t xml:space="preserve">&amp; </w:t>
      </w:r>
      <w:r w:rsidR="00757A63" w:rsidRPr="00BB7662">
        <w:t>Sustainable Employment (</w:t>
      </w:r>
      <w:r w:rsidR="006C0D26" w:rsidRPr="00BB7662">
        <w:t>UNTWISE)</w:t>
      </w:r>
      <w:r w:rsidR="00757A63" w:rsidRPr="00BB7662">
        <w:t>.</w:t>
      </w:r>
    </w:p>
    <w:p w:rsidR="00041149" w:rsidRPr="00BB7662" w:rsidRDefault="006C0D26" w:rsidP="00A246A2">
      <w:r w:rsidRPr="00BB7662">
        <w:t xml:space="preserve">The contracted provider receives authorization for the Brain Injury Premium through a service authorization. </w:t>
      </w:r>
    </w:p>
    <w:p w:rsidR="006C0D26" w:rsidRPr="00BB7662" w:rsidRDefault="00640B30" w:rsidP="00A246A2">
      <w:r>
        <w:t xml:space="preserve">To receive a </w:t>
      </w:r>
      <w:r w:rsidR="006C0D26" w:rsidRPr="00BB7662">
        <w:t xml:space="preserve">service authorization for </w:t>
      </w:r>
      <w:r>
        <w:t xml:space="preserve">a </w:t>
      </w:r>
      <w:r w:rsidR="006C0D26" w:rsidRPr="00BB7662">
        <w:t>Brain Injury Premium</w:t>
      </w:r>
      <w:r w:rsidR="008209BB">
        <w:t>, the following must occur</w:t>
      </w:r>
      <w:r w:rsidR="006C0D26" w:rsidRPr="00BB7662">
        <w:t>:</w:t>
      </w:r>
    </w:p>
    <w:p w:rsidR="006C0D26" w:rsidRPr="00BB7662" w:rsidRDefault="006C0D26" w:rsidP="00A246A2">
      <w:pPr>
        <w:pStyle w:val="ListParagraph"/>
        <w:numPr>
          <w:ilvl w:val="0"/>
          <w:numId w:val="15"/>
        </w:numPr>
      </w:pPr>
      <w:r w:rsidRPr="00BB7662">
        <w:t>Bundled Job Placement must be received when the service authorization for Bundled Job Placement Benchmark A is received</w:t>
      </w:r>
      <w:r w:rsidR="00607669">
        <w:t>.</w:t>
      </w:r>
    </w:p>
    <w:p w:rsidR="006C0D26" w:rsidRPr="00BB7662" w:rsidRDefault="006C0D26" w:rsidP="00A246A2">
      <w:pPr>
        <w:pStyle w:val="ListParagraph"/>
        <w:numPr>
          <w:ilvl w:val="0"/>
          <w:numId w:val="15"/>
        </w:numPr>
      </w:pPr>
      <w:r w:rsidRPr="00BB7662">
        <w:lastRenderedPageBreak/>
        <w:t>Non</w:t>
      </w:r>
      <w:r w:rsidR="00453FB9">
        <w:t>-B</w:t>
      </w:r>
      <w:r w:rsidRPr="00BB7662">
        <w:t>undled Job Placement must be received when the service authorization for the base service is received</w:t>
      </w:r>
      <w:r w:rsidR="00607669">
        <w:t>.</w:t>
      </w:r>
    </w:p>
    <w:p w:rsidR="006C0D26" w:rsidRPr="003504C3" w:rsidRDefault="006C0D26" w:rsidP="00A246A2">
      <w:pPr>
        <w:pStyle w:val="ListParagraph"/>
        <w:numPr>
          <w:ilvl w:val="0"/>
          <w:numId w:val="15"/>
        </w:numPr>
      </w:pPr>
      <w:r w:rsidRPr="003504C3">
        <w:t>Supported Employment</w:t>
      </w:r>
      <w:r w:rsidR="00D62537" w:rsidRPr="003504C3">
        <w:t xml:space="preserve"> </w:t>
      </w:r>
      <w:r w:rsidRPr="003504C3">
        <w:t>Benchmark 1B must be received when the service authorization for Benchmark 1A is received</w:t>
      </w:r>
      <w:r w:rsidR="00650903">
        <w:t>.</w:t>
      </w:r>
    </w:p>
    <w:p w:rsidR="006C0D26" w:rsidRPr="001B093F" w:rsidRDefault="006C0D26" w:rsidP="00A246A2">
      <w:pPr>
        <w:pStyle w:val="ListParagraph"/>
        <w:numPr>
          <w:ilvl w:val="0"/>
          <w:numId w:val="15"/>
        </w:numPr>
      </w:pPr>
      <w:r w:rsidRPr="00BB7662">
        <w:t>Benchmarks 2</w:t>
      </w:r>
      <w:r w:rsidR="001B093F">
        <w:t>–</w:t>
      </w:r>
      <w:r w:rsidRPr="001B093F">
        <w:t>6 must be received when the service authorization for Benchmark 2 is received</w:t>
      </w:r>
      <w:r w:rsidR="00650903">
        <w:t>.</w:t>
      </w:r>
    </w:p>
    <w:p w:rsidR="006C0D26" w:rsidRPr="00BB7662" w:rsidRDefault="006C0D26" w:rsidP="00A246A2">
      <w:pPr>
        <w:pStyle w:val="ListParagraph"/>
        <w:numPr>
          <w:ilvl w:val="0"/>
          <w:numId w:val="15"/>
        </w:numPr>
      </w:pPr>
      <w:r w:rsidRPr="00BB7662">
        <w:t>All other services must be received when the service authorization for the service is issued.</w:t>
      </w:r>
    </w:p>
    <w:p w:rsidR="006C0D26" w:rsidRPr="00BB7662" w:rsidRDefault="003D76D3" w:rsidP="00A246A2">
      <w:r>
        <w:t>The provider’</w:t>
      </w:r>
      <w:r w:rsidR="006C0D26" w:rsidRPr="00BB7662">
        <w:t>s staff member:</w:t>
      </w:r>
    </w:p>
    <w:p w:rsidR="006C0D26" w:rsidRPr="00BB7662" w:rsidRDefault="006C0D26" w:rsidP="00A246A2">
      <w:pPr>
        <w:pStyle w:val="ListParagraph"/>
        <w:numPr>
          <w:ilvl w:val="0"/>
          <w:numId w:val="11"/>
        </w:numPr>
      </w:pPr>
      <w:r w:rsidRPr="00BB7662">
        <w:t>ensures that all deliverables for the base service are provided; and</w:t>
      </w:r>
    </w:p>
    <w:p w:rsidR="006C0D26" w:rsidRPr="00BB7662" w:rsidRDefault="006C0D26" w:rsidP="00A246A2">
      <w:pPr>
        <w:pStyle w:val="ListParagraph"/>
        <w:numPr>
          <w:ilvl w:val="0"/>
          <w:numId w:val="11"/>
        </w:numPr>
      </w:pPr>
      <w:r w:rsidRPr="00BB7662">
        <w:t>provides interventions, as needed, to remove any b</w:t>
      </w:r>
      <w:r w:rsidR="004E1BDB">
        <w:t>arriers related to the customer’</w:t>
      </w:r>
      <w:r w:rsidRPr="00BB7662">
        <w:t xml:space="preserve">s </w:t>
      </w:r>
      <w:r w:rsidR="009F6DDF" w:rsidRPr="00BB7662">
        <w:t>acquired brain injury.</w:t>
      </w:r>
    </w:p>
    <w:p w:rsidR="006C0D26" w:rsidRPr="00BB7662" w:rsidRDefault="006C0D26" w:rsidP="00A246A2">
      <w:r w:rsidRPr="00BB7662">
        <w:t>The staff member wi</w:t>
      </w:r>
      <w:r w:rsidR="009F6DDF" w:rsidRPr="00BB7662">
        <w:t>th the UNTWISE Brain Injury</w:t>
      </w:r>
      <w:r w:rsidRPr="00BB7662">
        <w:t xml:space="preserve"> Endorsement assigned to work with the customer must:</w:t>
      </w:r>
    </w:p>
    <w:p w:rsidR="006C0D26" w:rsidRPr="00EA56F1" w:rsidRDefault="006C0D26" w:rsidP="00A246A2">
      <w:pPr>
        <w:pStyle w:val="ListParagraph"/>
        <w:numPr>
          <w:ilvl w:val="0"/>
          <w:numId w:val="12"/>
        </w:numPr>
      </w:pPr>
      <w:r w:rsidRPr="00EA56F1">
        <w:t xml:space="preserve">provide the base </w:t>
      </w:r>
      <w:r w:rsidR="00230DF9" w:rsidRPr="00EA56F1">
        <w:t xml:space="preserve">employment </w:t>
      </w:r>
      <w:r w:rsidRPr="00EA56F1">
        <w:t xml:space="preserve">service, as defined in </w:t>
      </w:r>
      <w:r w:rsidR="00EB59AE" w:rsidRPr="00EA56F1">
        <w:t>the service’s associated chapter in the VR</w:t>
      </w:r>
      <w:r w:rsidR="00920A18">
        <w:t>-</w:t>
      </w:r>
      <w:r w:rsidR="00EB59AE" w:rsidRPr="00EA56F1">
        <w:t>SFP;</w:t>
      </w:r>
    </w:p>
    <w:p w:rsidR="006C0D26" w:rsidRPr="00EA56F1" w:rsidRDefault="006C0D26" w:rsidP="00A246A2">
      <w:pPr>
        <w:pStyle w:val="ListParagraph"/>
        <w:numPr>
          <w:ilvl w:val="0"/>
          <w:numId w:val="12"/>
        </w:numPr>
      </w:pPr>
      <w:r w:rsidRPr="00EA56F1">
        <w:t xml:space="preserve">remain on-site </w:t>
      </w:r>
      <w:r w:rsidR="00230DF9" w:rsidRPr="00EA56F1">
        <w:t xml:space="preserve">(where </w:t>
      </w:r>
      <w:r w:rsidR="000A12CE" w:rsidRPr="00EA56F1">
        <w:t xml:space="preserve">the </w:t>
      </w:r>
      <w:r w:rsidR="00230DF9" w:rsidRPr="00EA56F1">
        <w:t>employment service is being provided)</w:t>
      </w:r>
      <w:r w:rsidR="00DD7302" w:rsidRPr="00EA56F1">
        <w:t xml:space="preserve"> to provide</w:t>
      </w:r>
      <w:r w:rsidRPr="00EA56F1">
        <w:t xml:space="preserve"> all necessary interventions, as identified on the referral form and/or service authorization;</w:t>
      </w:r>
      <w:r w:rsidR="009F6DDF" w:rsidRPr="00EA56F1">
        <w:t xml:space="preserve"> and</w:t>
      </w:r>
    </w:p>
    <w:p w:rsidR="009F6DDF" w:rsidRPr="00BB7662" w:rsidRDefault="009F6DDF" w:rsidP="00A246A2">
      <w:pPr>
        <w:pStyle w:val="ListParagraph"/>
        <w:numPr>
          <w:ilvl w:val="0"/>
          <w:numId w:val="12"/>
        </w:numPr>
      </w:pPr>
      <w:r w:rsidRPr="00EA56F1">
        <w:t xml:space="preserve">document in the </w:t>
      </w:r>
      <w:r w:rsidR="0079001A" w:rsidRPr="00EA56F1">
        <w:t xml:space="preserve">report for the </w:t>
      </w:r>
      <w:r w:rsidR="004403C0" w:rsidRPr="00EA56F1">
        <w:t xml:space="preserve">base service, the </w:t>
      </w:r>
      <w:r w:rsidR="006C0D26" w:rsidRPr="00EA56F1">
        <w:t xml:space="preserve">interventions and compensatory techniques </w:t>
      </w:r>
      <w:r w:rsidRPr="00EA56F1">
        <w:t xml:space="preserve">used </w:t>
      </w:r>
      <w:r w:rsidR="006C0D26" w:rsidRPr="00EA56F1">
        <w:t>to address and/or remove the barriers</w:t>
      </w:r>
      <w:r w:rsidR="006C0D26" w:rsidRPr="00BB7662">
        <w:t xml:space="preserve"> d</w:t>
      </w:r>
      <w:r w:rsidR="00AD1DE1">
        <w:t>irectly related to the customer’</w:t>
      </w:r>
      <w:r w:rsidR="006C0D26" w:rsidRPr="00BB7662">
        <w:t xml:space="preserve">s diagnosis of </w:t>
      </w:r>
      <w:r w:rsidRPr="00BB7662">
        <w:t xml:space="preserve">acquired brain injury. </w:t>
      </w:r>
    </w:p>
    <w:p w:rsidR="006C0D26" w:rsidRPr="00BB7662" w:rsidRDefault="009F6DDF" w:rsidP="00A246A2">
      <w:r w:rsidRPr="00BB7662">
        <w:t>The Brain Injury</w:t>
      </w:r>
      <w:r w:rsidR="006C0D26" w:rsidRPr="00BB7662">
        <w:t xml:space="preserve"> Premium is paid only after all outcomes have been achieved and approved by the VR counselor for Bundled Job Placement Benchmark C or Supported Employment Benchmarks 1B and/or 6</w:t>
      </w:r>
      <w:r w:rsidR="00100509" w:rsidRPr="00BB7662">
        <w:t>.</w:t>
      </w:r>
    </w:p>
    <w:p w:rsidR="00100509" w:rsidRPr="00BB7662" w:rsidRDefault="00457B6C" w:rsidP="00A246A2">
      <w:r>
        <w:t xml:space="preserve">The </w:t>
      </w:r>
      <w:r w:rsidR="00F9597C">
        <w:t xml:space="preserve">provider </w:t>
      </w:r>
      <w:r w:rsidR="00AD60EF">
        <w:t>may</w:t>
      </w:r>
      <w:r>
        <w:t xml:space="preserve"> attend </w:t>
      </w:r>
      <w:r w:rsidR="00AD60EF">
        <w:t xml:space="preserve">the </w:t>
      </w:r>
      <w:bookmarkStart w:id="1" w:name="_Hlk5693698"/>
      <w:r w:rsidR="00D403E9">
        <w:t xml:space="preserve">monthly </w:t>
      </w:r>
      <w:r w:rsidR="00100509" w:rsidRPr="00BB7662">
        <w:t xml:space="preserve">Employment </w:t>
      </w:r>
      <w:r w:rsidR="009D3BBC">
        <w:t>Supports</w:t>
      </w:r>
      <w:r w:rsidR="00EA2AD5">
        <w:t xml:space="preserve"> for Brain Injury</w:t>
      </w:r>
      <w:r w:rsidR="009D3BBC">
        <w:t xml:space="preserve"> </w:t>
      </w:r>
      <w:r w:rsidR="00225537" w:rsidRPr="00BB7662">
        <w:t>(</w:t>
      </w:r>
      <w:r w:rsidR="00EA2AD5">
        <w:t>ESBI</w:t>
      </w:r>
      <w:r w:rsidR="00225537" w:rsidRPr="00BB7662">
        <w:t xml:space="preserve">) </w:t>
      </w:r>
      <w:r w:rsidR="00100509" w:rsidRPr="00BB7662">
        <w:t xml:space="preserve">interdisciplinary </w:t>
      </w:r>
      <w:r w:rsidR="002D6D7E" w:rsidRPr="00BB7662">
        <w:t>t</w:t>
      </w:r>
      <w:r w:rsidR="00100509" w:rsidRPr="00BB7662">
        <w:t xml:space="preserve">eam </w:t>
      </w:r>
      <w:r w:rsidR="002D6D7E" w:rsidRPr="00BB7662">
        <w:t>m</w:t>
      </w:r>
      <w:r w:rsidR="00100509" w:rsidRPr="00BB7662">
        <w:t>eeting</w:t>
      </w:r>
      <w:bookmarkEnd w:id="1"/>
      <w:r w:rsidR="00CC308B">
        <w:t>.</w:t>
      </w:r>
      <w:r w:rsidR="00100509" w:rsidRPr="00BB7662">
        <w:t xml:space="preserve"> </w:t>
      </w:r>
      <w:r w:rsidR="00DE5011">
        <w:t xml:space="preserve">The </w:t>
      </w:r>
      <w:r w:rsidR="00100509" w:rsidRPr="00BB7662">
        <w:t>fee</w:t>
      </w:r>
      <w:r w:rsidR="00A21856">
        <w:t xml:space="preserve"> to attend </w:t>
      </w:r>
      <w:r w:rsidR="00100509" w:rsidRPr="00BB7662">
        <w:t>is paid one time per month.</w:t>
      </w:r>
    </w:p>
    <w:p w:rsidR="006C0D26" w:rsidRPr="008C6AD9" w:rsidRDefault="00FB71A2" w:rsidP="00A246A2">
      <w:pPr>
        <w:pStyle w:val="Heading3"/>
      </w:pPr>
      <w:r>
        <w:t xml:space="preserve">20.11.2 </w:t>
      </w:r>
      <w:r w:rsidR="006C0D26" w:rsidRPr="008C6AD9">
        <w:t>Outcomes Required for Payment</w:t>
      </w:r>
    </w:p>
    <w:p w:rsidR="006C0D26" w:rsidRPr="008C6AD9" w:rsidRDefault="006C0D26" w:rsidP="00A246A2">
      <w:r w:rsidRPr="008C6AD9">
        <w:t>The service pro</w:t>
      </w:r>
      <w:r w:rsidR="00BE76E7" w:rsidRPr="008C6AD9">
        <w:t xml:space="preserve">vider is eligible for </w:t>
      </w:r>
      <w:r w:rsidR="00C42B43">
        <w:t xml:space="preserve">payment of </w:t>
      </w:r>
      <w:r w:rsidR="00BE76E7" w:rsidRPr="008C6AD9">
        <w:t xml:space="preserve">the Brain Injury </w:t>
      </w:r>
      <w:r w:rsidRPr="008C6AD9">
        <w:t>Premium when:</w:t>
      </w:r>
    </w:p>
    <w:p w:rsidR="006C0D26" w:rsidRPr="008C6AD9" w:rsidRDefault="006C0D26" w:rsidP="00A246A2">
      <w:pPr>
        <w:pStyle w:val="ListParagraph"/>
        <w:numPr>
          <w:ilvl w:val="0"/>
          <w:numId w:val="13"/>
        </w:numPr>
      </w:pPr>
      <w:r w:rsidRPr="008C6AD9">
        <w:t xml:space="preserve">the VR counselor confirms and approves </w:t>
      </w:r>
      <w:r w:rsidR="00FD66C2">
        <w:t xml:space="preserve">that </w:t>
      </w:r>
      <w:r w:rsidRPr="008C6AD9">
        <w:t xml:space="preserve">the customer has achieved all outcomes required for the base service, as outlined in the chapter of </w:t>
      </w:r>
      <w:r w:rsidR="004F5C5A">
        <w:t xml:space="preserve">this </w:t>
      </w:r>
      <w:r w:rsidRPr="008C6AD9">
        <w:t>manual</w:t>
      </w:r>
      <w:r w:rsidR="008E5BFF">
        <w:t xml:space="preserve"> that </w:t>
      </w:r>
      <w:r w:rsidR="005F16CB">
        <w:t>corresponds to the base service</w:t>
      </w:r>
      <w:r w:rsidRPr="008C6AD9">
        <w:t>; and</w:t>
      </w:r>
    </w:p>
    <w:p w:rsidR="006C0D26" w:rsidRPr="00A246A2" w:rsidRDefault="006C0D26" w:rsidP="00A246A2">
      <w:pPr>
        <w:pStyle w:val="ListParagraph"/>
        <w:numPr>
          <w:ilvl w:val="0"/>
          <w:numId w:val="13"/>
        </w:numPr>
        <w:rPr>
          <w:sz w:val="22"/>
        </w:rPr>
      </w:pPr>
      <w:r w:rsidRPr="008C6AD9">
        <w:t>the staff member providing the base service meets the qualification</w:t>
      </w:r>
      <w:r w:rsidR="00711D52">
        <w:t>s</w:t>
      </w:r>
      <w:r w:rsidRPr="008C6AD9">
        <w:t xml:space="preserve"> for the base service</w:t>
      </w:r>
      <w:r w:rsidR="00BE76E7" w:rsidRPr="008C6AD9">
        <w:t xml:space="preserve"> and maintains a current Brain Injury </w:t>
      </w:r>
      <w:r w:rsidRPr="008C6AD9">
        <w:t>Endorsement</w:t>
      </w:r>
      <w:r w:rsidR="007A307D">
        <w:t xml:space="preserve"> from </w:t>
      </w:r>
      <w:r w:rsidR="007A307D" w:rsidRPr="00BB7662">
        <w:t>UNTWISE</w:t>
      </w:r>
      <w:r w:rsidR="00D403E9">
        <w:t xml:space="preserve"> or</w:t>
      </w:r>
      <w:r w:rsidR="00D403E9" w:rsidRPr="00D403E9">
        <w:t xml:space="preserve"> </w:t>
      </w:r>
      <w:r w:rsidR="00D403E9" w:rsidRPr="00EB59AE">
        <w:t>is certified by the Brain Injury Association of America as a CBIS</w:t>
      </w:r>
      <w:r w:rsidRPr="008C6AD9">
        <w:t>.</w:t>
      </w:r>
      <w:r w:rsidRPr="008C6AD9" w:rsidDel="00FB0F37">
        <w:t xml:space="preserve"> </w:t>
      </w:r>
    </w:p>
    <w:p w:rsidR="006C0D26" w:rsidRPr="008C6AD9" w:rsidRDefault="006C0D26" w:rsidP="00A246A2">
      <w:r w:rsidRPr="008C6AD9">
        <w:t>VR does not pay for fees related to excused or unexcused absences or holidays.</w:t>
      </w:r>
    </w:p>
    <w:p w:rsidR="006C0D26" w:rsidRPr="008C6AD9" w:rsidRDefault="00BE76E7" w:rsidP="00A246A2">
      <w:r w:rsidRPr="008C6AD9">
        <w:lastRenderedPageBreak/>
        <w:t xml:space="preserve">The premium is paid after </w:t>
      </w:r>
      <w:r w:rsidR="00B62559">
        <w:t>VR</w:t>
      </w:r>
      <w:r w:rsidR="00740D95">
        <w:t xml:space="preserve"> approves </w:t>
      </w:r>
      <w:r w:rsidR="006C0D26" w:rsidRPr="008C6AD9">
        <w:t>the documentation</w:t>
      </w:r>
      <w:r w:rsidR="001751FD">
        <w:t xml:space="preserve"> that is</w:t>
      </w:r>
      <w:r w:rsidR="006C0D26" w:rsidRPr="008C6AD9">
        <w:t xml:space="preserve"> required for the base service</w:t>
      </w:r>
      <w:r w:rsidR="00100509" w:rsidRPr="008C6AD9">
        <w:t xml:space="preserve"> and invoice</w:t>
      </w:r>
      <w:r w:rsidRPr="008C6AD9">
        <w:t>.</w:t>
      </w:r>
    </w:p>
    <w:p w:rsidR="00CF7548" w:rsidRDefault="00FB35DA" w:rsidP="00A246A2">
      <w:r>
        <w:t xml:space="preserve">If the </w:t>
      </w:r>
      <w:r w:rsidR="004A5307">
        <w:t>provider</w:t>
      </w:r>
      <w:r>
        <w:t xml:space="preserve"> attends </w:t>
      </w:r>
      <w:r w:rsidR="00E3099C">
        <w:t>a</w:t>
      </w:r>
      <w:r w:rsidR="00196A4B">
        <w:t>n</w:t>
      </w:r>
      <w:r w:rsidR="00E3099C">
        <w:t xml:space="preserve"> </w:t>
      </w:r>
      <w:r w:rsidR="00EA2AD5">
        <w:t>ESBI</w:t>
      </w:r>
      <w:r w:rsidR="00225537">
        <w:t xml:space="preserve"> i</w:t>
      </w:r>
      <w:r w:rsidR="00100509" w:rsidRPr="008C6AD9">
        <w:t xml:space="preserve">nterdisciplinary </w:t>
      </w:r>
      <w:r w:rsidR="00225537">
        <w:t>t</w:t>
      </w:r>
      <w:r w:rsidR="00100509" w:rsidRPr="008C6AD9">
        <w:t xml:space="preserve">eam </w:t>
      </w:r>
      <w:r w:rsidR="00A40A4F">
        <w:t>m</w:t>
      </w:r>
      <w:r w:rsidR="00100509" w:rsidRPr="008C6AD9">
        <w:t>eeting</w:t>
      </w:r>
      <w:r w:rsidR="00E3099C">
        <w:t>,</w:t>
      </w:r>
      <w:r w:rsidR="00100509" w:rsidRPr="008C6AD9">
        <w:t xml:space="preserve"> the provider must submit a progress note outlining</w:t>
      </w:r>
      <w:r w:rsidR="00CF7548">
        <w:t>:</w:t>
      </w:r>
      <w:r w:rsidR="00100509" w:rsidRPr="008C6AD9">
        <w:t xml:space="preserve"> </w:t>
      </w:r>
    </w:p>
    <w:p w:rsidR="00CF7548" w:rsidRPr="009C355D" w:rsidRDefault="00231797" w:rsidP="00A246A2">
      <w:pPr>
        <w:pStyle w:val="ListParagraph"/>
        <w:numPr>
          <w:ilvl w:val="0"/>
          <w:numId w:val="19"/>
        </w:numPr>
      </w:pPr>
      <w:r w:rsidRPr="009C355D">
        <w:t xml:space="preserve">the </w:t>
      </w:r>
      <w:r w:rsidR="00FB35DA" w:rsidRPr="009C355D">
        <w:t xml:space="preserve">information </w:t>
      </w:r>
      <w:r w:rsidR="002846FA">
        <w:t xml:space="preserve">obtained </w:t>
      </w:r>
      <w:r w:rsidR="002846FA" w:rsidRPr="00D91581">
        <w:t xml:space="preserve">by the </w:t>
      </w:r>
      <w:r w:rsidR="004A5307">
        <w:t xml:space="preserve">provider </w:t>
      </w:r>
      <w:r w:rsidR="002846FA" w:rsidRPr="00D91581">
        <w:t>at the meeting</w:t>
      </w:r>
      <w:r w:rsidR="002846FA">
        <w:t xml:space="preserve">; </w:t>
      </w:r>
      <w:r w:rsidR="00100509" w:rsidRPr="009C355D">
        <w:t xml:space="preserve">and </w:t>
      </w:r>
    </w:p>
    <w:p w:rsidR="00100509" w:rsidRPr="009C355D" w:rsidRDefault="00100509" w:rsidP="00A246A2">
      <w:pPr>
        <w:pStyle w:val="ListParagraph"/>
        <w:numPr>
          <w:ilvl w:val="0"/>
          <w:numId w:val="19"/>
        </w:numPr>
      </w:pPr>
      <w:r w:rsidRPr="009C355D">
        <w:t xml:space="preserve">any services </w:t>
      </w:r>
      <w:r w:rsidR="00FB35DA" w:rsidRPr="009C355D">
        <w:t xml:space="preserve">that </w:t>
      </w:r>
      <w:r w:rsidRPr="009C355D">
        <w:t xml:space="preserve">the employment service provider plans </w:t>
      </w:r>
      <w:r w:rsidR="00FB35DA" w:rsidRPr="009C355D">
        <w:t xml:space="preserve">to </w:t>
      </w:r>
      <w:r w:rsidRPr="009C355D">
        <w:t>provide in upcoming month</w:t>
      </w:r>
      <w:r w:rsidR="00A24127">
        <w:t>s</w:t>
      </w:r>
      <w:r w:rsidRPr="009C355D">
        <w:t>.</w:t>
      </w:r>
    </w:p>
    <w:p w:rsidR="006C0D26" w:rsidRPr="008C6AD9" w:rsidRDefault="00593679" w:rsidP="00A246A2">
      <w:pPr>
        <w:pStyle w:val="Heading3"/>
      </w:pPr>
      <w:r>
        <w:t>20.11.3</w:t>
      </w:r>
      <w:r w:rsidR="00FB71A2">
        <w:t xml:space="preserve"> </w:t>
      </w:r>
      <w:r w:rsidR="00A20FC7" w:rsidRPr="00A20FC7">
        <w:t>Brain Injury Premium</w:t>
      </w:r>
    </w:p>
    <w:p w:rsidR="009B536C" w:rsidRPr="00BB7662" w:rsidRDefault="009B536C" w:rsidP="00A246A2">
      <w:bookmarkStart w:id="2" w:name="_GoBack"/>
      <w:bookmarkEnd w:id="2"/>
      <w:r w:rsidRPr="00BB7662">
        <w:t xml:space="preserve">All premiums </w:t>
      </w:r>
      <w:r w:rsidR="000B1992">
        <w:t xml:space="preserve">are </w:t>
      </w:r>
      <w:r w:rsidRPr="00BB7662">
        <w:t xml:space="preserve">paid after the base service deliverables </w:t>
      </w:r>
      <w:r w:rsidR="000B1992">
        <w:t xml:space="preserve">are </w:t>
      </w:r>
      <w:r w:rsidRPr="00BB7662">
        <w:t xml:space="preserve">approved by </w:t>
      </w:r>
      <w:r w:rsidR="00E331D9">
        <w:t xml:space="preserve">a </w:t>
      </w:r>
      <w:r w:rsidRPr="00BB7662">
        <w:t xml:space="preserve">VR counselor. Each rate </w:t>
      </w:r>
      <w:r w:rsidR="00644627">
        <w:t xml:space="preserve">is </w:t>
      </w:r>
      <w:r w:rsidRPr="00BB7662">
        <w:t>paid once</w:t>
      </w:r>
      <w:r w:rsidR="00644627">
        <w:t>—</w:t>
      </w:r>
      <w:r w:rsidRPr="00BB7662">
        <w:t xml:space="preserve">except for </w:t>
      </w:r>
      <w:r w:rsidR="00644627">
        <w:t xml:space="preserve">the </w:t>
      </w:r>
      <w:r w:rsidRPr="00BB7662">
        <w:t xml:space="preserve">hourly rates noted below. </w:t>
      </w:r>
      <w:r w:rsidR="00F06D17">
        <w:t>The provider</w:t>
      </w:r>
      <w:r w:rsidR="00644627">
        <w:t xml:space="preserve"> </w:t>
      </w:r>
      <w:r w:rsidR="00FE3A33">
        <w:t>may</w:t>
      </w:r>
      <w:r w:rsidR="000B1992">
        <w:t xml:space="preserve"> a</w:t>
      </w:r>
      <w:r w:rsidR="00644627">
        <w:t>ttend</w:t>
      </w:r>
      <w:r w:rsidR="003A0642">
        <w:t xml:space="preserve"> </w:t>
      </w:r>
      <w:r w:rsidR="00100509" w:rsidRPr="00BB7662">
        <w:t xml:space="preserve">interdisciplinary </w:t>
      </w:r>
      <w:r w:rsidR="0054710B">
        <w:t>t</w:t>
      </w:r>
      <w:r w:rsidR="00100509" w:rsidRPr="00BB7662">
        <w:t xml:space="preserve">eam </w:t>
      </w:r>
      <w:r w:rsidR="0054710B">
        <w:t>m</w:t>
      </w:r>
      <w:r w:rsidR="00100509" w:rsidRPr="00BB7662">
        <w:t>eetings one time per month.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Brain Injury Premium Table"/>
      </w:tblPr>
      <w:tblGrid>
        <w:gridCol w:w="7911"/>
        <w:gridCol w:w="1439"/>
      </w:tblGrid>
      <w:tr w:rsidR="00100509" w:rsidRPr="00BB7662" w:rsidTr="00946A2A">
        <w:trPr>
          <w:tblHeader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812BB" w:rsidRPr="00946A2A" w:rsidRDefault="002812BB" w:rsidP="00A246A2">
            <w:pPr>
              <w:rPr>
                <w:b/>
              </w:rPr>
            </w:pPr>
            <w:r w:rsidRPr="00946A2A">
              <w:rPr>
                <w:b/>
              </w:rPr>
              <w:t>Brain Injury Premium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812BB" w:rsidRPr="00946A2A" w:rsidRDefault="002812BB" w:rsidP="00A246A2">
            <w:pPr>
              <w:rPr>
                <w:b/>
              </w:rPr>
            </w:pPr>
            <w:r w:rsidRPr="00946A2A">
              <w:rPr>
                <w:b/>
              </w:rPr>
              <w:t>Unit Rate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Non-Bundled Employment Data Sheet, Application, and Résumé Training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F15CBC" w:rsidRPr="00BB7662">
              <w:t>60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Non-Bundled Interview Training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715046" w:rsidRPr="00BB7662">
              <w:t>48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Bundled Job Placement (Basic) Benchmark C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70396F" w:rsidRPr="00BB7662">
              <w:t>360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Bundled Job Placement (Enhanced) Benchmark C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70396F" w:rsidRPr="00BB7662">
              <w:t>480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Supported Employment Benchmark 1B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70396F" w:rsidRPr="00BB7662">
              <w:t>180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70396F" w:rsidRPr="00BB7662" w:rsidRDefault="0070396F" w:rsidP="00A246A2">
            <w:r w:rsidRPr="00BB7662">
              <w:t>Supported Employment Benchmark 1B</w:t>
            </w:r>
            <w:r w:rsidR="00541EB1">
              <w:t xml:space="preserve"> (</w:t>
            </w:r>
            <w:r w:rsidRPr="00BB7662">
              <w:t xml:space="preserve">when prorated for completed </w:t>
            </w:r>
            <w:r w:rsidR="00742BCE">
              <w:t>Environmental Work Assessment (</w:t>
            </w:r>
            <w:r w:rsidRPr="00BB7662">
              <w:t>EWA</w:t>
            </w:r>
            <w:r w:rsidR="00541EB1">
              <w:t>)</w:t>
            </w:r>
            <w:r w:rsidR="00742BCE">
              <w:t>)</w:t>
            </w:r>
          </w:p>
        </w:tc>
        <w:tc>
          <w:tcPr>
            <w:tcW w:w="1440" w:type="dxa"/>
            <w:vAlign w:val="center"/>
          </w:tcPr>
          <w:p w:rsidR="0070396F" w:rsidRPr="00BB7662" w:rsidRDefault="00E85333" w:rsidP="00A246A2">
            <w:r w:rsidRPr="00BB7662">
              <w:t>$</w:t>
            </w:r>
            <w:r w:rsidR="0070396F" w:rsidRPr="00BB7662">
              <w:t>108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2812BB" w:rsidRPr="00BB7662" w:rsidRDefault="002812BB" w:rsidP="00A246A2">
            <w:r w:rsidRPr="00BB7662">
              <w:t>Supported Employment Benchmark 6</w:t>
            </w:r>
          </w:p>
        </w:tc>
        <w:tc>
          <w:tcPr>
            <w:tcW w:w="1440" w:type="dxa"/>
            <w:vAlign w:val="center"/>
          </w:tcPr>
          <w:p w:rsidR="002812BB" w:rsidRPr="00BB7662" w:rsidRDefault="00E85333" w:rsidP="00A246A2">
            <w:r w:rsidRPr="00BB7662">
              <w:t>$</w:t>
            </w:r>
            <w:r w:rsidR="0070396F" w:rsidRPr="00BB7662">
              <w:t>1</w:t>
            </w:r>
            <w:r w:rsidR="009D2A13">
              <w:t>,</w:t>
            </w:r>
            <w:r w:rsidR="0070396F" w:rsidRPr="00BB7662">
              <w:t>200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9B536C" w:rsidP="00A246A2">
            <w:r w:rsidRPr="00BB7662">
              <w:t>Job Skills Training (Individual)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$6 per hour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9B536C" w:rsidP="00A246A2">
            <w:r w:rsidRPr="00BB7662">
              <w:t>Job Skills Training (Group)</w:t>
            </w:r>
          </w:p>
        </w:tc>
        <w:tc>
          <w:tcPr>
            <w:tcW w:w="1440" w:type="dxa"/>
            <w:vAlign w:val="center"/>
          </w:tcPr>
          <w:p w:rsidR="009B536C" w:rsidRPr="00BB7662" w:rsidRDefault="00CE637A" w:rsidP="00A246A2">
            <w:r w:rsidRPr="00BB7662">
              <w:t>$3</w:t>
            </w:r>
            <w:r w:rsidR="009B536C" w:rsidRPr="00BB7662">
              <w:t xml:space="preserve"> per hour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1771BD" w:rsidP="00A246A2">
            <w:r>
              <w:t>Vocational Adjustment Training (</w:t>
            </w:r>
            <w:r w:rsidR="00F2636E">
              <w:t>VAT</w:t>
            </w:r>
            <w:r>
              <w:t>)</w:t>
            </w:r>
            <w:r w:rsidR="00F2636E">
              <w:t>—</w:t>
            </w:r>
            <w:r w:rsidR="009B536C" w:rsidRPr="00BB7662">
              <w:t>Job Search Training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$120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Disability Disclosure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$120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Entering the World of Work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$60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Explore the You in Work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$60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Money Smart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$180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Public Transportation Training (Group)</w:t>
            </w:r>
          </w:p>
        </w:tc>
        <w:tc>
          <w:tcPr>
            <w:tcW w:w="1440" w:type="dxa"/>
            <w:vAlign w:val="center"/>
          </w:tcPr>
          <w:p w:rsidR="009B536C" w:rsidRPr="00BB7662" w:rsidRDefault="00773C01" w:rsidP="00A246A2">
            <w:r w:rsidRPr="00BB7662">
              <w:t xml:space="preserve">$3 </w:t>
            </w:r>
            <w:r w:rsidR="009B536C" w:rsidRPr="00BB7662">
              <w:t>per hour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VA—</w:t>
            </w:r>
            <w:r w:rsidR="009B536C" w:rsidRPr="00BB7662">
              <w:t>Public Transportation Training (Individual)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$6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Soft Skills for Work Success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$90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  <w:hideMark/>
          </w:tcPr>
          <w:p w:rsidR="009B536C" w:rsidRPr="00BB7662" w:rsidRDefault="00F2636E" w:rsidP="00A246A2">
            <w:r>
              <w:t>VAT—</w:t>
            </w:r>
            <w:r w:rsidR="009B536C" w:rsidRPr="00BB7662">
              <w:t>Soft Skills to Pay the Bills—Mastering Soft Skills for Workplace Success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$120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9B536C" w:rsidRPr="00BB7662" w:rsidRDefault="00F2636E" w:rsidP="00A246A2">
            <w:bookmarkStart w:id="3" w:name="_Hlk5690250"/>
            <w:r>
              <w:t>VAT—</w:t>
            </w:r>
            <w:r w:rsidR="009B536C" w:rsidRPr="00BB7662">
              <w:t>Specialized (evaluation and training)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$6 per hour</w:t>
            </w:r>
          </w:p>
        </w:tc>
      </w:tr>
      <w:bookmarkEnd w:id="3"/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9B536C" w:rsidRPr="00BB7662" w:rsidRDefault="009B536C" w:rsidP="00A246A2">
            <w:r w:rsidRPr="00BB7662">
              <w:t>Work Experience Placement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$120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9B536C" w:rsidRPr="00BB7662" w:rsidRDefault="009B536C" w:rsidP="00A246A2">
            <w:r w:rsidRPr="00BB7662">
              <w:t>Work Experience Monitoring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>$33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9B536C" w:rsidRPr="00BB7662" w:rsidRDefault="009B536C" w:rsidP="00A246A2">
            <w:r w:rsidRPr="00BB7662">
              <w:t>Work Experience Training</w:t>
            </w:r>
            <w:r w:rsidR="00097E98">
              <w:t>—</w:t>
            </w:r>
            <w:r w:rsidRPr="00BB7662">
              <w:t>Individual</w:t>
            </w:r>
          </w:p>
        </w:tc>
        <w:tc>
          <w:tcPr>
            <w:tcW w:w="1440" w:type="dxa"/>
            <w:vAlign w:val="center"/>
          </w:tcPr>
          <w:p w:rsidR="009B536C" w:rsidRPr="00BB7662" w:rsidRDefault="009B536C" w:rsidP="00A246A2">
            <w:r w:rsidRPr="00BB7662">
              <w:t xml:space="preserve">$6 per hour 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9B536C" w:rsidRPr="00BB7662" w:rsidRDefault="009B536C" w:rsidP="00A246A2">
            <w:r w:rsidRPr="00BB7662">
              <w:t>Work Experience Training</w:t>
            </w:r>
            <w:r w:rsidR="00097E98">
              <w:t>—</w:t>
            </w:r>
            <w:r w:rsidRPr="00BB7662">
              <w:t>Group</w:t>
            </w:r>
          </w:p>
        </w:tc>
        <w:tc>
          <w:tcPr>
            <w:tcW w:w="1440" w:type="dxa"/>
            <w:vAlign w:val="center"/>
          </w:tcPr>
          <w:p w:rsidR="009B536C" w:rsidRPr="00BB7662" w:rsidRDefault="00773C01" w:rsidP="00A246A2">
            <w:r w:rsidRPr="00BB7662">
              <w:t xml:space="preserve">$3 </w:t>
            </w:r>
            <w:r w:rsidR="009B536C" w:rsidRPr="00BB7662">
              <w:t>per hour</w:t>
            </w:r>
          </w:p>
        </w:tc>
      </w:tr>
      <w:tr w:rsidR="00100509" w:rsidRPr="00BB7662" w:rsidTr="00946A2A">
        <w:trPr>
          <w:tblHeader/>
        </w:trPr>
        <w:tc>
          <w:tcPr>
            <w:tcW w:w="7920" w:type="dxa"/>
            <w:vAlign w:val="center"/>
          </w:tcPr>
          <w:p w:rsidR="00743DA0" w:rsidRPr="00BB7662" w:rsidRDefault="00100509" w:rsidP="00A246A2">
            <w:bookmarkStart w:id="4" w:name="_Hlk5693572"/>
            <w:r w:rsidRPr="00BB7662">
              <w:t>Attending a</w:t>
            </w:r>
            <w:r w:rsidR="007D31C2">
              <w:t>n</w:t>
            </w:r>
            <w:r w:rsidRPr="00BB7662">
              <w:t xml:space="preserve"> </w:t>
            </w:r>
            <w:r w:rsidR="00EA2AD5">
              <w:t>ESBI</w:t>
            </w:r>
            <w:r w:rsidR="00D25627">
              <w:t xml:space="preserve"> </w:t>
            </w:r>
            <w:r w:rsidRPr="00BB7662">
              <w:t xml:space="preserve">interdisciplinary </w:t>
            </w:r>
            <w:r w:rsidR="00F64313">
              <w:t>t</w:t>
            </w:r>
            <w:r w:rsidRPr="00BB7662">
              <w:t xml:space="preserve">eam </w:t>
            </w:r>
            <w:r w:rsidR="00F64313">
              <w:t>m</w:t>
            </w:r>
            <w:r w:rsidRPr="00BB7662">
              <w:t>eeting</w:t>
            </w:r>
            <w:bookmarkEnd w:id="4"/>
            <w:r w:rsidR="00472842">
              <w:t xml:space="preserve"> (</w:t>
            </w:r>
            <w:r w:rsidR="00472842" w:rsidRPr="001618E1">
              <w:t xml:space="preserve">Initial Assessment and Evaluation Plan </w:t>
            </w:r>
            <w:r w:rsidR="00472842">
              <w:t>(</w:t>
            </w:r>
            <w:r w:rsidR="00472842" w:rsidRPr="001618E1">
              <w:t>IAEP</w:t>
            </w:r>
            <w:r w:rsidR="00472842">
              <w:t>)</w:t>
            </w:r>
            <w:r w:rsidR="00472842" w:rsidRPr="001618E1">
              <w:t xml:space="preserve"> and/or Individual Program Plan</w:t>
            </w:r>
            <w:r w:rsidR="00472842">
              <w:t xml:space="preserve"> (</w:t>
            </w:r>
            <w:r w:rsidR="00472842" w:rsidRPr="001618E1">
              <w:t>IPP</w:t>
            </w:r>
            <w:r w:rsidR="00472842">
              <w:t>))</w:t>
            </w:r>
          </w:p>
        </w:tc>
        <w:tc>
          <w:tcPr>
            <w:tcW w:w="1440" w:type="dxa"/>
            <w:vAlign w:val="center"/>
          </w:tcPr>
          <w:p w:rsidR="00743DA0" w:rsidRPr="00BB7662" w:rsidRDefault="00100509" w:rsidP="00A246A2">
            <w:r w:rsidRPr="00BB7662">
              <w:t xml:space="preserve">$37.50 per </w:t>
            </w:r>
            <w:r w:rsidR="00B73B8F">
              <w:t>m</w:t>
            </w:r>
            <w:r w:rsidRPr="00BB7662">
              <w:t>eeting</w:t>
            </w:r>
          </w:p>
        </w:tc>
      </w:tr>
    </w:tbl>
    <w:p w:rsidR="002812BB" w:rsidRPr="008C6AD9" w:rsidRDefault="002812BB" w:rsidP="00A246A2"/>
    <w:sectPr w:rsidR="002812BB" w:rsidRPr="008C6AD9" w:rsidSect="00170749">
      <w:footerReference w:type="default" r:id="rId12"/>
      <w:pgSz w:w="12240" w:h="15840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58" w:rsidRDefault="00C02258" w:rsidP="00A246A2">
      <w:r>
        <w:separator/>
      </w:r>
    </w:p>
  </w:endnote>
  <w:endnote w:type="continuationSeparator" w:id="0">
    <w:p w:rsidR="00C02258" w:rsidRDefault="00C02258" w:rsidP="00A2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34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0749" w:rsidRPr="00170749" w:rsidRDefault="00170749">
            <w:pPr>
              <w:pStyle w:val="Footer"/>
              <w:jc w:val="right"/>
            </w:pPr>
            <w:r w:rsidRPr="00170749">
              <w:t xml:space="preserve">Page </w:t>
            </w:r>
            <w:r w:rsidRPr="00170749">
              <w:rPr>
                <w:bCs/>
              </w:rPr>
              <w:fldChar w:fldCharType="begin"/>
            </w:r>
            <w:r w:rsidRPr="00170749">
              <w:rPr>
                <w:bCs/>
              </w:rPr>
              <w:instrText xml:space="preserve"> PAGE </w:instrText>
            </w:r>
            <w:r w:rsidRPr="00170749">
              <w:rPr>
                <w:bCs/>
              </w:rPr>
              <w:fldChar w:fldCharType="separate"/>
            </w:r>
            <w:r w:rsidRPr="00170749">
              <w:rPr>
                <w:bCs/>
                <w:noProof/>
              </w:rPr>
              <w:t>2</w:t>
            </w:r>
            <w:r w:rsidRPr="00170749">
              <w:rPr>
                <w:bCs/>
              </w:rPr>
              <w:fldChar w:fldCharType="end"/>
            </w:r>
            <w:r w:rsidRPr="00170749">
              <w:t xml:space="preserve"> of </w:t>
            </w:r>
            <w:r w:rsidRPr="00170749">
              <w:rPr>
                <w:bCs/>
              </w:rPr>
              <w:fldChar w:fldCharType="begin"/>
            </w:r>
            <w:r w:rsidRPr="00170749">
              <w:rPr>
                <w:bCs/>
              </w:rPr>
              <w:instrText xml:space="preserve"> NUMPAGES  </w:instrText>
            </w:r>
            <w:r w:rsidRPr="00170749">
              <w:rPr>
                <w:bCs/>
              </w:rPr>
              <w:fldChar w:fldCharType="separate"/>
            </w:r>
            <w:r w:rsidRPr="00170749">
              <w:rPr>
                <w:bCs/>
                <w:noProof/>
              </w:rPr>
              <w:t>2</w:t>
            </w:r>
            <w:r w:rsidRPr="00170749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58" w:rsidRDefault="00C02258" w:rsidP="00A246A2">
      <w:r>
        <w:separator/>
      </w:r>
    </w:p>
  </w:footnote>
  <w:footnote w:type="continuationSeparator" w:id="0">
    <w:p w:rsidR="00C02258" w:rsidRDefault="00C02258" w:rsidP="00A2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193"/>
    <w:multiLevelType w:val="hybridMultilevel"/>
    <w:tmpl w:val="C388D8A8"/>
    <w:lvl w:ilvl="0" w:tplc="DC740D06">
      <w:start w:val="1"/>
      <w:numFmt w:val="bullet"/>
      <w:pStyle w:val="NoSpacing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D0EC4"/>
    <w:multiLevelType w:val="multilevel"/>
    <w:tmpl w:val="BD8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A0D08"/>
    <w:multiLevelType w:val="multilevel"/>
    <w:tmpl w:val="55F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6678"/>
    <w:multiLevelType w:val="hybridMultilevel"/>
    <w:tmpl w:val="AB78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D783E"/>
    <w:multiLevelType w:val="multilevel"/>
    <w:tmpl w:val="4EA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F2E65"/>
    <w:multiLevelType w:val="multilevel"/>
    <w:tmpl w:val="498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22237"/>
    <w:multiLevelType w:val="multilevel"/>
    <w:tmpl w:val="BD807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46AB5"/>
    <w:multiLevelType w:val="hybridMultilevel"/>
    <w:tmpl w:val="DC4C1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91BF3"/>
    <w:multiLevelType w:val="multilevel"/>
    <w:tmpl w:val="D71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21986"/>
    <w:multiLevelType w:val="hybridMultilevel"/>
    <w:tmpl w:val="D5E4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505A6"/>
    <w:multiLevelType w:val="multilevel"/>
    <w:tmpl w:val="B2A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42B1"/>
    <w:multiLevelType w:val="multilevel"/>
    <w:tmpl w:val="795C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41E37"/>
    <w:multiLevelType w:val="multilevel"/>
    <w:tmpl w:val="DA0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CD1180"/>
    <w:multiLevelType w:val="multilevel"/>
    <w:tmpl w:val="071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66167"/>
    <w:multiLevelType w:val="multilevel"/>
    <w:tmpl w:val="E02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E723A"/>
    <w:multiLevelType w:val="multilevel"/>
    <w:tmpl w:val="BD8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D45F7"/>
    <w:multiLevelType w:val="multilevel"/>
    <w:tmpl w:val="BE50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616B61"/>
    <w:multiLevelType w:val="multilevel"/>
    <w:tmpl w:val="6FB6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17D8C"/>
    <w:multiLevelType w:val="multilevel"/>
    <w:tmpl w:val="BD807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31141"/>
    <w:multiLevelType w:val="hybridMultilevel"/>
    <w:tmpl w:val="39306C68"/>
    <w:lvl w:ilvl="0" w:tplc="AE3A9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431E0"/>
    <w:multiLevelType w:val="multilevel"/>
    <w:tmpl w:val="3D6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A7B1F"/>
    <w:multiLevelType w:val="hybridMultilevel"/>
    <w:tmpl w:val="5D4E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2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21"/>
  </w:num>
  <w:num w:numId="17">
    <w:abstractNumId w:val="7"/>
  </w:num>
  <w:num w:numId="18">
    <w:abstractNumId w:val="15"/>
  </w:num>
  <w:num w:numId="19">
    <w:abstractNumId w:val="1"/>
  </w:num>
  <w:num w:numId="20">
    <w:abstractNumId w:val="6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3"/>
    <w:rsid w:val="0000001F"/>
    <w:rsid w:val="00001882"/>
    <w:rsid w:val="0000386B"/>
    <w:rsid w:val="00011B7E"/>
    <w:rsid w:val="00017FF2"/>
    <w:rsid w:val="00022BF6"/>
    <w:rsid w:val="000243CD"/>
    <w:rsid w:val="00025015"/>
    <w:rsid w:val="000277AC"/>
    <w:rsid w:val="000337D5"/>
    <w:rsid w:val="00035ECC"/>
    <w:rsid w:val="00041149"/>
    <w:rsid w:val="000429F6"/>
    <w:rsid w:val="000617CB"/>
    <w:rsid w:val="00075DCC"/>
    <w:rsid w:val="000763CE"/>
    <w:rsid w:val="00096001"/>
    <w:rsid w:val="00097E98"/>
    <w:rsid w:val="000A10FC"/>
    <w:rsid w:val="000A1292"/>
    <w:rsid w:val="000A12CE"/>
    <w:rsid w:val="000A6A2D"/>
    <w:rsid w:val="000A7DB2"/>
    <w:rsid w:val="000B1992"/>
    <w:rsid w:val="000E221E"/>
    <w:rsid w:val="000F0F35"/>
    <w:rsid w:val="000F4276"/>
    <w:rsid w:val="000F6EAF"/>
    <w:rsid w:val="00100509"/>
    <w:rsid w:val="001017BD"/>
    <w:rsid w:val="0011735D"/>
    <w:rsid w:val="001237D2"/>
    <w:rsid w:val="00125E54"/>
    <w:rsid w:val="00130BFB"/>
    <w:rsid w:val="00133EF3"/>
    <w:rsid w:val="00143E81"/>
    <w:rsid w:val="001475E5"/>
    <w:rsid w:val="00154490"/>
    <w:rsid w:val="00154927"/>
    <w:rsid w:val="00156B01"/>
    <w:rsid w:val="00166F74"/>
    <w:rsid w:val="00170749"/>
    <w:rsid w:val="00172096"/>
    <w:rsid w:val="001751FD"/>
    <w:rsid w:val="001761F7"/>
    <w:rsid w:val="001771BD"/>
    <w:rsid w:val="00177E83"/>
    <w:rsid w:val="0018024B"/>
    <w:rsid w:val="00183301"/>
    <w:rsid w:val="00185F67"/>
    <w:rsid w:val="00194712"/>
    <w:rsid w:val="00196A4B"/>
    <w:rsid w:val="001B093F"/>
    <w:rsid w:val="001C2463"/>
    <w:rsid w:val="001E1CEB"/>
    <w:rsid w:val="001E28B0"/>
    <w:rsid w:val="001F430B"/>
    <w:rsid w:val="001F4B6A"/>
    <w:rsid w:val="00201668"/>
    <w:rsid w:val="00221FB4"/>
    <w:rsid w:val="00224F2D"/>
    <w:rsid w:val="00225537"/>
    <w:rsid w:val="00230B41"/>
    <w:rsid w:val="00230DF9"/>
    <w:rsid w:val="00231797"/>
    <w:rsid w:val="0023579A"/>
    <w:rsid w:val="0024154C"/>
    <w:rsid w:val="00250A63"/>
    <w:rsid w:val="00255255"/>
    <w:rsid w:val="002575E1"/>
    <w:rsid w:val="00260FD5"/>
    <w:rsid w:val="00261C9C"/>
    <w:rsid w:val="00267992"/>
    <w:rsid w:val="00270D83"/>
    <w:rsid w:val="002812BB"/>
    <w:rsid w:val="002846FA"/>
    <w:rsid w:val="00285151"/>
    <w:rsid w:val="00286028"/>
    <w:rsid w:val="002865F7"/>
    <w:rsid w:val="00287B23"/>
    <w:rsid w:val="002927CB"/>
    <w:rsid w:val="002A4C96"/>
    <w:rsid w:val="002B28E3"/>
    <w:rsid w:val="002B2A3A"/>
    <w:rsid w:val="002B7D6A"/>
    <w:rsid w:val="002D3D38"/>
    <w:rsid w:val="002D6ABB"/>
    <w:rsid w:val="002D6D7E"/>
    <w:rsid w:val="002E1247"/>
    <w:rsid w:val="002E26AE"/>
    <w:rsid w:val="002F2E75"/>
    <w:rsid w:val="002F73C2"/>
    <w:rsid w:val="00306A10"/>
    <w:rsid w:val="00313C5B"/>
    <w:rsid w:val="00330DFE"/>
    <w:rsid w:val="003504C3"/>
    <w:rsid w:val="00352A65"/>
    <w:rsid w:val="00353DB1"/>
    <w:rsid w:val="003549D7"/>
    <w:rsid w:val="0035746A"/>
    <w:rsid w:val="003608A1"/>
    <w:rsid w:val="00370E08"/>
    <w:rsid w:val="00371BA0"/>
    <w:rsid w:val="0037567E"/>
    <w:rsid w:val="00383ECC"/>
    <w:rsid w:val="00384E45"/>
    <w:rsid w:val="00395777"/>
    <w:rsid w:val="003961CD"/>
    <w:rsid w:val="003A0642"/>
    <w:rsid w:val="003A3495"/>
    <w:rsid w:val="003A7543"/>
    <w:rsid w:val="003C0D2A"/>
    <w:rsid w:val="003D32E5"/>
    <w:rsid w:val="003D5B0E"/>
    <w:rsid w:val="003D721F"/>
    <w:rsid w:val="003D748E"/>
    <w:rsid w:val="003D76D3"/>
    <w:rsid w:val="003D7B5B"/>
    <w:rsid w:val="003E73FF"/>
    <w:rsid w:val="003E7831"/>
    <w:rsid w:val="003F17F3"/>
    <w:rsid w:val="00415CC4"/>
    <w:rsid w:val="00417869"/>
    <w:rsid w:val="0043723E"/>
    <w:rsid w:val="004403C0"/>
    <w:rsid w:val="00452AFE"/>
    <w:rsid w:val="00453FB9"/>
    <w:rsid w:val="00457B6C"/>
    <w:rsid w:val="00464BA6"/>
    <w:rsid w:val="0046734F"/>
    <w:rsid w:val="0047039F"/>
    <w:rsid w:val="00472842"/>
    <w:rsid w:val="00472E82"/>
    <w:rsid w:val="004A5307"/>
    <w:rsid w:val="004C61CD"/>
    <w:rsid w:val="004D32C5"/>
    <w:rsid w:val="004D374B"/>
    <w:rsid w:val="004D452C"/>
    <w:rsid w:val="004E1BDB"/>
    <w:rsid w:val="004E2A4F"/>
    <w:rsid w:val="004E5668"/>
    <w:rsid w:val="004E5F92"/>
    <w:rsid w:val="004F5C5A"/>
    <w:rsid w:val="004F7DA8"/>
    <w:rsid w:val="00500D8D"/>
    <w:rsid w:val="0052547E"/>
    <w:rsid w:val="005377F5"/>
    <w:rsid w:val="00541EB1"/>
    <w:rsid w:val="0054336A"/>
    <w:rsid w:val="0054710B"/>
    <w:rsid w:val="00547D0A"/>
    <w:rsid w:val="005511E7"/>
    <w:rsid w:val="0056100A"/>
    <w:rsid w:val="00575C9D"/>
    <w:rsid w:val="00580897"/>
    <w:rsid w:val="00593679"/>
    <w:rsid w:val="005938B6"/>
    <w:rsid w:val="005A0E79"/>
    <w:rsid w:val="005A4788"/>
    <w:rsid w:val="005A57DA"/>
    <w:rsid w:val="005C279E"/>
    <w:rsid w:val="005E31B0"/>
    <w:rsid w:val="005F16CB"/>
    <w:rsid w:val="005F1EA7"/>
    <w:rsid w:val="005F451A"/>
    <w:rsid w:val="00604A6F"/>
    <w:rsid w:val="00604DBF"/>
    <w:rsid w:val="00607669"/>
    <w:rsid w:val="00607EEE"/>
    <w:rsid w:val="00610B0D"/>
    <w:rsid w:val="00627EC8"/>
    <w:rsid w:val="0063595D"/>
    <w:rsid w:val="00640B30"/>
    <w:rsid w:val="006444F4"/>
    <w:rsid w:val="00644627"/>
    <w:rsid w:val="006503C9"/>
    <w:rsid w:val="00650903"/>
    <w:rsid w:val="006618E6"/>
    <w:rsid w:val="006719C2"/>
    <w:rsid w:val="006863A8"/>
    <w:rsid w:val="006A0443"/>
    <w:rsid w:val="006A3D8F"/>
    <w:rsid w:val="006C0D26"/>
    <w:rsid w:val="006C4613"/>
    <w:rsid w:val="006D48D9"/>
    <w:rsid w:val="006E57FB"/>
    <w:rsid w:val="006F1BBB"/>
    <w:rsid w:val="0070148A"/>
    <w:rsid w:val="0070396F"/>
    <w:rsid w:val="00711D52"/>
    <w:rsid w:val="007139F8"/>
    <w:rsid w:val="00715046"/>
    <w:rsid w:val="00721E34"/>
    <w:rsid w:val="00740D95"/>
    <w:rsid w:val="00742BCE"/>
    <w:rsid w:val="00743DA0"/>
    <w:rsid w:val="007468B6"/>
    <w:rsid w:val="007548CB"/>
    <w:rsid w:val="00755C15"/>
    <w:rsid w:val="00757A63"/>
    <w:rsid w:val="00773C01"/>
    <w:rsid w:val="00777951"/>
    <w:rsid w:val="00782B39"/>
    <w:rsid w:val="0078466C"/>
    <w:rsid w:val="0079001A"/>
    <w:rsid w:val="007970F9"/>
    <w:rsid w:val="007A307D"/>
    <w:rsid w:val="007C720B"/>
    <w:rsid w:val="007C7991"/>
    <w:rsid w:val="007D31C2"/>
    <w:rsid w:val="007D7CD1"/>
    <w:rsid w:val="007E0B2B"/>
    <w:rsid w:val="007E1C04"/>
    <w:rsid w:val="007E2925"/>
    <w:rsid w:val="007E2F94"/>
    <w:rsid w:val="00800F73"/>
    <w:rsid w:val="008033A8"/>
    <w:rsid w:val="00810AD9"/>
    <w:rsid w:val="00815603"/>
    <w:rsid w:val="008209BB"/>
    <w:rsid w:val="00824DED"/>
    <w:rsid w:val="00831284"/>
    <w:rsid w:val="00833BCA"/>
    <w:rsid w:val="00852A68"/>
    <w:rsid w:val="00854722"/>
    <w:rsid w:val="0086338E"/>
    <w:rsid w:val="00864CF1"/>
    <w:rsid w:val="0087165A"/>
    <w:rsid w:val="008C5D66"/>
    <w:rsid w:val="008C6AD9"/>
    <w:rsid w:val="008D376A"/>
    <w:rsid w:val="008D798C"/>
    <w:rsid w:val="008E5BFF"/>
    <w:rsid w:val="008F1834"/>
    <w:rsid w:val="008F6D42"/>
    <w:rsid w:val="00901AFD"/>
    <w:rsid w:val="009147A6"/>
    <w:rsid w:val="00917490"/>
    <w:rsid w:val="00920A18"/>
    <w:rsid w:val="00925401"/>
    <w:rsid w:val="00931992"/>
    <w:rsid w:val="0094574F"/>
    <w:rsid w:val="00946A2A"/>
    <w:rsid w:val="00947092"/>
    <w:rsid w:val="00956EDC"/>
    <w:rsid w:val="009659C6"/>
    <w:rsid w:val="009673EB"/>
    <w:rsid w:val="009716CF"/>
    <w:rsid w:val="00982B8D"/>
    <w:rsid w:val="009A51BA"/>
    <w:rsid w:val="009A5349"/>
    <w:rsid w:val="009B0D32"/>
    <w:rsid w:val="009B11EC"/>
    <w:rsid w:val="009B536C"/>
    <w:rsid w:val="009C355D"/>
    <w:rsid w:val="009D0F51"/>
    <w:rsid w:val="009D2A13"/>
    <w:rsid w:val="009D3BBC"/>
    <w:rsid w:val="009E0521"/>
    <w:rsid w:val="009E3BE8"/>
    <w:rsid w:val="009F113F"/>
    <w:rsid w:val="009F3B78"/>
    <w:rsid w:val="009F6DDF"/>
    <w:rsid w:val="00A0008B"/>
    <w:rsid w:val="00A00652"/>
    <w:rsid w:val="00A20FC7"/>
    <w:rsid w:val="00A21856"/>
    <w:rsid w:val="00A24127"/>
    <w:rsid w:val="00A246A2"/>
    <w:rsid w:val="00A40A4F"/>
    <w:rsid w:val="00A53A34"/>
    <w:rsid w:val="00A71A67"/>
    <w:rsid w:val="00A71C26"/>
    <w:rsid w:val="00A84EE6"/>
    <w:rsid w:val="00A877AF"/>
    <w:rsid w:val="00AB12CF"/>
    <w:rsid w:val="00AB166D"/>
    <w:rsid w:val="00AB3811"/>
    <w:rsid w:val="00AC598C"/>
    <w:rsid w:val="00AD1465"/>
    <w:rsid w:val="00AD1DE1"/>
    <w:rsid w:val="00AD4178"/>
    <w:rsid w:val="00AD60EF"/>
    <w:rsid w:val="00AD7BD3"/>
    <w:rsid w:val="00AE3112"/>
    <w:rsid w:val="00AE3DE2"/>
    <w:rsid w:val="00AE4485"/>
    <w:rsid w:val="00AE64F2"/>
    <w:rsid w:val="00B02379"/>
    <w:rsid w:val="00B07D3C"/>
    <w:rsid w:val="00B13C7C"/>
    <w:rsid w:val="00B147E1"/>
    <w:rsid w:val="00B24B76"/>
    <w:rsid w:val="00B255C0"/>
    <w:rsid w:val="00B36B74"/>
    <w:rsid w:val="00B44EBF"/>
    <w:rsid w:val="00B5361B"/>
    <w:rsid w:val="00B564B4"/>
    <w:rsid w:val="00B57A25"/>
    <w:rsid w:val="00B62559"/>
    <w:rsid w:val="00B631F2"/>
    <w:rsid w:val="00B715D4"/>
    <w:rsid w:val="00B73B8F"/>
    <w:rsid w:val="00B84B33"/>
    <w:rsid w:val="00BA5E89"/>
    <w:rsid w:val="00BA7227"/>
    <w:rsid w:val="00BB0C2E"/>
    <w:rsid w:val="00BB352F"/>
    <w:rsid w:val="00BB7662"/>
    <w:rsid w:val="00BD1F6A"/>
    <w:rsid w:val="00BD3055"/>
    <w:rsid w:val="00BE240E"/>
    <w:rsid w:val="00BE4EDF"/>
    <w:rsid w:val="00BE61F7"/>
    <w:rsid w:val="00BE76E7"/>
    <w:rsid w:val="00BF437D"/>
    <w:rsid w:val="00C02258"/>
    <w:rsid w:val="00C154A1"/>
    <w:rsid w:val="00C170C4"/>
    <w:rsid w:val="00C24BEB"/>
    <w:rsid w:val="00C26403"/>
    <w:rsid w:val="00C26435"/>
    <w:rsid w:val="00C3778E"/>
    <w:rsid w:val="00C42B43"/>
    <w:rsid w:val="00C455A0"/>
    <w:rsid w:val="00C64686"/>
    <w:rsid w:val="00C660D0"/>
    <w:rsid w:val="00C707A9"/>
    <w:rsid w:val="00C95BD7"/>
    <w:rsid w:val="00CA080C"/>
    <w:rsid w:val="00CB3573"/>
    <w:rsid w:val="00CB6B71"/>
    <w:rsid w:val="00CC308B"/>
    <w:rsid w:val="00CC5810"/>
    <w:rsid w:val="00CE1E9E"/>
    <w:rsid w:val="00CE637A"/>
    <w:rsid w:val="00CE71B7"/>
    <w:rsid w:val="00CF5DC3"/>
    <w:rsid w:val="00CF7548"/>
    <w:rsid w:val="00D1086B"/>
    <w:rsid w:val="00D25627"/>
    <w:rsid w:val="00D26767"/>
    <w:rsid w:val="00D3029A"/>
    <w:rsid w:val="00D31CE3"/>
    <w:rsid w:val="00D32C9F"/>
    <w:rsid w:val="00D403E9"/>
    <w:rsid w:val="00D44D3A"/>
    <w:rsid w:val="00D4718A"/>
    <w:rsid w:val="00D62537"/>
    <w:rsid w:val="00D66618"/>
    <w:rsid w:val="00D672A6"/>
    <w:rsid w:val="00D760C4"/>
    <w:rsid w:val="00D96244"/>
    <w:rsid w:val="00DA086F"/>
    <w:rsid w:val="00DA0D8A"/>
    <w:rsid w:val="00DA5015"/>
    <w:rsid w:val="00DA7E5F"/>
    <w:rsid w:val="00DC6115"/>
    <w:rsid w:val="00DD28D0"/>
    <w:rsid w:val="00DD57A9"/>
    <w:rsid w:val="00DD7302"/>
    <w:rsid w:val="00DE0AD6"/>
    <w:rsid w:val="00DE2061"/>
    <w:rsid w:val="00DE5011"/>
    <w:rsid w:val="00E018B5"/>
    <w:rsid w:val="00E046BE"/>
    <w:rsid w:val="00E077D4"/>
    <w:rsid w:val="00E128C1"/>
    <w:rsid w:val="00E15575"/>
    <w:rsid w:val="00E25A26"/>
    <w:rsid w:val="00E3099C"/>
    <w:rsid w:val="00E331D9"/>
    <w:rsid w:val="00E33B45"/>
    <w:rsid w:val="00E544AC"/>
    <w:rsid w:val="00E54E12"/>
    <w:rsid w:val="00E61EF3"/>
    <w:rsid w:val="00E62508"/>
    <w:rsid w:val="00E6430C"/>
    <w:rsid w:val="00E67583"/>
    <w:rsid w:val="00E7082A"/>
    <w:rsid w:val="00E729EF"/>
    <w:rsid w:val="00E74337"/>
    <w:rsid w:val="00E770B3"/>
    <w:rsid w:val="00E83213"/>
    <w:rsid w:val="00E84E05"/>
    <w:rsid w:val="00E85333"/>
    <w:rsid w:val="00E85849"/>
    <w:rsid w:val="00E9282A"/>
    <w:rsid w:val="00E93E4A"/>
    <w:rsid w:val="00E94068"/>
    <w:rsid w:val="00EA2AD5"/>
    <w:rsid w:val="00EA56F1"/>
    <w:rsid w:val="00EB59AE"/>
    <w:rsid w:val="00EF5286"/>
    <w:rsid w:val="00EF6456"/>
    <w:rsid w:val="00F04BF8"/>
    <w:rsid w:val="00F06D17"/>
    <w:rsid w:val="00F114DC"/>
    <w:rsid w:val="00F15CBC"/>
    <w:rsid w:val="00F17A99"/>
    <w:rsid w:val="00F2636E"/>
    <w:rsid w:val="00F30DE2"/>
    <w:rsid w:val="00F311D7"/>
    <w:rsid w:val="00F356A6"/>
    <w:rsid w:val="00F43214"/>
    <w:rsid w:val="00F44AFD"/>
    <w:rsid w:val="00F57FDD"/>
    <w:rsid w:val="00F63A28"/>
    <w:rsid w:val="00F64313"/>
    <w:rsid w:val="00F71B2B"/>
    <w:rsid w:val="00F9340F"/>
    <w:rsid w:val="00F93EA0"/>
    <w:rsid w:val="00F9597C"/>
    <w:rsid w:val="00FA3CED"/>
    <w:rsid w:val="00FB2F36"/>
    <w:rsid w:val="00FB35DA"/>
    <w:rsid w:val="00FB3D12"/>
    <w:rsid w:val="00FB48B1"/>
    <w:rsid w:val="00FB71A2"/>
    <w:rsid w:val="00FC46F8"/>
    <w:rsid w:val="00FC681D"/>
    <w:rsid w:val="00FC6B73"/>
    <w:rsid w:val="00FD240B"/>
    <w:rsid w:val="00FD402D"/>
    <w:rsid w:val="00FD66C2"/>
    <w:rsid w:val="00FE10CA"/>
    <w:rsid w:val="00FE164D"/>
    <w:rsid w:val="00FE3A33"/>
    <w:rsid w:val="00FF11D0"/>
    <w:rsid w:val="00FF58D1"/>
    <w:rsid w:val="00FF765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6A2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6A2"/>
    <w:pPr>
      <w:keepNext/>
      <w:keepLines/>
      <w:spacing w:after="0"/>
      <w:outlineLvl w:val="0"/>
    </w:pPr>
    <w:rPr>
      <w:rFonts w:eastAsiaTheme="majorEastAsia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6A2"/>
    <w:pPr>
      <w:keepNext/>
      <w:keepLines/>
      <w:spacing w:before="40" w:after="240"/>
      <w:outlineLvl w:val="1"/>
    </w:pPr>
    <w:rPr>
      <w:rFonts w:cstheme="majorBidi"/>
      <w:b/>
      <w:sz w:val="32"/>
      <w:szCs w:val="32"/>
    </w:rPr>
  </w:style>
  <w:style w:type="paragraph" w:styleId="Heading3">
    <w:name w:val="heading 3"/>
    <w:aliases w:val="Heading 3 section header 3"/>
    <w:basedOn w:val="Normal"/>
    <w:next w:val="Normal"/>
    <w:link w:val="Heading3Char"/>
    <w:uiPriority w:val="9"/>
    <w:unhideWhenUsed/>
    <w:qFormat/>
    <w:rsid w:val="007468B6"/>
    <w:pPr>
      <w:keepNext/>
      <w:keepLines/>
      <w:spacing w:before="40" w:after="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A2A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of chapter"/>
    <w:basedOn w:val="Normal"/>
    <w:next w:val="Normal"/>
    <w:link w:val="TitleChar"/>
    <w:autoRedefine/>
    <w:uiPriority w:val="10"/>
    <w:qFormat/>
    <w:rsid w:val="007468B6"/>
    <w:pPr>
      <w:spacing w:after="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Title of chapter Char"/>
    <w:basedOn w:val="DefaultParagraphFont"/>
    <w:link w:val="Title"/>
    <w:uiPriority w:val="10"/>
    <w:rsid w:val="007468B6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46A2"/>
    <w:rPr>
      <w:rFonts w:ascii="Arial" w:eastAsiaTheme="majorEastAsia" w:hAnsi="Arial" w:cstheme="majorBidi"/>
      <w:b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A246A2"/>
    <w:rPr>
      <w:rFonts w:ascii="Arial" w:eastAsia="Times New Roman" w:hAnsi="Arial" w:cstheme="majorBidi"/>
      <w:b/>
      <w:sz w:val="32"/>
      <w:szCs w:val="32"/>
      <w:lang w:val="en"/>
    </w:rPr>
  </w:style>
  <w:style w:type="character" w:customStyle="1" w:styleId="Heading3Char">
    <w:name w:val="Heading 3 Char"/>
    <w:aliases w:val="Heading 3 section header 3 Char"/>
    <w:basedOn w:val="DefaultParagraphFont"/>
    <w:link w:val="Heading3"/>
    <w:uiPriority w:val="9"/>
    <w:rsid w:val="007468B6"/>
    <w:rPr>
      <w:rFonts w:ascii="Arial" w:eastAsiaTheme="majorEastAsia" w:hAnsi="Arial" w:cstheme="majorBidi"/>
      <w:b/>
      <w:sz w:val="28"/>
      <w:szCs w:val="24"/>
    </w:rPr>
  </w:style>
  <w:style w:type="paragraph" w:styleId="NoSpacing">
    <w:name w:val="No Spacing"/>
    <w:aliases w:val="bullet list"/>
    <w:basedOn w:val="Normal"/>
    <w:next w:val="Normal"/>
    <w:uiPriority w:val="1"/>
    <w:qFormat/>
    <w:rsid w:val="002A4C96"/>
    <w:pPr>
      <w:numPr>
        <w:numId w:val="1"/>
      </w:num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46A2A"/>
    <w:rPr>
      <w:rFonts w:ascii="Arial" w:eastAsia="Times New Roman" w:hAnsi="Arial" w:cs="Arial"/>
      <w:b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A7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4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7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71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3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EA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F7651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64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9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9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79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99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9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94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06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laco8381/AppData/Local/Microsoft/Windows/INetCache/Content.Outlook/6POR28GW/www.biaus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AF182336314CACCE8CFF4541E72F" ma:contentTypeVersion="38" ma:contentTypeDescription="Create a new document." ma:contentTypeScope="" ma:versionID="456e81a9816f23eb8745c9c5f6ab516d">
  <xsd:schema xmlns:xsd="http://www.w3.org/2001/XMLSchema" xmlns:xs="http://www.w3.org/2001/XMLSchema" xmlns:p="http://schemas.microsoft.com/office/2006/metadata/properties" xmlns:ns2="e4fa12de-377a-476b-baa0-81d351fdd0bc" xmlns:ns3="58825e9e-cc90-40c0-979d-f08666619410" xmlns:ns4="041c5daf-9d3a-4e9a-b660-f4ef0b4e5805" targetNamespace="http://schemas.microsoft.com/office/2006/metadata/properties" ma:root="true" ma:fieldsID="542f11d2edeed82fc10893585333b564" ns2:_="" ns3:_="" ns4:_="">
    <xsd:import namespace="e4fa12de-377a-476b-baa0-81d351fdd0bc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Policy_x0020_Identifier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12de-377a-476b-baa0-81d351fdd0bc" elementFormDefault="qualified">
    <xsd:import namespace="http://schemas.microsoft.com/office/2006/documentManagement/types"/>
    <xsd:import namespace="http://schemas.microsoft.com/office/infopath/2007/PartnerControls"/>
    <xsd:element name="Policy_x0020_Identifier" ma:index="8" nillable="true" ma:displayName="Policy Identifier" ma:internalName="Policy_x0020_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Identifier xmlns="e4fa12de-377a-476b-baa0-81d351fdd0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ADD7-1DB9-4430-AE75-C045D935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12de-377a-476b-baa0-81d351fdd0bc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10096-DC69-4182-8C02-DDFBDC854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4978D-3045-440D-8A37-8DADB0AC3912}">
  <ds:schemaRefs>
    <ds:schemaRef ds:uri="http://purl.org/dc/elements/1.1/"/>
    <ds:schemaRef ds:uri="041c5daf-9d3a-4e9a-b660-f4ef0b4e580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8825e9e-cc90-40c0-979d-f08666619410"/>
    <ds:schemaRef ds:uri="e4fa12de-377a-476b-baa0-81d351fdd0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285856-0EE3-4506-AFCB-721681DF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VR-SFP Chapter 20.11: Brain Injury Premium, new section effective November 1, 2019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20.11: Brain Injury Premium, new section effective November 1, 2019</dc:title>
  <dc:subject/>
  <dc:creator/>
  <cp:keywords/>
  <dc:description/>
  <cp:lastModifiedBy/>
  <cp:revision>1</cp:revision>
  <dcterms:created xsi:type="dcterms:W3CDTF">2019-10-30T14:29:00Z</dcterms:created>
  <dcterms:modified xsi:type="dcterms:W3CDTF">2019-10-30T14:29:00Z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0x01010081C5AF182336314CACCE8CFF4541E72F</vt:lpwstr>
  </property>
</Properties>
</file>