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97A3" w14:textId="6C589AE8" w:rsidR="002A345C" w:rsidRDefault="00EE61C8" w:rsidP="00FF0075">
      <w:pPr>
        <w:pStyle w:val="Heading1"/>
      </w:pPr>
      <w:r w:rsidRPr="00FF0075">
        <w:t>PART D, CHAPTER 3:</w:t>
      </w:r>
      <w:r w:rsidR="00FF0075">
        <w:br/>
      </w:r>
      <w:r>
        <w:t>PURCHASING GOODS AND SERVICES</w:t>
      </w:r>
    </w:p>
    <w:tbl>
      <w:tblPr>
        <w:tblW w:w="10525" w:type="dxa"/>
        <w:tblLook w:val="04A0" w:firstRow="1" w:lastRow="0" w:firstColumn="1" w:lastColumn="0" w:noHBand="0" w:noVBand="1"/>
      </w:tblPr>
      <w:tblGrid>
        <w:gridCol w:w="1318"/>
        <w:gridCol w:w="6297"/>
        <w:gridCol w:w="1183"/>
        <w:gridCol w:w="1727"/>
      </w:tblGrid>
      <w:tr w:rsidR="004054D5" w:rsidRPr="004054D5" w14:paraId="3DF84FF1" w14:textId="77777777" w:rsidTr="00580952">
        <w:trPr>
          <w:trHeight w:val="315"/>
        </w:trPr>
        <w:tc>
          <w:tcPr>
            <w:tcW w:w="1318" w:type="dxa"/>
            <w:tcBorders>
              <w:top w:val="single" w:sz="4" w:space="0" w:color="auto"/>
              <w:left w:val="single" w:sz="4" w:space="0" w:color="auto"/>
              <w:bottom w:val="single" w:sz="4" w:space="0" w:color="auto"/>
              <w:right w:val="single" w:sz="4" w:space="0" w:color="auto"/>
            </w:tcBorders>
            <w:shd w:val="clear" w:color="000000" w:fill="F0F4FA"/>
            <w:noWrap/>
            <w:vAlign w:val="bottom"/>
            <w:hideMark/>
          </w:tcPr>
          <w:p w14:paraId="294AB27A"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Policy Number</w:t>
            </w:r>
          </w:p>
        </w:tc>
        <w:tc>
          <w:tcPr>
            <w:tcW w:w="6297" w:type="dxa"/>
            <w:tcBorders>
              <w:top w:val="single" w:sz="4" w:space="0" w:color="auto"/>
              <w:left w:val="nil"/>
              <w:bottom w:val="single" w:sz="4" w:space="0" w:color="auto"/>
              <w:right w:val="single" w:sz="4" w:space="0" w:color="auto"/>
            </w:tcBorders>
            <w:shd w:val="clear" w:color="000000" w:fill="F0F4FA"/>
            <w:noWrap/>
            <w:vAlign w:val="bottom"/>
            <w:hideMark/>
          </w:tcPr>
          <w:p w14:paraId="31ADCBF0"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Authority</w:t>
            </w:r>
          </w:p>
        </w:tc>
        <w:tc>
          <w:tcPr>
            <w:tcW w:w="1183" w:type="dxa"/>
            <w:tcBorders>
              <w:top w:val="single" w:sz="4" w:space="0" w:color="auto"/>
              <w:left w:val="nil"/>
              <w:bottom w:val="single" w:sz="4" w:space="0" w:color="auto"/>
              <w:right w:val="single" w:sz="4" w:space="0" w:color="auto"/>
            </w:tcBorders>
            <w:shd w:val="clear" w:color="000000" w:fill="F0F4FA"/>
            <w:noWrap/>
            <w:vAlign w:val="bottom"/>
            <w:hideMark/>
          </w:tcPr>
          <w:p w14:paraId="737572F4"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 xml:space="preserve">Scope </w:t>
            </w:r>
          </w:p>
        </w:tc>
        <w:tc>
          <w:tcPr>
            <w:tcW w:w="1727" w:type="dxa"/>
            <w:tcBorders>
              <w:top w:val="single" w:sz="4" w:space="0" w:color="auto"/>
              <w:left w:val="nil"/>
              <w:bottom w:val="single" w:sz="4" w:space="0" w:color="auto"/>
              <w:right w:val="single" w:sz="4" w:space="0" w:color="auto"/>
            </w:tcBorders>
            <w:shd w:val="clear" w:color="000000" w:fill="F0F4FA"/>
            <w:noWrap/>
            <w:vAlign w:val="bottom"/>
            <w:hideMark/>
          </w:tcPr>
          <w:p w14:paraId="7BC7E064" w14:textId="77777777" w:rsidR="004054D5" w:rsidRPr="004054D5" w:rsidRDefault="004054D5" w:rsidP="004054D5">
            <w:pPr>
              <w:spacing w:before="0" w:after="0" w:line="240" w:lineRule="auto"/>
              <w:rPr>
                <w:rFonts w:eastAsia="Times New Roman"/>
                <w:b/>
                <w:bCs/>
                <w:color w:val="000000"/>
                <w:kern w:val="0"/>
                <w14:ligatures w14:val="none"/>
              </w:rPr>
            </w:pPr>
            <w:r w:rsidRPr="004054D5">
              <w:rPr>
                <w:rFonts w:eastAsia="Times New Roman"/>
                <w:b/>
                <w:bCs/>
                <w:color w:val="000000"/>
                <w:kern w:val="0"/>
                <w:lang w:val="en" w:eastAsia="ja-JP"/>
                <w14:ligatures w14:val="none"/>
              </w:rPr>
              <w:t>Effective Date</w:t>
            </w:r>
          </w:p>
        </w:tc>
      </w:tr>
      <w:tr w:rsidR="00C21BB2" w:rsidRPr="004054D5" w14:paraId="6CBF41ED" w14:textId="77777777" w:rsidTr="00580952">
        <w:trPr>
          <w:trHeight w:val="300"/>
        </w:trPr>
        <w:tc>
          <w:tcPr>
            <w:tcW w:w="1318" w:type="dxa"/>
            <w:tcBorders>
              <w:top w:val="nil"/>
              <w:left w:val="single" w:sz="4" w:space="0" w:color="auto"/>
              <w:bottom w:val="single" w:sz="4" w:space="0" w:color="auto"/>
              <w:right w:val="single" w:sz="4" w:space="0" w:color="auto"/>
            </w:tcBorders>
            <w:shd w:val="clear" w:color="auto" w:fill="auto"/>
            <w:noWrap/>
            <w:vAlign w:val="bottom"/>
            <w:hideMark/>
          </w:tcPr>
          <w:p w14:paraId="7A1FB4E0" w14:textId="77777777" w:rsidR="00C21BB2" w:rsidRPr="004054D5" w:rsidRDefault="00C21BB2" w:rsidP="00C21BB2">
            <w:pPr>
              <w:spacing w:before="0" w:after="0" w:line="240" w:lineRule="auto"/>
              <w:rPr>
                <w:rFonts w:eastAsia="Times New Roman"/>
                <w:color w:val="000000"/>
                <w:kern w:val="0"/>
                <w14:ligatures w14:val="none"/>
              </w:rPr>
            </w:pPr>
            <w:r w:rsidRPr="004054D5">
              <w:rPr>
                <w:rFonts w:eastAsia="Times New Roman"/>
                <w:color w:val="000000"/>
                <w:kern w:val="0"/>
                <w:lang w:val="en" w:eastAsia="ja-JP"/>
                <w14:ligatures w14:val="none"/>
              </w:rPr>
              <w:t>Part D, Chapter 3</w:t>
            </w:r>
          </w:p>
        </w:tc>
        <w:tc>
          <w:tcPr>
            <w:tcW w:w="6297" w:type="dxa"/>
            <w:tcBorders>
              <w:top w:val="nil"/>
              <w:left w:val="nil"/>
              <w:bottom w:val="single" w:sz="4" w:space="0" w:color="auto"/>
              <w:right w:val="single" w:sz="4" w:space="0" w:color="auto"/>
            </w:tcBorders>
            <w:shd w:val="clear" w:color="auto" w:fill="auto"/>
            <w:noWrap/>
            <w:vAlign w:val="center"/>
          </w:tcPr>
          <w:p w14:paraId="2D6AFDE5" w14:textId="60A5A421" w:rsidR="00C21BB2" w:rsidRPr="004054D5" w:rsidRDefault="00C21BB2" w:rsidP="00C21BB2">
            <w:pPr>
              <w:spacing w:before="0" w:after="0" w:line="240" w:lineRule="auto"/>
              <w:rPr>
                <w:rFonts w:eastAsia="Times New Roman"/>
                <w:color w:val="000000"/>
                <w:kern w:val="0"/>
                <w14:ligatures w14:val="none"/>
              </w:rPr>
            </w:pPr>
            <w:hyperlink r:id="rId10">
              <w:r w:rsidRPr="00EE61C8">
                <w:rPr>
                  <w:rStyle w:val="Hyperlink"/>
                  <w:lang w:val="en"/>
                </w:rPr>
                <w:t>34 CFR §361.60-65</w:t>
              </w:r>
            </w:hyperlink>
            <w:r w:rsidRPr="00EE61C8">
              <w:rPr>
                <w:lang w:val="en"/>
              </w:rPr>
              <w:t xml:space="preserve">, </w:t>
            </w:r>
            <w:hyperlink r:id="rId11">
              <w:r w:rsidRPr="00EE61C8">
                <w:rPr>
                  <w:rStyle w:val="Hyperlink"/>
                  <w:lang w:val="en"/>
                </w:rPr>
                <w:t>2 CFR §200.317</w:t>
              </w:r>
            </w:hyperlink>
            <w:r w:rsidRPr="00EE61C8">
              <w:rPr>
                <w:lang w:val="en"/>
              </w:rPr>
              <w:t xml:space="preserve">, Article VII of the GAA, GAA Article IX, General Provisions, </w:t>
            </w:r>
            <w:hyperlink r:id="rId12">
              <w:r w:rsidRPr="00EE61C8">
                <w:rPr>
                  <w:rStyle w:val="Hyperlink"/>
                  <w:lang w:val="en"/>
                </w:rPr>
                <w:t>2 CFR §200.302</w:t>
              </w:r>
            </w:hyperlink>
            <w:r w:rsidRPr="00EE61C8">
              <w:rPr>
                <w:lang w:val="en"/>
              </w:rPr>
              <w:t xml:space="preserve">, </w:t>
            </w:r>
            <w:hyperlink r:id="rId13">
              <w:r w:rsidRPr="00EE61C8">
                <w:rPr>
                  <w:rStyle w:val="Hyperlink"/>
                  <w:lang w:val="en"/>
                </w:rPr>
                <w:t>2 CFR §200.400</w:t>
              </w:r>
            </w:hyperlink>
            <w:r w:rsidRPr="00EE61C8">
              <w:rPr>
                <w:lang w:val="en"/>
              </w:rPr>
              <w:t xml:space="preserve">, </w:t>
            </w:r>
            <w:hyperlink r:id="rId14">
              <w:r w:rsidRPr="00EE61C8">
                <w:rPr>
                  <w:rStyle w:val="Hyperlink"/>
                  <w:lang w:val="en"/>
                </w:rPr>
                <w:t>EDGAR 34 CFR §76, §77, §79, §81, and §82</w:t>
              </w:r>
            </w:hyperlink>
            <w:r w:rsidRPr="00EE61C8">
              <w:rPr>
                <w:lang w:val="en"/>
              </w:rPr>
              <w:t xml:space="preserve">, </w:t>
            </w:r>
            <w:hyperlink r:id="rId15">
              <w:r w:rsidRPr="00EE61C8">
                <w:rPr>
                  <w:rStyle w:val="Hyperlink"/>
                  <w:lang w:val="en"/>
                </w:rPr>
                <w:t>2 CFR Part 3485</w:t>
              </w:r>
            </w:hyperlink>
            <w:r w:rsidRPr="00EE61C8">
              <w:rPr>
                <w:lang w:val="en"/>
              </w:rPr>
              <w:t xml:space="preserve">, </w:t>
            </w:r>
            <w:hyperlink r:id="rId16">
              <w:r w:rsidRPr="00EE61C8">
                <w:rPr>
                  <w:rStyle w:val="Hyperlink"/>
                  <w:lang w:val="en"/>
                </w:rPr>
                <w:t>2 CFR Part 3474</w:t>
              </w:r>
            </w:hyperlink>
            <w:r w:rsidRPr="00EE61C8">
              <w:rPr>
                <w:lang w:val="en"/>
              </w:rPr>
              <w:t xml:space="preserve">, </w:t>
            </w:r>
            <w:hyperlink r:id="rId17">
              <w:r w:rsidRPr="00EE61C8">
                <w:rPr>
                  <w:rStyle w:val="Hyperlink"/>
                  <w:lang w:val="en"/>
                </w:rPr>
                <w:t>34 Texas Administrative Code, Part I, Chapter 20, Statewide Procurement and Support Services</w:t>
              </w:r>
            </w:hyperlink>
            <w:r w:rsidRPr="00EE61C8">
              <w:rPr>
                <w:lang w:val="en"/>
              </w:rPr>
              <w:t xml:space="preserve">, </w:t>
            </w:r>
            <w:hyperlink r:id="rId18">
              <w:r w:rsidRPr="00EE61C8">
                <w:rPr>
                  <w:rStyle w:val="Hyperlink"/>
                  <w:lang w:val="en"/>
                </w:rPr>
                <w:t>Texas Government Code, Chapter 2155</w:t>
              </w:r>
            </w:hyperlink>
            <w:r w:rsidRPr="00006DC6">
              <w:rPr>
                <w:lang w:val="en"/>
              </w:rPr>
              <w:t>, Texas Administrative Code Title 34, Part 1, Chapter 3, Rule §3.322,</w:t>
            </w:r>
            <w:r>
              <w:rPr>
                <w:lang w:val="en"/>
              </w:rPr>
              <w:t xml:space="preserve"> </w:t>
            </w:r>
            <w:r w:rsidRPr="00EE61C8">
              <w:rPr>
                <w:lang w:val="en"/>
              </w:rPr>
              <w:t xml:space="preserve">Texas Government Code §2155.382(d), </w:t>
            </w:r>
            <w:hyperlink r:id="rId19" w:tgtFrame="_blank" w:tooltip="https://texreg.sos.state.tx.us/public/readtac$ext.tacpage?sl=r&amp;app=9&amp;p_dir=&amp;p_rloc=&amp;p_tloc=&amp;p_ploc=&amp;pg=1&amp;p_tac=&amp;ti=34&amp;pt=1&amp;ch=20&amp;rl=487" w:history="1">
              <w:r w:rsidR="00411E39" w:rsidRPr="00411E39">
                <w:rPr>
                  <w:rStyle w:val="Hyperlink"/>
                </w:rPr>
                <w:t>34 Texas Administrative Code § 20.487</w:t>
              </w:r>
            </w:hyperlink>
            <w:r w:rsidRPr="00EE61C8">
              <w:rPr>
                <w:lang w:val="en"/>
              </w:rPr>
              <w:t xml:space="preserve">and Texas Government Code </w:t>
            </w:r>
            <w:hyperlink r:id="rId20" w:history="1">
              <w:r w:rsidRPr="00EE61C8">
                <w:rPr>
                  <w:rStyle w:val="Hyperlink"/>
                  <w:lang w:val="en"/>
                </w:rPr>
                <w:t>Chapter 2252</w:t>
              </w:r>
            </w:hyperlink>
          </w:p>
        </w:tc>
        <w:tc>
          <w:tcPr>
            <w:tcW w:w="1183" w:type="dxa"/>
            <w:tcBorders>
              <w:top w:val="nil"/>
              <w:left w:val="nil"/>
              <w:bottom w:val="single" w:sz="4" w:space="0" w:color="auto"/>
              <w:right w:val="single" w:sz="4" w:space="0" w:color="auto"/>
            </w:tcBorders>
            <w:shd w:val="clear" w:color="auto" w:fill="auto"/>
            <w:noWrap/>
            <w:vAlign w:val="bottom"/>
            <w:hideMark/>
          </w:tcPr>
          <w:p w14:paraId="7C9B123B" w14:textId="77777777" w:rsidR="00C21BB2" w:rsidRPr="004054D5" w:rsidRDefault="00C21BB2" w:rsidP="00C21BB2">
            <w:pPr>
              <w:spacing w:before="0" w:after="0" w:line="240" w:lineRule="auto"/>
              <w:rPr>
                <w:rFonts w:eastAsia="Times New Roman"/>
                <w:color w:val="000000"/>
                <w:kern w:val="0"/>
                <w14:ligatures w14:val="none"/>
              </w:rPr>
            </w:pPr>
            <w:r w:rsidRPr="004054D5">
              <w:rPr>
                <w:rFonts w:eastAsia="Times New Roman"/>
                <w:color w:val="000000"/>
                <w:kern w:val="0"/>
                <w14:ligatures w14:val="none"/>
              </w:rPr>
              <w:t>All TWC-VR staff</w:t>
            </w:r>
          </w:p>
        </w:tc>
        <w:tc>
          <w:tcPr>
            <w:tcW w:w="1727" w:type="dxa"/>
            <w:tcBorders>
              <w:top w:val="nil"/>
              <w:left w:val="nil"/>
              <w:bottom w:val="single" w:sz="4" w:space="0" w:color="auto"/>
              <w:right w:val="single" w:sz="4" w:space="0" w:color="auto"/>
            </w:tcBorders>
            <w:shd w:val="clear" w:color="auto" w:fill="auto"/>
            <w:noWrap/>
            <w:vAlign w:val="bottom"/>
            <w:hideMark/>
          </w:tcPr>
          <w:p w14:paraId="52297263" w14:textId="0D4612CB" w:rsidR="00C21BB2" w:rsidRDefault="00C21BB2" w:rsidP="00C21BB2">
            <w:pPr>
              <w:spacing w:before="0" w:after="0" w:line="240" w:lineRule="auto"/>
              <w:jc w:val="right"/>
              <w:rPr>
                <w:rFonts w:eastAsia="Times New Roman"/>
                <w:color w:val="000000"/>
                <w:kern w:val="0"/>
                <w:lang w:val="en" w:eastAsia="ja-JP"/>
                <w14:ligatures w14:val="none"/>
              </w:rPr>
            </w:pPr>
          </w:p>
          <w:p w14:paraId="03273B77" w14:textId="77777777" w:rsidR="004B4268" w:rsidRDefault="002B2376" w:rsidP="00580952">
            <w:pPr>
              <w:spacing w:before="0" w:after="0" w:line="240" w:lineRule="auto"/>
              <w:jc w:val="center"/>
              <w:rPr>
                <w:ins w:id="0" w:author="Scott,Lavonia" w:date="2026-01-15T16:27:00Z" w16du:dateUtc="2026-01-15T22:27:00Z"/>
                <w:rFonts w:eastAsia="Times New Roman"/>
                <w:color w:val="000000"/>
                <w:kern w:val="0"/>
                <w:lang w:val="en" w:eastAsia="ja-JP"/>
                <w14:ligatures w14:val="none"/>
              </w:rPr>
            </w:pPr>
            <w:del w:id="1" w:author="Scott,Lavonia" w:date="2026-01-15T14:11:00Z" w16du:dateUtc="2026-01-15T20:11:00Z">
              <w:r w:rsidDel="00DC0853">
                <w:rPr>
                  <w:rFonts w:eastAsia="Times New Roman"/>
                  <w:color w:val="000000"/>
                  <w:kern w:val="0"/>
                  <w:lang w:val="en" w:eastAsia="ja-JP"/>
                  <w14:ligatures w14:val="none"/>
                </w:rPr>
                <w:delText>12/05/2025</w:delText>
              </w:r>
            </w:del>
          </w:p>
          <w:p w14:paraId="64174BAE" w14:textId="61B8A1E2" w:rsidR="00580952" w:rsidRPr="004054D5" w:rsidRDefault="00DC0853" w:rsidP="00580952">
            <w:pPr>
              <w:spacing w:before="0" w:after="0" w:line="240" w:lineRule="auto"/>
              <w:jc w:val="center"/>
              <w:rPr>
                <w:rFonts w:eastAsia="Times New Roman"/>
                <w:color w:val="000000"/>
                <w:kern w:val="0"/>
                <w14:ligatures w14:val="none"/>
              </w:rPr>
            </w:pPr>
            <w:ins w:id="2" w:author="Scott,Lavonia" w:date="2026-01-15T14:11:00Z" w16du:dateUtc="2026-01-15T20:11:00Z">
              <w:r>
                <w:rPr>
                  <w:rFonts w:eastAsia="Times New Roman"/>
                  <w:color w:val="000000"/>
                  <w:kern w:val="0"/>
                  <w:lang w:val="en" w:eastAsia="ja-JP"/>
                  <w14:ligatures w14:val="none"/>
                </w:rPr>
                <w:t>03/0</w:t>
              </w:r>
            </w:ins>
            <w:ins w:id="3" w:author="Scott,Lavonia" w:date="2026-01-15T14:12:00Z" w16du:dateUtc="2026-01-15T20:12:00Z">
              <w:r>
                <w:rPr>
                  <w:rFonts w:eastAsia="Times New Roman"/>
                  <w:color w:val="000000"/>
                  <w:kern w:val="0"/>
                  <w:lang w:val="en" w:eastAsia="ja-JP"/>
                  <w14:ligatures w14:val="none"/>
                </w:rPr>
                <w:t>2/2026</w:t>
              </w:r>
            </w:ins>
          </w:p>
        </w:tc>
      </w:tr>
    </w:tbl>
    <w:p w14:paraId="6DF7221B" w14:textId="44AF84BF" w:rsidR="00DC0853" w:rsidRDefault="00DC0853" w:rsidP="003A0643">
      <w:r>
        <w:t>…</w:t>
      </w:r>
    </w:p>
    <w:p w14:paraId="499956ED" w14:textId="77777777" w:rsidR="003A0643" w:rsidRDefault="003A0643" w:rsidP="003A0643">
      <w:pPr>
        <w:pStyle w:val="Heading2"/>
      </w:pPr>
      <w:r>
        <w:t>DEFINITIONS</w:t>
      </w:r>
    </w:p>
    <w:p w14:paraId="1AA8A23C" w14:textId="77777777" w:rsidR="003A0643" w:rsidRDefault="003A0643" w:rsidP="003A0643">
      <w:r w:rsidRPr="00763553">
        <w:rPr>
          <w:u w:val="single"/>
        </w:rPr>
        <w:t>Authorization</w:t>
      </w:r>
      <w:r w:rsidRPr="00763553">
        <w:t xml:space="preserve">: Basis by which the authority </w:t>
      </w:r>
      <w:proofErr w:type="gramStart"/>
      <w:r w:rsidRPr="00763553">
        <w:t>to complete</w:t>
      </w:r>
      <w:proofErr w:type="gramEnd"/>
      <w:r w:rsidRPr="00763553">
        <w:t xml:space="preserve"> the various stages of a transaction is delegated.</w:t>
      </w:r>
    </w:p>
    <w:p w14:paraId="52648CFF" w14:textId="77777777" w:rsidR="003A0643" w:rsidRPr="004C5A1D" w:rsidRDefault="003A0643" w:rsidP="003A0643">
      <w:r w:rsidRPr="00344193">
        <w:rPr>
          <w:u w:val="single"/>
        </w:rPr>
        <w:t>Best Value Purchasing</w:t>
      </w:r>
      <w:r>
        <w:rPr>
          <w:u w:val="single"/>
        </w:rPr>
        <w:t>:</w:t>
      </w:r>
      <w:r w:rsidRPr="004C5A1D">
        <w:t xml:space="preserve"> The </w:t>
      </w:r>
      <w:r>
        <w:t>p</w:t>
      </w:r>
      <w:r w:rsidRPr="000813A9">
        <w:t xml:space="preserve">urchasing </w:t>
      </w:r>
      <w:r>
        <w:t xml:space="preserve">of goods and services </w:t>
      </w:r>
      <w:r w:rsidRPr="000813A9">
        <w:t>that meet the customer's vocational needs</w:t>
      </w:r>
      <w:r>
        <w:t xml:space="preserve"> in the most cost-effective manner. </w:t>
      </w:r>
      <w:r w:rsidRPr="00AF05D8">
        <w:rPr>
          <w:u w:val="single"/>
        </w:rPr>
        <w:t xml:space="preserve"> </w:t>
      </w:r>
      <w:r w:rsidRPr="004C5A1D">
        <w:t>This includes consideration of purchase price, installation costs, life cycle costs, quality and reliability of the goods and services, delivery terms, indicators of probable vendor performance, cost of training associated with the purchase, and other factors relevant to determining the best value in the context of a particular purchase.</w:t>
      </w:r>
    </w:p>
    <w:p w14:paraId="7681EB20" w14:textId="77777777" w:rsidR="003A0643" w:rsidRDefault="003A0643" w:rsidP="003A0643">
      <w:r w:rsidRPr="00763553">
        <w:rPr>
          <w:u w:val="single"/>
        </w:rPr>
        <w:t>Expenditure</w:t>
      </w:r>
      <w:r w:rsidRPr="00763553">
        <w:t>: Payment made for goods or services.</w:t>
      </w:r>
    </w:p>
    <w:p w14:paraId="71261851" w14:textId="77777777" w:rsidR="003A0643" w:rsidRPr="00763553" w:rsidRDefault="003A0643" w:rsidP="003A0643">
      <w:bookmarkStart w:id="4" w:name="_Hlk165468754"/>
      <w:r w:rsidRPr="008E410C">
        <w:rPr>
          <w:u w:val="single"/>
        </w:rPr>
        <w:t>Informed Choice</w:t>
      </w:r>
      <w:r>
        <w:t xml:space="preserve">: </w:t>
      </w:r>
      <w:r w:rsidRPr="000A77D5">
        <w:t xml:space="preserve">The means by which a customer chooses their rehabilitation path, from options based on their needs and circumstances and the </w:t>
      </w:r>
      <w:r>
        <w:t>TWC-VR</w:t>
      </w:r>
      <w:r w:rsidRPr="000A77D5">
        <w:t xml:space="preserve"> rules</w:t>
      </w:r>
      <w:r>
        <w:t>,</w:t>
      </w:r>
      <w:r w:rsidRPr="000A77D5">
        <w:t xml:space="preserve"> </w:t>
      </w:r>
      <w:r>
        <w:t>as it relates to choosing their services and the providers of those services.</w:t>
      </w:r>
      <w:bookmarkEnd w:id="4"/>
    </w:p>
    <w:p w14:paraId="5D7FD8A1" w14:textId="77777777" w:rsidR="003A0643" w:rsidRPr="00763553" w:rsidRDefault="003A0643" w:rsidP="003A0643">
      <w:r w:rsidRPr="00763553">
        <w:rPr>
          <w:u w:val="single"/>
        </w:rPr>
        <w:t>Obligation/Encumbrance</w:t>
      </w:r>
      <w:r w:rsidRPr="00763553">
        <w:t>: When a</w:t>
      </w:r>
      <w:r>
        <w:t xml:space="preserve"> Service Authorization</w:t>
      </w:r>
      <w:r w:rsidRPr="00763553">
        <w:t xml:space="preserve"> </w:t>
      </w:r>
      <w:r>
        <w:t>(</w:t>
      </w:r>
      <w:r w:rsidRPr="00763553">
        <w:t>SA</w:t>
      </w:r>
      <w:r>
        <w:t>)</w:t>
      </w:r>
      <w:r w:rsidRPr="00763553">
        <w:t xml:space="preserve"> is issued in RHW, it establishes a transactional order for goods and services</w:t>
      </w:r>
      <w:r>
        <w:t>.</w:t>
      </w:r>
      <w:r w:rsidRPr="00763553">
        <w:t xml:space="preserve"> The issuance of </w:t>
      </w:r>
      <w:proofErr w:type="gramStart"/>
      <w:r w:rsidRPr="00763553">
        <w:t>the SA</w:t>
      </w:r>
      <w:proofErr w:type="gramEnd"/>
      <w:r w:rsidRPr="00763553">
        <w:t xml:space="preserve"> </w:t>
      </w:r>
      <w:r w:rsidRPr="00B15350">
        <w:t xml:space="preserve">commits the appropriate funds and creates a legally binding agreement between </w:t>
      </w:r>
      <w:r>
        <w:t xml:space="preserve">TWC-VR </w:t>
      </w:r>
      <w:r w:rsidRPr="00B15350">
        <w:t>and the service provider</w:t>
      </w:r>
      <w:r w:rsidRPr="00074335">
        <w:t xml:space="preserve"> </w:t>
      </w:r>
      <w:r>
        <w:t>to</w:t>
      </w:r>
      <w:r w:rsidRPr="00763553">
        <w:t xml:space="preserve"> which the payment will be made</w:t>
      </w:r>
      <w:r>
        <w:t xml:space="preserve">. </w:t>
      </w:r>
    </w:p>
    <w:p w14:paraId="0CA68669" w14:textId="300A1860" w:rsidR="003A0643" w:rsidRPr="00763553" w:rsidRDefault="003A0643" w:rsidP="003A0643">
      <w:r w:rsidRPr="00763553">
        <w:rPr>
          <w:u w:val="single"/>
        </w:rPr>
        <w:t>Out</w:t>
      </w:r>
      <w:r>
        <w:rPr>
          <w:u w:val="single"/>
        </w:rPr>
        <w:t>-</w:t>
      </w:r>
      <w:r w:rsidRPr="00763553">
        <w:rPr>
          <w:u w:val="single"/>
        </w:rPr>
        <w:t>of</w:t>
      </w:r>
      <w:r>
        <w:rPr>
          <w:u w:val="single"/>
        </w:rPr>
        <w:t>-S</w:t>
      </w:r>
      <w:r w:rsidRPr="00763553">
        <w:rPr>
          <w:u w:val="single"/>
        </w:rPr>
        <w:t>tate</w:t>
      </w:r>
      <w:r>
        <w:rPr>
          <w:u w:val="single"/>
        </w:rPr>
        <w:t xml:space="preserve"> Provider</w:t>
      </w:r>
      <w:r w:rsidRPr="00763553">
        <w:t>: Provider whose point-of-service address or place of doing business is located outside Texas. This term</w:t>
      </w:r>
      <w:ins w:id="5" w:author="Caillouet,Shelly" w:date="2026-02-06T11:33:00Z" w16du:dateUtc="2026-02-06T17:33:00Z">
        <w:r w:rsidR="00F00781">
          <w:t xml:space="preserve"> does not apply to and</w:t>
        </w:r>
      </w:ins>
      <w:r w:rsidRPr="00763553">
        <w:t xml:space="preserve"> is not intended to describe, define, or </w:t>
      </w:r>
      <w:r w:rsidRPr="00763553">
        <w:lastRenderedPageBreak/>
        <w:t>include providers whose brick-and-mortar business operations are within Texas, but for whom the payment (remit) address of record is outside Texas.</w:t>
      </w:r>
    </w:p>
    <w:p w14:paraId="69645838" w14:textId="7BA13D38" w:rsidR="003A0643" w:rsidRDefault="003A0643" w:rsidP="003A0643">
      <w:r>
        <w:t>…</w:t>
      </w:r>
    </w:p>
    <w:p w14:paraId="11E48025" w14:textId="137E43AE" w:rsidR="00934027" w:rsidRDefault="00145D80" w:rsidP="00CF06B7">
      <w:pPr>
        <w:pStyle w:val="Heading2"/>
      </w:pPr>
      <w:r>
        <w:t>PROCEDURES</w:t>
      </w:r>
    </w:p>
    <w:p w14:paraId="3BF5E84A" w14:textId="42616000" w:rsidR="000538A8" w:rsidRDefault="0068218A" w:rsidP="0030049E">
      <w:pPr>
        <w:pStyle w:val="Heading3"/>
        <w:numPr>
          <w:ilvl w:val="0"/>
          <w:numId w:val="6"/>
        </w:numPr>
      </w:pPr>
      <w:r>
        <w:t>Purchasing Requirements</w:t>
      </w:r>
    </w:p>
    <w:p w14:paraId="1272729E" w14:textId="77777777" w:rsidR="00187E1D" w:rsidRDefault="0068218A" w:rsidP="00F155AE">
      <w:pPr>
        <w:pStyle w:val="ListBulleted"/>
        <w:numPr>
          <w:ilvl w:val="0"/>
          <w:numId w:val="46"/>
        </w:numPr>
        <w:rPr>
          <w:u w:val="single"/>
        </w:rPr>
      </w:pPr>
      <w:r w:rsidRPr="0068218A">
        <w:rPr>
          <w:u w:val="single"/>
        </w:rPr>
        <w:t>Budgeting</w:t>
      </w:r>
    </w:p>
    <w:p w14:paraId="38A45EF8" w14:textId="1AE65C5F" w:rsidR="0068218A" w:rsidRPr="00187E1D" w:rsidRDefault="0068218A" w:rsidP="00F155AE">
      <w:pPr>
        <w:pStyle w:val="ListBulleted"/>
        <w:numPr>
          <w:ilvl w:val="1"/>
          <w:numId w:val="47"/>
        </w:numPr>
        <w:rPr>
          <w:u w:val="single"/>
        </w:rPr>
      </w:pPr>
      <w:r w:rsidRPr="00C224B3">
        <w:t xml:space="preserve">Reconciliation: Budgets must be reconciled against expenditures and invoices to ensure an accurate reflection of budgeted, obligated, and </w:t>
      </w:r>
      <w:proofErr w:type="gramStart"/>
      <w:r w:rsidRPr="00C224B3">
        <w:t>expensed</w:t>
      </w:r>
      <w:proofErr w:type="gramEnd"/>
      <w:r w:rsidRPr="00C224B3">
        <w:t xml:space="preserve"> funds.</w:t>
      </w:r>
    </w:p>
    <w:p w14:paraId="14DC2FA1" w14:textId="77777777" w:rsidR="0068218A" w:rsidRPr="00C224B3" w:rsidRDefault="0068218A" w:rsidP="00F155AE">
      <w:pPr>
        <w:pStyle w:val="ListBulleted"/>
        <w:numPr>
          <w:ilvl w:val="1"/>
          <w:numId w:val="47"/>
        </w:numPr>
      </w:pPr>
      <w:r w:rsidRPr="00C224B3">
        <w:t xml:space="preserve">Purchasing Budget Thresholds: Purchasing thresholds are established to ensure appropriate level of review for items of cost that represent greater potential for risk to the agency. To ensure appropriate budgeting of TWC-VR costs and activities, SAs and purchases must not be split (separated into multiple SAs). </w:t>
      </w:r>
    </w:p>
    <w:p w14:paraId="5E1BFDAA" w14:textId="77777777" w:rsidR="0068218A" w:rsidRPr="00C224B3" w:rsidRDefault="0068218A" w:rsidP="00F155AE">
      <w:pPr>
        <w:pStyle w:val="ListBulleted"/>
        <w:numPr>
          <w:ilvl w:val="0"/>
          <w:numId w:val="46"/>
        </w:numPr>
      </w:pPr>
      <w:r w:rsidRPr="0068218A">
        <w:rPr>
          <w:u w:val="single"/>
        </w:rPr>
        <w:t>Obligations That Span Multiple Years</w:t>
      </w:r>
      <w:r w:rsidRPr="00C224B3">
        <w:rPr>
          <w:b/>
        </w:rPr>
        <w:t>:</w:t>
      </w:r>
      <w:r w:rsidRPr="00C224B3">
        <w:t xml:space="preserve"> To ensure appropriate funds exist for SAs, TWC-VR staff must ensure that— </w:t>
      </w:r>
    </w:p>
    <w:p w14:paraId="72DF5C37" w14:textId="4B7F0E99" w:rsidR="0068218A" w:rsidRPr="00C224B3" w:rsidRDefault="0068218A" w:rsidP="00F155AE">
      <w:pPr>
        <w:pStyle w:val="ListBulleted"/>
        <w:numPr>
          <w:ilvl w:val="1"/>
          <w:numId w:val="48"/>
        </w:numPr>
      </w:pPr>
      <w:r w:rsidRPr="00C224B3">
        <w:t>For goods and services, the</w:t>
      </w:r>
      <w:r w:rsidR="00187E1D">
        <w:t xml:space="preserve"> budget</w:t>
      </w:r>
      <w:r w:rsidRPr="00C224B3">
        <w:t xml:space="preserve"> program year is assigned based upon 1) the date the SA was issued and 2)</w:t>
      </w:r>
      <w:r w:rsidR="00187E1D">
        <w:t xml:space="preserve"> </w:t>
      </w:r>
      <w:r w:rsidRPr="00C224B3">
        <w:t xml:space="preserve">(in the case of </w:t>
      </w:r>
      <w:r w:rsidR="00F45BBD">
        <w:t>after</w:t>
      </w:r>
      <w:r w:rsidR="00305448" w:rsidRPr="007E01F4">
        <w:t>-</w:t>
      </w:r>
      <w:r w:rsidR="00F45BBD" w:rsidRPr="007E01F4">
        <w:t>the</w:t>
      </w:r>
      <w:r w:rsidR="00305448" w:rsidRPr="007E01F4">
        <w:t>-</w:t>
      </w:r>
      <w:r w:rsidR="00F45BBD" w:rsidRPr="007E01F4">
        <w:t>f</w:t>
      </w:r>
      <w:r w:rsidR="00F45BBD">
        <w:t xml:space="preserve">act </w:t>
      </w:r>
      <w:r w:rsidR="002263D5">
        <w:t xml:space="preserve">(ATF) </w:t>
      </w:r>
      <w:r w:rsidRPr="00C224B3">
        <w:t>SAs</w:t>
      </w:r>
      <w:r w:rsidR="00187E1D">
        <w:t xml:space="preserve"> for the prior fiscal year</w:t>
      </w:r>
      <w:r w:rsidRPr="00C224B3">
        <w:t>) the Federal Fiscal year in which the goods or services were rendered</w:t>
      </w:r>
      <w:r>
        <w:t>; and</w:t>
      </w:r>
      <w:r w:rsidRPr="00C224B3">
        <w:t xml:space="preserve"> </w:t>
      </w:r>
    </w:p>
    <w:p w14:paraId="7DE194AD" w14:textId="294D6F75" w:rsidR="0068218A" w:rsidRPr="00C224B3" w:rsidRDefault="0068218A" w:rsidP="00F155AE">
      <w:pPr>
        <w:pStyle w:val="ListBulleted"/>
        <w:numPr>
          <w:ilvl w:val="1"/>
          <w:numId w:val="48"/>
        </w:numPr>
      </w:pPr>
      <w:r w:rsidRPr="00C224B3">
        <w:t>When creating non-</w:t>
      </w:r>
      <w:r w:rsidR="00323633">
        <w:t>after</w:t>
      </w:r>
      <w:r w:rsidR="001A02B0">
        <w:t>-</w:t>
      </w:r>
      <w:r w:rsidR="00323633">
        <w:t>the</w:t>
      </w:r>
      <w:r w:rsidR="001A02B0">
        <w:t>-</w:t>
      </w:r>
      <w:r w:rsidR="00323633">
        <w:t>fact</w:t>
      </w:r>
      <w:r w:rsidRPr="00C224B3">
        <w:t xml:space="preserve"> SRs, TWC-VR staff members use the budget applicable to the FFY in which the goods or services are ordered</w:t>
      </w:r>
      <w:r w:rsidR="00733B8B">
        <w:t xml:space="preserve"> as determined by the date on which the SA is issued</w:t>
      </w:r>
      <w:r w:rsidRPr="00C224B3">
        <w:t xml:space="preserve"> </w:t>
      </w:r>
    </w:p>
    <w:p w14:paraId="25001263" w14:textId="1BB69A12" w:rsidR="00A94297" w:rsidRDefault="00D55A63" w:rsidP="00F155AE">
      <w:pPr>
        <w:pStyle w:val="ListBulleted"/>
        <w:numPr>
          <w:ilvl w:val="0"/>
          <w:numId w:val="46"/>
        </w:numPr>
      </w:pPr>
      <w:r w:rsidRPr="0068218A">
        <w:rPr>
          <w:u w:val="single"/>
        </w:rPr>
        <w:t>Service Authorizations</w:t>
      </w:r>
      <w:r w:rsidRPr="00C224B3">
        <w:t xml:space="preserve">: SAs are the only mechanism to obligate funds </w:t>
      </w:r>
      <w:r>
        <w:t xml:space="preserve">for an approved good or </w:t>
      </w:r>
      <w:r w:rsidRPr="00C224B3">
        <w:t>service</w:t>
      </w:r>
      <w:r>
        <w:t>.</w:t>
      </w:r>
      <w:r w:rsidRPr="00C224B3">
        <w:t xml:space="preserve"> SAs are issued to vendors established in WRAPS and RHW and must be issued </w:t>
      </w:r>
      <w:r w:rsidR="00E62D86">
        <w:t xml:space="preserve">prior to the </w:t>
      </w:r>
      <w:r w:rsidRPr="00C224B3">
        <w:t>date that goods are ordered or that service begins. All goods and services purchased with VR funds must be</w:t>
      </w:r>
      <w:r w:rsidR="00E62D86">
        <w:t xml:space="preserve"> reasonable,</w:t>
      </w:r>
      <w:r w:rsidRPr="00C224B3">
        <w:t xml:space="preserve"> appropriate and necessary to support the</w:t>
      </w:r>
      <w:r w:rsidR="00A94297">
        <w:t>:</w:t>
      </w:r>
    </w:p>
    <w:p w14:paraId="1A027609" w14:textId="616E7269" w:rsidR="00A94297" w:rsidRDefault="00FE33A7" w:rsidP="00B65FF2">
      <w:pPr>
        <w:pStyle w:val="ListBulleted"/>
        <w:numPr>
          <w:ilvl w:val="2"/>
          <w:numId w:val="42"/>
        </w:numPr>
      </w:pPr>
      <w:r>
        <w:t>determination</w:t>
      </w:r>
      <w:r w:rsidR="00D55A63">
        <w:t xml:space="preserve"> of eligibility</w:t>
      </w:r>
      <w:r w:rsidR="00897C5D">
        <w:t>;</w:t>
      </w:r>
      <w:r w:rsidR="00D55A63">
        <w:t xml:space="preserve"> </w:t>
      </w:r>
      <w:r w:rsidR="005E6CC7">
        <w:tab/>
      </w:r>
    </w:p>
    <w:p w14:paraId="16A43589" w14:textId="7BA4D821" w:rsidR="00A94297" w:rsidRDefault="00D55A63" w:rsidP="00B65FF2">
      <w:pPr>
        <w:pStyle w:val="ListBulleted"/>
        <w:numPr>
          <w:ilvl w:val="2"/>
          <w:numId w:val="42"/>
        </w:numPr>
      </w:pPr>
      <w:r>
        <w:t>assessment and planning for the development of an IPE</w:t>
      </w:r>
      <w:r w:rsidR="00897C5D">
        <w:t>;</w:t>
      </w:r>
      <w:r>
        <w:t xml:space="preserve"> </w:t>
      </w:r>
    </w:p>
    <w:p w14:paraId="27839675" w14:textId="0D5C3B7C" w:rsidR="00A94297" w:rsidRDefault="00D55A63" w:rsidP="00B65FF2">
      <w:pPr>
        <w:pStyle w:val="ListBulleted"/>
        <w:numPr>
          <w:ilvl w:val="2"/>
          <w:numId w:val="42"/>
        </w:numPr>
      </w:pPr>
      <w:r>
        <w:t>goods and services documented on the IPE</w:t>
      </w:r>
      <w:r w:rsidR="00897C5D">
        <w:t>;</w:t>
      </w:r>
      <w:r w:rsidR="00A94297">
        <w:t xml:space="preserve"> and/or</w:t>
      </w:r>
      <w:r w:rsidRPr="00C224B3">
        <w:t xml:space="preserve"> </w:t>
      </w:r>
    </w:p>
    <w:p w14:paraId="546D4A81" w14:textId="77777777" w:rsidR="00DC0853" w:rsidRDefault="00D55A63" w:rsidP="00B65FF2">
      <w:pPr>
        <w:pStyle w:val="ListBulleted"/>
        <w:numPr>
          <w:ilvl w:val="2"/>
          <w:numId w:val="42"/>
        </w:numPr>
        <w:rPr>
          <w:ins w:id="6" w:author="Scott,Lavonia" w:date="2026-01-15T14:09:00Z" w16du:dateUtc="2026-01-15T20:09:00Z"/>
        </w:rPr>
      </w:pPr>
      <w:r>
        <w:t>the provision of</w:t>
      </w:r>
      <w:r w:rsidRPr="00C224B3">
        <w:t xml:space="preserve"> relevant Pre-ETS to a potentially eligible customer.</w:t>
      </w:r>
    </w:p>
    <w:p w14:paraId="654A8175" w14:textId="3A76A3A6" w:rsidR="00DC0853" w:rsidRPr="003D5E2E" w:rsidRDefault="00DC0853" w:rsidP="009B25A2">
      <w:pPr>
        <w:pStyle w:val="ListBulleted"/>
        <w:numPr>
          <w:ilvl w:val="0"/>
          <w:numId w:val="0"/>
        </w:numPr>
        <w:ind w:left="720"/>
        <w:rPr>
          <w:ins w:id="7" w:author="Scott,Lavonia" w:date="2026-01-15T14:10:00Z" w16du:dateUtc="2026-01-15T20:10:00Z"/>
        </w:rPr>
      </w:pPr>
      <w:ins w:id="8" w:author="Scott,Lavonia" w:date="2026-01-15T14:10:00Z" w16du:dateUtc="2026-01-15T20:10:00Z">
        <w:r w:rsidRPr="00B86743">
          <w:t>Prior to issuing a</w:t>
        </w:r>
      </w:ins>
      <w:ins w:id="9" w:author="Caillouet,Shelly" w:date="2026-02-03T10:46:00Z" w16du:dateUtc="2026-02-03T16:46:00Z">
        <w:r w:rsidR="00C10412">
          <w:t>n</w:t>
        </w:r>
      </w:ins>
      <w:ins w:id="10" w:author="Scott,Lavonia" w:date="2026-01-15T14:10:00Z" w16du:dateUtc="2026-01-15T20:10:00Z">
        <w:r w:rsidRPr="00B86743">
          <w:t xml:space="preserve"> </w:t>
        </w:r>
      </w:ins>
      <w:ins w:id="11" w:author="Scott,Lavonia" w:date="2026-01-16T12:48:00Z" w16du:dateUtc="2026-01-16T18:48:00Z">
        <w:r w:rsidR="00E8543C">
          <w:t>SA</w:t>
        </w:r>
      </w:ins>
      <w:ins w:id="12" w:author="Scott,Lavonia" w:date="2026-01-15T14:10:00Z" w16du:dateUtc="2026-01-15T20:10:00Z">
        <w:r w:rsidRPr="00B86743">
          <w:t xml:space="preserve"> for Maintenance, the VR Counselor must ensure that:</w:t>
        </w:r>
      </w:ins>
    </w:p>
    <w:p w14:paraId="765548EE" w14:textId="69FFA2F8" w:rsidR="00DC0853" w:rsidDel="006A0E0D" w:rsidRDefault="00DC0853" w:rsidP="00B65FF2">
      <w:pPr>
        <w:pStyle w:val="ListBulleted"/>
        <w:numPr>
          <w:ilvl w:val="1"/>
          <w:numId w:val="43"/>
        </w:numPr>
        <w:rPr>
          <w:del w:id="13" w:author="Caillouet,Shelly" w:date="2026-02-23T16:06:00Z" w16du:dateUtc="2026-02-23T22:06:00Z"/>
        </w:rPr>
      </w:pPr>
      <w:ins w:id="14" w:author="Scott,Lavonia" w:date="2026-01-15T14:10:00Z">
        <w:r>
          <w:lastRenderedPageBreak/>
          <w:t xml:space="preserve">attempts to purchase an approved </w:t>
        </w:r>
      </w:ins>
      <w:ins w:id="15" w:author="Caillouet,Shelly" w:date="2026-02-19T17:34:00Z">
        <w:r w:rsidR="3B7C2DF9">
          <w:t>similar</w:t>
        </w:r>
      </w:ins>
      <w:ins w:id="16" w:author="Scott,Lavonia" w:date="2026-01-15T14:10:00Z">
        <w:r>
          <w:t xml:space="preserve"> good or service through a linked vendor or provider have been exhausted and documented in RHW, or</w:t>
        </w:r>
      </w:ins>
    </w:p>
    <w:p w14:paraId="1780D2FC" w14:textId="77777777" w:rsidR="006A0E0D" w:rsidRPr="003D5E2E" w:rsidRDefault="006A0E0D" w:rsidP="00B65FF2">
      <w:pPr>
        <w:pStyle w:val="ListBulleted"/>
        <w:numPr>
          <w:ilvl w:val="1"/>
          <w:numId w:val="43"/>
        </w:numPr>
        <w:rPr>
          <w:ins w:id="17" w:author="Caillouet,Shelly" w:date="2026-02-23T16:06:00Z" w16du:dateUtc="2026-02-23T22:06:00Z"/>
        </w:rPr>
      </w:pPr>
    </w:p>
    <w:p w14:paraId="760FFAB1" w14:textId="77777777" w:rsidR="00DC0853" w:rsidRDefault="00DC0853" w:rsidP="00B65FF2">
      <w:pPr>
        <w:pStyle w:val="ListBulleted"/>
        <w:numPr>
          <w:ilvl w:val="1"/>
          <w:numId w:val="43"/>
        </w:numPr>
        <w:rPr>
          <w:ins w:id="18" w:author="Scott,Lavonia" w:date="2026-01-15T14:10:00Z" w16du:dateUtc="2026-01-15T20:10:00Z"/>
        </w:rPr>
      </w:pPr>
      <w:ins w:id="19" w:author="Scott,Lavonia" w:date="2026-01-15T14:10:00Z" w16du:dateUtc="2026-01-15T20:10:00Z">
        <w:r w:rsidRPr="00B86743">
          <w:t>TWC-VR staff have attempted to link the provider in RHW, and</w:t>
        </w:r>
      </w:ins>
    </w:p>
    <w:p w14:paraId="19DEFAF2" w14:textId="49629D5F" w:rsidR="00A94297" w:rsidRDefault="00DC0853" w:rsidP="00B65FF2">
      <w:pPr>
        <w:pStyle w:val="ListBulleted"/>
        <w:numPr>
          <w:ilvl w:val="1"/>
          <w:numId w:val="43"/>
        </w:numPr>
      </w:pPr>
      <w:ins w:id="20" w:author="Scott,Lavonia" w:date="2026-01-15T14:10:00Z" w16du:dateUtc="2026-01-15T20:10:00Z">
        <w:r w:rsidRPr="00B86743">
          <w:t>no other comparable benefits or resources are available</w:t>
        </w:r>
      </w:ins>
      <w:ins w:id="21" w:author="Scott,Lavonia" w:date="2026-01-15T16:27:00Z" w16du:dateUtc="2026-01-15T22:27:00Z">
        <w:r w:rsidR="004B4268">
          <w:t>.</w:t>
        </w:r>
      </w:ins>
      <w:r w:rsidR="00D55A63" w:rsidRPr="00C224B3">
        <w:t xml:space="preserve"> </w:t>
      </w:r>
    </w:p>
    <w:p w14:paraId="038A9A56" w14:textId="77777777" w:rsidR="00A94297" w:rsidRDefault="00D55A63" w:rsidP="009B25A2">
      <w:pPr>
        <w:pStyle w:val="ListBulleted"/>
        <w:numPr>
          <w:ilvl w:val="0"/>
          <w:numId w:val="0"/>
        </w:numPr>
        <w:ind w:left="720" w:firstLine="432"/>
      </w:pPr>
      <w:r w:rsidRPr="00C224B3">
        <w:t>The VR Counselor must consider the</w:t>
      </w:r>
      <w:r w:rsidR="00A94297">
        <w:t>:</w:t>
      </w:r>
    </w:p>
    <w:p w14:paraId="04AB8879" w14:textId="337B04DD" w:rsidR="00A94297" w:rsidRDefault="00D55A63" w:rsidP="009B25A2">
      <w:pPr>
        <w:pStyle w:val="ListBulleted"/>
        <w:numPr>
          <w:ilvl w:val="0"/>
          <w:numId w:val="49"/>
        </w:numPr>
      </w:pPr>
      <w:r>
        <w:t>best value purchasing</w:t>
      </w:r>
      <w:r w:rsidR="00897C5D">
        <w:t>;</w:t>
      </w:r>
      <w:r>
        <w:t xml:space="preserve"> </w:t>
      </w:r>
    </w:p>
    <w:p w14:paraId="0B741409" w14:textId="2BF8506D" w:rsidR="00A94297" w:rsidRDefault="00D55A63" w:rsidP="009B25A2">
      <w:pPr>
        <w:pStyle w:val="ListBulleted"/>
        <w:numPr>
          <w:ilvl w:val="1"/>
          <w:numId w:val="49"/>
        </w:numPr>
      </w:pPr>
      <w:r>
        <w:t>use of comparable benefits</w:t>
      </w:r>
      <w:r w:rsidR="00897C5D">
        <w:t>;</w:t>
      </w:r>
    </w:p>
    <w:p w14:paraId="057BF072" w14:textId="119685E3" w:rsidR="00A94297" w:rsidRDefault="00D55A63" w:rsidP="009B25A2">
      <w:pPr>
        <w:pStyle w:val="ListBulleted"/>
        <w:numPr>
          <w:ilvl w:val="0"/>
          <w:numId w:val="49"/>
        </w:numPr>
      </w:pPr>
      <w:r>
        <w:t>required customer participation in cost</w:t>
      </w:r>
      <w:r w:rsidR="00897C5D">
        <w:t>;</w:t>
      </w:r>
      <w:r>
        <w:t xml:space="preserve"> </w:t>
      </w:r>
    </w:p>
    <w:p w14:paraId="2AE84BDD" w14:textId="707B6EE7" w:rsidR="00A94297" w:rsidRDefault="00D55A63" w:rsidP="009B25A2">
      <w:pPr>
        <w:pStyle w:val="ListBulleted"/>
        <w:numPr>
          <w:ilvl w:val="0"/>
          <w:numId w:val="49"/>
        </w:numPr>
      </w:pPr>
      <w:r>
        <w:t>contract requirements</w:t>
      </w:r>
      <w:r w:rsidR="00897C5D">
        <w:t>;</w:t>
      </w:r>
      <w:r>
        <w:t xml:space="preserve"> </w:t>
      </w:r>
    </w:p>
    <w:p w14:paraId="27A9DA6A" w14:textId="775A001D" w:rsidR="009E3292" w:rsidRDefault="00D55A63" w:rsidP="009B25A2">
      <w:pPr>
        <w:pStyle w:val="ListBulleted"/>
        <w:numPr>
          <w:ilvl w:val="0"/>
          <w:numId w:val="49"/>
        </w:numPr>
      </w:pPr>
      <w:r>
        <w:t>ability of the vendor to meet the customer’s needs</w:t>
      </w:r>
      <w:r w:rsidR="00897C5D">
        <w:t>;</w:t>
      </w:r>
      <w:r>
        <w:t xml:space="preserve"> </w:t>
      </w:r>
    </w:p>
    <w:p w14:paraId="307307F2" w14:textId="35A560B4" w:rsidR="009E3292" w:rsidRDefault="00D55A63" w:rsidP="009B25A2">
      <w:pPr>
        <w:pStyle w:val="ListBulleted"/>
        <w:numPr>
          <w:ilvl w:val="0"/>
          <w:numId w:val="49"/>
        </w:numPr>
      </w:pPr>
      <w:r>
        <w:t>applicable vendor licensure, certification, credential or accreditation requirements</w:t>
      </w:r>
      <w:r w:rsidR="00897C5D">
        <w:t>;</w:t>
      </w:r>
      <w:r>
        <w:t xml:space="preserve"> and </w:t>
      </w:r>
    </w:p>
    <w:p w14:paraId="0963F994" w14:textId="259A6DCD" w:rsidR="00D55A63" w:rsidRPr="00C224B3" w:rsidRDefault="00D55A63" w:rsidP="009B25A2">
      <w:pPr>
        <w:pStyle w:val="ListBulleted"/>
        <w:numPr>
          <w:ilvl w:val="0"/>
          <w:numId w:val="49"/>
        </w:numPr>
      </w:pPr>
      <w:r>
        <w:t>customer’s informed choice</w:t>
      </w:r>
      <w:r w:rsidRPr="00C224B3">
        <w:t xml:space="preserve"> when authorizing the purchase of a good or service</w:t>
      </w:r>
      <w:r>
        <w:t>.</w:t>
      </w:r>
    </w:p>
    <w:p w14:paraId="27F39DDA" w14:textId="52CB429C" w:rsidR="0068218A" w:rsidRPr="00C224B3" w:rsidRDefault="0068218A" w:rsidP="0068218A">
      <w:pPr>
        <w:pStyle w:val="ListBulleted"/>
        <w:numPr>
          <w:ilvl w:val="0"/>
          <w:numId w:val="0"/>
        </w:numPr>
        <w:ind w:left="720"/>
      </w:pPr>
      <w:r w:rsidRPr="00C224B3">
        <w:t>SAs must include all costs</w:t>
      </w:r>
      <w:r w:rsidR="00733B8B">
        <w:t xml:space="preserve"> associated with the purchase</w:t>
      </w:r>
      <w:r w:rsidRPr="00C224B3">
        <w:t xml:space="preserve">, such as shipping and handling, installation, training, item cost, etc. This ensures all costs are accounted for and obligated when an SA is issued. </w:t>
      </w:r>
    </w:p>
    <w:p w14:paraId="47FB8F4F" w14:textId="26140453" w:rsidR="0068218A" w:rsidRPr="00C224B3" w:rsidRDefault="0068218A" w:rsidP="0068218A">
      <w:pPr>
        <w:pStyle w:val="ListBulleted"/>
        <w:numPr>
          <w:ilvl w:val="0"/>
          <w:numId w:val="0"/>
        </w:numPr>
        <w:ind w:left="720"/>
      </w:pPr>
      <w:r w:rsidRPr="00C224B3">
        <w:t xml:space="preserve">When TWC-VR staff are notified by the State Office that RHW is not available, VR Management or its designee will provide TWC-VR staff members with direction regarding </w:t>
      </w:r>
      <w:r w:rsidR="00733B8B">
        <w:t xml:space="preserve">contingency </w:t>
      </w:r>
      <w:r w:rsidRPr="00C224B3">
        <w:t>purchasing processes and procedures.</w:t>
      </w:r>
    </w:p>
    <w:p w14:paraId="18B59EBF" w14:textId="6D29B7B5" w:rsidR="0068218A" w:rsidRPr="00C224B3" w:rsidRDefault="0068218A" w:rsidP="0068218A">
      <w:pPr>
        <w:pStyle w:val="ListBulleted"/>
      </w:pPr>
      <w:r w:rsidRPr="0068218A">
        <w:rPr>
          <w:u w:val="single"/>
        </w:rPr>
        <w:t xml:space="preserve">After-the-Fact </w:t>
      </w:r>
      <w:r w:rsidR="003E7B29">
        <w:rPr>
          <w:u w:val="single"/>
        </w:rPr>
        <w:t xml:space="preserve">Service </w:t>
      </w:r>
      <w:r w:rsidRPr="0068218A">
        <w:rPr>
          <w:u w:val="single"/>
        </w:rPr>
        <w:t>Authorizations</w:t>
      </w:r>
      <w:r w:rsidRPr="00C224B3">
        <w:t xml:space="preserve">: When an SA is not issued prior to the service occurring or the date the good was ordered, it is an after-the-fact (ATF) SA. </w:t>
      </w:r>
      <w:r w:rsidR="00323633">
        <w:t>This is a violation of policy.</w:t>
      </w:r>
    </w:p>
    <w:p w14:paraId="3BD67636" w14:textId="2A4F02EB" w:rsidR="00C96569" w:rsidRDefault="0068218A" w:rsidP="00137C76">
      <w:pPr>
        <w:pStyle w:val="ListBulleted"/>
        <w:numPr>
          <w:ilvl w:val="0"/>
          <w:numId w:val="28"/>
        </w:numPr>
      </w:pPr>
      <w:r w:rsidRPr="00323633">
        <w:rPr>
          <w:u w:val="single"/>
        </w:rPr>
        <w:t>Replacement SA</w:t>
      </w:r>
      <w:r w:rsidR="007E01F4">
        <w:rPr>
          <w:u w:val="single"/>
        </w:rPr>
        <w:t>s</w:t>
      </w:r>
      <w:r w:rsidRPr="00C224B3">
        <w:t xml:space="preserve">: When an SA </w:t>
      </w:r>
      <w:r w:rsidR="00B42532">
        <w:t xml:space="preserve">needs to be </w:t>
      </w:r>
      <w:r w:rsidRPr="00C224B3">
        <w:t>change</w:t>
      </w:r>
      <w:r w:rsidR="00B42532">
        <w:t>d</w:t>
      </w:r>
      <w:r w:rsidRPr="00C224B3">
        <w:t xml:space="preserve"> during the delivery of services</w:t>
      </w:r>
      <w:r w:rsidR="00B42532">
        <w:t xml:space="preserve"> and the extent of those changes doe</w:t>
      </w:r>
      <w:r w:rsidR="002D55A9">
        <w:t>s</w:t>
      </w:r>
      <w:r w:rsidR="00B42532">
        <w:t xml:space="preserve"> not allow the ex</w:t>
      </w:r>
      <w:r w:rsidR="002D55A9">
        <w:t>isting</w:t>
      </w:r>
      <w:r w:rsidR="00B42532">
        <w:t xml:space="preserve"> SA to be properly updated in RHW</w:t>
      </w:r>
      <w:r w:rsidRPr="00C224B3">
        <w:t>, a replacement SA must be issued</w:t>
      </w:r>
      <w:r w:rsidR="00B42532">
        <w:t>. The replacement SA must be issued</w:t>
      </w:r>
      <w:r w:rsidRPr="00C224B3">
        <w:t xml:space="preserve"> within five calendar days of the day on which the original SA was canceled or closed. </w:t>
      </w:r>
    </w:p>
    <w:p w14:paraId="29273052" w14:textId="36BA2BEA" w:rsidR="0068218A" w:rsidRPr="00C224B3" w:rsidRDefault="0068218A" w:rsidP="00430B2C">
      <w:pPr>
        <w:pStyle w:val="ListBulleted"/>
        <w:numPr>
          <w:ilvl w:val="0"/>
          <w:numId w:val="0"/>
        </w:numPr>
        <w:ind w:left="720"/>
      </w:pPr>
      <w:r w:rsidRPr="00C224B3">
        <w:t xml:space="preserve">When </w:t>
      </w:r>
      <w:proofErr w:type="gramStart"/>
      <w:r w:rsidRPr="00C224B3">
        <w:t>an</w:t>
      </w:r>
      <w:proofErr w:type="gramEnd"/>
      <w:r w:rsidRPr="00C224B3">
        <w:t xml:space="preserve"> Replacement SA is not issued within five calendar days of the cancellation or closing of the original SA, it </w:t>
      </w:r>
      <w:r w:rsidR="00AC5308">
        <w:t xml:space="preserve">must be </w:t>
      </w:r>
      <w:r w:rsidRPr="00C224B3">
        <w:t xml:space="preserve">processed and approved as </w:t>
      </w:r>
      <w:r w:rsidRPr="007E01F4">
        <w:t>a</w:t>
      </w:r>
      <w:r w:rsidR="009D7908" w:rsidRPr="007E01F4">
        <w:t>n</w:t>
      </w:r>
      <w:r w:rsidRPr="00C224B3">
        <w:t xml:space="preserve"> </w:t>
      </w:r>
      <w:r w:rsidR="00F45BBD">
        <w:t xml:space="preserve">ATF </w:t>
      </w:r>
      <w:r w:rsidRPr="00C224B3">
        <w:t>SA</w:t>
      </w:r>
      <w:r w:rsidR="001921A9">
        <w:t xml:space="preserve"> instead</w:t>
      </w:r>
      <w:r w:rsidRPr="00C224B3">
        <w:t>.</w:t>
      </w:r>
    </w:p>
    <w:p w14:paraId="5F7580BF" w14:textId="77777777" w:rsidR="0068218A" w:rsidRPr="00C224B3" w:rsidRDefault="0068218A" w:rsidP="0068218A">
      <w:pPr>
        <w:pStyle w:val="ListBulleted"/>
      </w:pPr>
      <w:r w:rsidRPr="0068218A">
        <w:rPr>
          <w:u w:val="single"/>
        </w:rPr>
        <w:t>Vendor Agreement Mechanisms</w:t>
      </w:r>
      <w:r w:rsidRPr="00C224B3">
        <w:t>: Goods and services can be purchased for customers from a variety of community rehabilitation programs and vendors, including contracted providers, non-contracted providers, and medical service providers.</w:t>
      </w:r>
    </w:p>
    <w:p w14:paraId="39D8F9C0" w14:textId="77777777" w:rsidR="0068218A" w:rsidRPr="00C224B3" w:rsidRDefault="0068218A" w:rsidP="00DF5D6F">
      <w:pPr>
        <w:pStyle w:val="ListBulleted"/>
        <w:numPr>
          <w:ilvl w:val="1"/>
          <w:numId w:val="50"/>
        </w:numPr>
      </w:pPr>
      <w:r w:rsidRPr="00C224B3">
        <w:lastRenderedPageBreak/>
        <w:t>Non-Competitive Purchases: Purchases of goods and/or services from a single vendor that cost $10,000 or less. These purchases do not require competitive bids.</w:t>
      </w:r>
    </w:p>
    <w:p w14:paraId="53F216D6" w14:textId="77777777" w:rsidR="0068218A" w:rsidRPr="00C224B3" w:rsidRDefault="0068218A" w:rsidP="00DF5D6F">
      <w:pPr>
        <w:pStyle w:val="ListBulleted"/>
        <w:numPr>
          <w:ilvl w:val="1"/>
          <w:numId w:val="50"/>
        </w:numPr>
      </w:pPr>
      <w:r w:rsidRPr="00C224B3">
        <w:t>Competitive Purchases: Purchases of goods and/or services from a single vendor that cost more than $10,000 and which are non-contract, non-medical, and non-public tuition must be competitively bid. Competitive bids are required for the purchase of—</w:t>
      </w:r>
    </w:p>
    <w:p w14:paraId="0962F2A7" w14:textId="77777777" w:rsidR="0068218A" w:rsidRPr="00C224B3" w:rsidRDefault="0068218A" w:rsidP="0030049E">
      <w:pPr>
        <w:pStyle w:val="ListBulleted"/>
        <w:numPr>
          <w:ilvl w:val="2"/>
          <w:numId w:val="5"/>
        </w:numPr>
      </w:pPr>
      <w:r w:rsidRPr="00C224B3">
        <w:t>Non-contracted goods and services when the total cost of a single SA is greater than $10,000;</w:t>
      </w:r>
    </w:p>
    <w:p w14:paraId="34039B27" w14:textId="77777777" w:rsidR="0068218A" w:rsidRPr="00C224B3" w:rsidRDefault="0068218A" w:rsidP="0030049E">
      <w:pPr>
        <w:pStyle w:val="ListBulleted"/>
        <w:numPr>
          <w:ilvl w:val="2"/>
          <w:numId w:val="5"/>
        </w:numPr>
      </w:pPr>
      <w:r w:rsidRPr="00C224B3">
        <w:t>Tuition and required fees greater than $10,000 per semester for training at an out-of-state or private training institution;</w:t>
      </w:r>
    </w:p>
    <w:p w14:paraId="096400A3" w14:textId="77777777" w:rsidR="0068218A" w:rsidRPr="00C224B3" w:rsidRDefault="0068218A" w:rsidP="0030049E">
      <w:pPr>
        <w:pStyle w:val="ListBulleted"/>
        <w:numPr>
          <w:ilvl w:val="2"/>
          <w:numId w:val="5"/>
        </w:numPr>
      </w:pPr>
      <w:r w:rsidRPr="00C224B3">
        <w:t>Room and board greater than $10,000 per semester when paid directly to a private or out-of-state training institution; and</w:t>
      </w:r>
    </w:p>
    <w:p w14:paraId="5C791C0B" w14:textId="77777777" w:rsidR="0068218A" w:rsidRDefault="0068218A" w:rsidP="0030049E">
      <w:pPr>
        <w:pStyle w:val="ListBulleted"/>
        <w:numPr>
          <w:ilvl w:val="2"/>
          <w:numId w:val="5"/>
        </w:numPr>
      </w:pPr>
      <w:r w:rsidRPr="00C224B3">
        <w:t>Room and board greater than $10,000 per semester when paid to an off-campus housing facility, such as apartment complexes or other rental properties.</w:t>
      </w:r>
    </w:p>
    <w:p w14:paraId="2D35BFFE" w14:textId="55B540AF" w:rsidR="0068218A" w:rsidRPr="00C224B3" w:rsidRDefault="0068218A" w:rsidP="0068218A">
      <w:pPr>
        <w:pStyle w:val="ListBulleted"/>
        <w:numPr>
          <w:ilvl w:val="0"/>
          <w:numId w:val="0"/>
        </w:numPr>
        <w:ind w:left="1440"/>
      </w:pPr>
      <w:r w:rsidRPr="009F6C28">
        <w:t>Exception: Medical goods and services purchased using M</w:t>
      </w:r>
      <w:r w:rsidR="00871519">
        <w:t>aximum Affordable Payment Schedule</w:t>
      </w:r>
      <w:r w:rsidRPr="009F6C28">
        <w:t xml:space="preserve"> (MAPS)</w:t>
      </w:r>
      <w:r w:rsidR="00733B8B">
        <w:t>rates</w:t>
      </w:r>
      <w:r w:rsidRPr="009F6C28">
        <w:t>, contracted goods and services, and in-state public college/university tuition and fees do not require competitive bids, irrespective of the total dollar amount of the SA.</w:t>
      </w:r>
    </w:p>
    <w:p w14:paraId="15A510FE" w14:textId="77777777" w:rsidR="00AA0437" w:rsidRDefault="00AA0437" w:rsidP="00DF5D6F">
      <w:pPr>
        <w:pStyle w:val="ListBulleted"/>
        <w:numPr>
          <w:ilvl w:val="1"/>
          <w:numId w:val="51"/>
        </w:numPr>
      </w:pPr>
      <w:r>
        <w:t>Sole Source and Proprietary</w:t>
      </w:r>
      <w:r w:rsidRPr="00A645ED">
        <w:t xml:space="preserve"> Purchases</w:t>
      </w:r>
      <w:r w:rsidRPr="00C224B3">
        <w:t xml:space="preserve">: </w:t>
      </w:r>
      <w:r>
        <w:t>A sole source purchase occurs when</w:t>
      </w:r>
      <w:r w:rsidRPr="00C224B3">
        <w:t xml:space="preserve"> </w:t>
      </w:r>
      <w:r>
        <w:t xml:space="preserve">only </w:t>
      </w:r>
      <w:r w:rsidRPr="00C224B3">
        <w:t xml:space="preserve">one provider </w:t>
      </w:r>
      <w:r>
        <w:t xml:space="preserve">can </w:t>
      </w:r>
      <w:r w:rsidRPr="00C224B3">
        <w:t>meet</w:t>
      </w:r>
      <w:r>
        <w:t xml:space="preserve"> </w:t>
      </w:r>
      <w:r w:rsidRPr="00C224B3">
        <w:t xml:space="preserve">TWC-VR's specifications for the product or service because of distinctive features or characteristics that are not provided by competing companies, similar products, or comparable services. </w:t>
      </w:r>
      <w:r>
        <w:t>A proprietary purchase occurs when</w:t>
      </w:r>
      <w:r w:rsidRPr="00C224B3">
        <w:t xml:space="preserve"> on</w:t>
      </w:r>
      <w:r>
        <w:t xml:space="preserve">ly one product or service can </w:t>
      </w:r>
      <w:r w:rsidRPr="00C224B3">
        <w:t>meet</w:t>
      </w:r>
      <w:r>
        <w:t xml:space="preserve"> these</w:t>
      </w:r>
      <w:r w:rsidRPr="00C224B3">
        <w:t xml:space="preserve"> requirements</w:t>
      </w:r>
      <w:r>
        <w:t>.</w:t>
      </w:r>
    </w:p>
    <w:p w14:paraId="1F36D071" w14:textId="00284FD0" w:rsidR="00AA0437" w:rsidRDefault="00D2524A" w:rsidP="00AA0437">
      <w:pPr>
        <w:pStyle w:val="ListBulleted"/>
        <w:numPr>
          <w:ilvl w:val="2"/>
          <w:numId w:val="5"/>
        </w:numPr>
      </w:pPr>
      <w:r w:rsidRPr="00D86B92">
        <w:t>For sole-source or proprietary purchases exceeding $10,000, excluding those involving MAPS, tuition/fees, or existing contracts, a detailed justification must be documented in a case note.</w:t>
      </w:r>
      <w:r w:rsidRPr="00D2524A">
        <w:t xml:space="preserve"> This justification </w:t>
      </w:r>
      <w:r w:rsidR="00D86B92">
        <w:t xml:space="preserve">must </w:t>
      </w:r>
      <w:r w:rsidRPr="00D2524A">
        <w:t xml:space="preserve">demonstrate </w:t>
      </w:r>
      <w:r w:rsidR="00D86B92">
        <w:t>that the proposed purchase offers the best value for the</w:t>
      </w:r>
      <w:r w:rsidRPr="00D2524A">
        <w:t xml:space="preserve"> State of Texas and include the following:</w:t>
      </w:r>
    </w:p>
    <w:p w14:paraId="14E73261" w14:textId="700222A5" w:rsidR="00AA0437" w:rsidRDefault="00AA0437" w:rsidP="00AA0437">
      <w:pPr>
        <w:pStyle w:val="ListBulleted"/>
        <w:numPr>
          <w:ilvl w:val="3"/>
          <w:numId w:val="5"/>
        </w:numPr>
      </w:pPr>
      <w:r>
        <w:t>Describe</w:t>
      </w:r>
      <w:r w:rsidR="00C84B76">
        <w:t>s</w:t>
      </w:r>
      <w:r>
        <w:t xml:space="preserve"> the specific product or service and explain</w:t>
      </w:r>
      <w:r w:rsidR="008B5DB1">
        <w:t>s</w:t>
      </w:r>
      <w:r>
        <w:t xml:space="preserve"> the need and planned use</w:t>
      </w:r>
      <w:r w:rsidR="008076C7">
        <w:t>;</w:t>
      </w:r>
    </w:p>
    <w:p w14:paraId="048476FA" w14:textId="4D7BBA2B" w:rsidR="00AA0437" w:rsidRDefault="00AA0437" w:rsidP="00AA0437">
      <w:pPr>
        <w:pStyle w:val="ListBulleted"/>
        <w:numPr>
          <w:ilvl w:val="3"/>
          <w:numId w:val="5"/>
        </w:numPr>
      </w:pPr>
      <w:r>
        <w:t>Explain</w:t>
      </w:r>
      <w:r w:rsidR="008B5DB1">
        <w:t>s</w:t>
      </w:r>
      <w:r>
        <w:t xml:space="preserve"> why the specifications for the product or service are restrictive and limit the number of potential vendors</w:t>
      </w:r>
      <w:r w:rsidR="008076C7">
        <w:t>;</w:t>
      </w:r>
    </w:p>
    <w:p w14:paraId="68D51016" w14:textId="12ECE693" w:rsidR="00AA0437" w:rsidRDefault="00AA0437" w:rsidP="00AA0437">
      <w:pPr>
        <w:pStyle w:val="ListBulleted"/>
        <w:numPr>
          <w:ilvl w:val="3"/>
          <w:numId w:val="5"/>
        </w:numPr>
      </w:pPr>
      <w:r>
        <w:lastRenderedPageBreak/>
        <w:t>Explain</w:t>
      </w:r>
      <w:r w:rsidR="00C84B76">
        <w:t>s</w:t>
      </w:r>
      <w:r>
        <w:t xml:space="preserve"> why no other competing products or services can fulfill the customer’s needs</w:t>
      </w:r>
      <w:r w:rsidR="008076C7">
        <w:t>; and</w:t>
      </w:r>
    </w:p>
    <w:p w14:paraId="50D70FD5" w14:textId="15A526DC" w:rsidR="00AA0437" w:rsidRDefault="00AA0437" w:rsidP="00AA0437">
      <w:pPr>
        <w:pStyle w:val="ListBulleted"/>
        <w:numPr>
          <w:ilvl w:val="3"/>
          <w:numId w:val="5"/>
        </w:numPr>
      </w:pPr>
      <w:r>
        <w:t>Describe</w:t>
      </w:r>
      <w:r w:rsidR="0025046E">
        <w:t>s</w:t>
      </w:r>
      <w:r>
        <w:t xml:space="preserve"> whether the purchase is a sole source (only one vendor can provide the good or service) or available from multiple vendors.</w:t>
      </w:r>
    </w:p>
    <w:p w14:paraId="5FF24027" w14:textId="4F977FBF" w:rsidR="00AA0437" w:rsidRDefault="00AA0437" w:rsidP="0025046E">
      <w:pPr>
        <w:pStyle w:val="ListBulleted"/>
        <w:numPr>
          <w:ilvl w:val="2"/>
          <w:numId w:val="5"/>
        </w:numPr>
      </w:pPr>
      <w:r>
        <w:t>Sole Source and Proprietary Purchases</w:t>
      </w:r>
      <w:r w:rsidRPr="00C224B3">
        <w:t xml:space="preserve"> must not exceed $25,000.</w:t>
      </w:r>
    </w:p>
    <w:p w14:paraId="470B0D54" w14:textId="453AD046" w:rsidR="0068218A" w:rsidRPr="00C224B3" w:rsidRDefault="0068218A" w:rsidP="00DF5D6F">
      <w:pPr>
        <w:pStyle w:val="ListBulleted"/>
        <w:numPr>
          <w:ilvl w:val="1"/>
          <w:numId w:val="52"/>
        </w:numPr>
      </w:pPr>
      <w:r w:rsidRPr="00C224B3">
        <w:t>Contracted Goods or Services: Some goods and services must be purchased under contract. Customer goods and services that are purchased under contract include, but are not limited to, the following:</w:t>
      </w:r>
    </w:p>
    <w:p w14:paraId="0E0B17AD" w14:textId="77777777" w:rsidR="0068218A" w:rsidRPr="00C224B3" w:rsidRDefault="0068218A" w:rsidP="0030049E">
      <w:pPr>
        <w:pStyle w:val="ListBulleted"/>
        <w:numPr>
          <w:ilvl w:val="2"/>
          <w:numId w:val="5"/>
        </w:numPr>
      </w:pPr>
      <w:r w:rsidRPr="00C224B3">
        <w:t>Assistive Technology;</w:t>
      </w:r>
    </w:p>
    <w:p w14:paraId="5A97F840" w14:textId="77777777" w:rsidR="0068218A" w:rsidRPr="00C224B3" w:rsidRDefault="0068218A" w:rsidP="0030049E">
      <w:pPr>
        <w:pStyle w:val="ListBulleted"/>
        <w:numPr>
          <w:ilvl w:val="2"/>
          <w:numId w:val="5"/>
        </w:numPr>
      </w:pPr>
      <w:r w:rsidRPr="00C224B3">
        <w:t>Diabetes Education Training;</w:t>
      </w:r>
    </w:p>
    <w:p w14:paraId="131B9621" w14:textId="77777777" w:rsidR="0068218A" w:rsidRPr="00C224B3" w:rsidRDefault="0068218A" w:rsidP="0030049E">
      <w:pPr>
        <w:pStyle w:val="ListBulleted"/>
        <w:numPr>
          <w:ilvl w:val="2"/>
          <w:numId w:val="5"/>
        </w:numPr>
      </w:pPr>
      <w:r w:rsidRPr="00C224B3">
        <w:t>Durable Medical Equipment;</w:t>
      </w:r>
    </w:p>
    <w:p w14:paraId="245B3287" w14:textId="77777777" w:rsidR="0068218A" w:rsidRPr="00C224B3" w:rsidRDefault="0068218A" w:rsidP="0030049E">
      <w:pPr>
        <w:pStyle w:val="ListBulleted"/>
        <w:numPr>
          <w:ilvl w:val="2"/>
          <w:numId w:val="5"/>
        </w:numPr>
      </w:pPr>
      <w:r w:rsidRPr="00C224B3">
        <w:t>Employment Services;</w:t>
      </w:r>
    </w:p>
    <w:p w14:paraId="59AE23E8" w14:textId="77777777" w:rsidR="0068218A" w:rsidRPr="00C224B3" w:rsidRDefault="0068218A" w:rsidP="0030049E">
      <w:pPr>
        <w:pStyle w:val="ListBulleted"/>
        <w:numPr>
          <w:ilvl w:val="2"/>
          <w:numId w:val="5"/>
        </w:numPr>
      </w:pPr>
      <w:r w:rsidRPr="00C224B3">
        <w:t>Employment Supports for Brain Injury;</w:t>
      </w:r>
    </w:p>
    <w:p w14:paraId="08A46456" w14:textId="77777777" w:rsidR="0068218A" w:rsidRPr="00C224B3" w:rsidRDefault="0068218A" w:rsidP="0030049E">
      <w:pPr>
        <w:pStyle w:val="ListBulleted"/>
        <w:numPr>
          <w:ilvl w:val="2"/>
          <w:numId w:val="5"/>
        </w:numPr>
      </w:pPr>
      <w:r w:rsidRPr="00C224B3">
        <w:t>Hearing Aids;</w:t>
      </w:r>
    </w:p>
    <w:p w14:paraId="25A9DDAF" w14:textId="77777777" w:rsidR="0068218A" w:rsidRPr="00C224B3" w:rsidRDefault="0068218A" w:rsidP="0030049E">
      <w:pPr>
        <w:pStyle w:val="ListBulleted"/>
        <w:numPr>
          <w:ilvl w:val="2"/>
          <w:numId w:val="5"/>
        </w:numPr>
      </w:pPr>
      <w:r w:rsidRPr="00C224B3">
        <w:t>Hospital Services;</w:t>
      </w:r>
    </w:p>
    <w:p w14:paraId="00AA3D06" w14:textId="77777777" w:rsidR="0068218A" w:rsidRPr="00C224B3" w:rsidRDefault="0068218A" w:rsidP="0030049E">
      <w:pPr>
        <w:pStyle w:val="ListBulleted"/>
        <w:numPr>
          <w:ilvl w:val="2"/>
          <w:numId w:val="5"/>
        </w:numPr>
      </w:pPr>
      <w:r w:rsidRPr="00C224B3">
        <w:t>Interpreter &amp; Translators;</w:t>
      </w:r>
    </w:p>
    <w:p w14:paraId="1DF3B65F" w14:textId="77777777" w:rsidR="0068218A" w:rsidRPr="00C224B3" w:rsidRDefault="0068218A" w:rsidP="0030049E">
      <w:pPr>
        <w:pStyle w:val="ListBulleted"/>
        <w:numPr>
          <w:ilvl w:val="2"/>
          <w:numId w:val="5"/>
        </w:numPr>
      </w:pPr>
      <w:r w:rsidRPr="00C224B3">
        <w:t>Orientation and Mobility Services;</w:t>
      </w:r>
    </w:p>
    <w:p w14:paraId="29A80DEA" w14:textId="77777777" w:rsidR="0068218A" w:rsidRPr="00C224B3" w:rsidRDefault="0068218A" w:rsidP="0030049E">
      <w:pPr>
        <w:pStyle w:val="ListBulleted"/>
        <w:numPr>
          <w:ilvl w:val="2"/>
          <w:numId w:val="5"/>
        </w:numPr>
      </w:pPr>
      <w:r w:rsidRPr="00C224B3">
        <w:t>Pre-Employment Transition Services;</w:t>
      </w:r>
    </w:p>
    <w:p w14:paraId="2F2AA037" w14:textId="77777777" w:rsidR="0068218A" w:rsidRPr="00C224B3" w:rsidRDefault="0068218A" w:rsidP="0030049E">
      <w:pPr>
        <w:pStyle w:val="ListBulleted"/>
        <w:numPr>
          <w:ilvl w:val="2"/>
          <w:numId w:val="5"/>
        </w:numPr>
      </w:pPr>
      <w:r w:rsidRPr="00C224B3">
        <w:t>Project SEARCH;</w:t>
      </w:r>
    </w:p>
    <w:p w14:paraId="115123C8" w14:textId="77777777" w:rsidR="0068218A" w:rsidRPr="00C224B3" w:rsidRDefault="0068218A" w:rsidP="0030049E">
      <w:pPr>
        <w:pStyle w:val="ListBulleted"/>
        <w:numPr>
          <w:ilvl w:val="2"/>
          <w:numId w:val="5"/>
        </w:numPr>
      </w:pPr>
      <w:r w:rsidRPr="00C224B3">
        <w:t>Self-Employment Services;</w:t>
      </w:r>
    </w:p>
    <w:p w14:paraId="70D6578E" w14:textId="77777777" w:rsidR="0068218A" w:rsidRPr="00C224B3" w:rsidRDefault="0068218A" w:rsidP="0030049E">
      <w:pPr>
        <w:pStyle w:val="ListBulleted"/>
        <w:numPr>
          <w:ilvl w:val="2"/>
          <w:numId w:val="5"/>
        </w:numPr>
      </w:pPr>
      <w:r w:rsidRPr="00C224B3">
        <w:t>Supported Employment;</w:t>
      </w:r>
    </w:p>
    <w:p w14:paraId="69E9C501" w14:textId="77777777" w:rsidR="0068218A" w:rsidRPr="00C224B3" w:rsidRDefault="0068218A" w:rsidP="0030049E">
      <w:pPr>
        <w:pStyle w:val="ListBulleted"/>
        <w:numPr>
          <w:ilvl w:val="2"/>
          <w:numId w:val="5"/>
        </w:numPr>
      </w:pPr>
      <w:r w:rsidRPr="00C224B3">
        <w:t>Supported Residential Services for Persons in Recovery;</w:t>
      </w:r>
    </w:p>
    <w:p w14:paraId="48379480" w14:textId="77777777" w:rsidR="0068218A" w:rsidRPr="00C224B3" w:rsidRDefault="0068218A" w:rsidP="0030049E">
      <w:pPr>
        <w:pStyle w:val="ListBulleted"/>
        <w:numPr>
          <w:ilvl w:val="2"/>
          <w:numId w:val="5"/>
        </w:numPr>
      </w:pPr>
      <w:r w:rsidRPr="00C224B3">
        <w:t>Vehicle Modifications;</w:t>
      </w:r>
      <w:r>
        <w:t xml:space="preserve"> and</w:t>
      </w:r>
    </w:p>
    <w:p w14:paraId="1748C3E0" w14:textId="77777777" w:rsidR="0068218A" w:rsidRPr="00C224B3" w:rsidRDefault="0068218A" w:rsidP="0030049E">
      <w:pPr>
        <w:pStyle w:val="ListBulleted"/>
        <w:numPr>
          <w:ilvl w:val="2"/>
          <w:numId w:val="5"/>
        </w:numPr>
      </w:pPr>
      <w:r w:rsidRPr="00C224B3">
        <w:t>Wage Services for Paid Work Experience</w:t>
      </w:r>
      <w:r>
        <w:t>.</w:t>
      </w:r>
    </w:p>
    <w:p w14:paraId="5D8F25E4" w14:textId="77777777" w:rsidR="0068218A" w:rsidRPr="0068218A" w:rsidRDefault="0068218A" w:rsidP="0068218A">
      <w:pPr>
        <w:pStyle w:val="ListBulleted"/>
        <w:rPr>
          <w:u w:val="single"/>
        </w:rPr>
      </w:pPr>
      <w:r w:rsidRPr="0068218A">
        <w:rPr>
          <w:u w:val="single"/>
        </w:rPr>
        <w:t>Considerations</w:t>
      </w:r>
    </w:p>
    <w:p w14:paraId="57AD7A89" w14:textId="77777777" w:rsidR="0068218A" w:rsidRDefault="0068218A" w:rsidP="00810636">
      <w:pPr>
        <w:pStyle w:val="ListBulleted"/>
        <w:numPr>
          <w:ilvl w:val="0"/>
          <w:numId w:val="55"/>
        </w:numPr>
      </w:pPr>
      <w:r w:rsidRPr="00C224B3">
        <w:t>Best Value Purchasing: TWC-VR must apply the best-value purchasing approach. Applying best-value helps ensure that staff consider all factors that influence the total cost and value to both the customer and TWC-VR. To apply best value, the purchase price and whether the goods or services meet specifications are key considerations that are then balanced with other relevant factors</w:t>
      </w:r>
      <w:r>
        <w:t>. Examples include the following:</w:t>
      </w:r>
    </w:p>
    <w:p w14:paraId="3542CA63" w14:textId="77777777" w:rsidR="0068218A" w:rsidRDefault="0068218A" w:rsidP="0030049E">
      <w:pPr>
        <w:pStyle w:val="ListBulleted"/>
        <w:numPr>
          <w:ilvl w:val="2"/>
          <w:numId w:val="5"/>
        </w:numPr>
      </w:pPr>
      <w:r>
        <w:lastRenderedPageBreak/>
        <w:t>I</w:t>
      </w:r>
      <w:r w:rsidRPr="00C224B3">
        <w:t>nstallation costs;</w:t>
      </w:r>
    </w:p>
    <w:p w14:paraId="5E5B1207" w14:textId="77777777" w:rsidR="0068218A" w:rsidRDefault="0068218A" w:rsidP="0030049E">
      <w:pPr>
        <w:pStyle w:val="ListBulleted"/>
        <w:numPr>
          <w:ilvl w:val="2"/>
          <w:numId w:val="5"/>
        </w:numPr>
      </w:pPr>
      <w:r>
        <w:t>L</w:t>
      </w:r>
      <w:r w:rsidRPr="00C224B3">
        <w:t>ife cycle costs;</w:t>
      </w:r>
    </w:p>
    <w:p w14:paraId="66CF7D1E" w14:textId="77777777" w:rsidR="0068218A" w:rsidRDefault="0068218A" w:rsidP="0030049E">
      <w:pPr>
        <w:pStyle w:val="ListBulleted"/>
        <w:numPr>
          <w:ilvl w:val="2"/>
          <w:numId w:val="5"/>
        </w:numPr>
      </w:pPr>
      <w:r>
        <w:t>Q</w:t>
      </w:r>
      <w:r w:rsidRPr="00C224B3">
        <w:t>uality and reliability of the goods and services</w:t>
      </w:r>
      <w:r>
        <w:t>;</w:t>
      </w:r>
    </w:p>
    <w:p w14:paraId="40FFDB4A" w14:textId="77777777" w:rsidR="0068218A" w:rsidRDefault="0068218A" w:rsidP="0030049E">
      <w:pPr>
        <w:pStyle w:val="ListBulleted"/>
        <w:numPr>
          <w:ilvl w:val="2"/>
          <w:numId w:val="5"/>
        </w:numPr>
      </w:pPr>
      <w:r>
        <w:t>D</w:t>
      </w:r>
      <w:r w:rsidRPr="00C224B3">
        <w:t>elivery terms;</w:t>
      </w:r>
    </w:p>
    <w:p w14:paraId="328C753C" w14:textId="77777777" w:rsidR="0068218A" w:rsidRDefault="0068218A" w:rsidP="0030049E">
      <w:pPr>
        <w:pStyle w:val="ListBulleted"/>
        <w:numPr>
          <w:ilvl w:val="2"/>
          <w:numId w:val="5"/>
        </w:numPr>
      </w:pPr>
      <w:r>
        <w:t>I</w:t>
      </w:r>
      <w:r w:rsidRPr="00C224B3">
        <w:t xml:space="preserve">ndicators of probable vendor performance, </w:t>
      </w:r>
      <w:r>
        <w:t>which include—</w:t>
      </w:r>
    </w:p>
    <w:p w14:paraId="517A3FFC" w14:textId="77777777" w:rsidR="0068218A" w:rsidRDefault="0068218A" w:rsidP="0030049E">
      <w:pPr>
        <w:pStyle w:val="ListBulleted"/>
        <w:numPr>
          <w:ilvl w:val="3"/>
          <w:numId w:val="5"/>
        </w:numPr>
      </w:pPr>
      <w:r>
        <w:t>A</w:t>
      </w:r>
      <w:r w:rsidRPr="00C224B3">
        <w:t>bility to perform,</w:t>
      </w:r>
    </w:p>
    <w:p w14:paraId="59F5816F" w14:textId="77777777" w:rsidR="0068218A" w:rsidRDefault="0068218A" w:rsidP="0030049E">
      <w:pPr>
        <w:pStyle w:val="ListBulleted"/>
        <w:numPr>
          <w:ilvl w:val="3"/>
          <w:numId w:val="5"/>
        </w:numPr>
      </w:pPr>
      <w:r>
        <w:t>E</w:t>
      </w:r>
      <w:r w:rsidRPr="00C224B3">
        <w:t>xperience or demonstrated capability</w:t>
      </w:r>
    </w:p>
    <w:p w14:paraId="3A7365D4" w14:textId="77777777" w:rsidR="0068218A" w:rsidRDefault="0068218A" w:rsidP="0030049E">
      <w:pPr>
        <w:pStyle w:val="ListBulleted"/>
        <w:numPr>
          <w:ilvl w:val="3"/>
          <w:numId w:val="5"/>
        </w:numPr>
      </w:pPr>
      <w:r>
        <w:t>A</w:t>
      </w:r>
      <w:r w:rsidRPr="00C224B3">
        <w:t xml:space="preserve">bility to provide reliable maintenance and support; </w:t>
      </w:r>
    </w:p>
    <w:p w14:paraId="78163C12" w14:textId="77777777" w:rsidR="0068218A" w:rsidRPr="00C224B3" w:rsidRDefault="0068218A" w:rsidP="0030049E">
      <w:pPr>
        <w:pStyle w:val="ListBulleted"/>
        <w:numPr>
          <w:ilvl w:val="2"/>
          <w:numId w:val="5"/>
        </w:numPr>
      </w:pPr>
      <w:r>
        <w:t>C</w:t>
      </w:r>
      <w:r w:rsidRPr="00C224B3">
        <w:t>ost of any training associated with the purchase; and any other factors relevant to determining the best value in the context of a specific purchase.</w:t>
      </w:r>
    </w:p>
    <w:p w14:paraId="080B7860" w14:textId="77777777" w:rsidR="0068218A" w:rsidRPr="00C224B3" w:rsidRDefault="0068218A" w:rsidP="006879E6">
      <w:pPr>
        <w:pStyle w:val="ListBulleted"/>
        <w:numPr>
          <w:ilvl w:val="1"/>
          <w:numId w:val="56"/>
        </w:numPr>
      </w:pPr>
      <w:r w:rsidRPr="00C224B3">
        <w:t>Services and Payments that Exceed the MAPS Rates: SAs may not exceed established rates for medical treatment or complex cases without Medical Director approval.</w:t>
      </w:r>
    </w:p>
    <w:p w14:paraId="3B15BBD7" w14:textId="044EF457" w:rsidR="0068218A" w:rsidRPr="00C224B3" w:rsidRDefault="0068218A" w:rsidP="006879E6">
      <w:pPr>
        <w:pStyle w:val="ListBulleted"/>
        <w:numPr>
          <w:ilvl w:val="1"/>
          <w:numId w:val="56"/>
        </w:numPr>
      </w:pPr>
      <w:r w:rsidRPr="00C224B3">
        <w:t xml:space="preserve">Medical and Psychological Services: Medical and psychological services purchased for customers must use MAPS coding and </w:t>
      </w:r>
      <w:r w:rsidR="00733B8B">
        <w:t xml:space="preserve">rates </w:t>
      </w:r>
      <w:r w:rsidRPr="00C224B3">
        <w:t>in RHW. No other type of SA may be issued</w:t>
      </w:r>
      <w:r>
        <w:t>,</w:t>
      </w:r>
      <w:r w:rsidRPr="00C224B3">
        <w:t xml:space="preserve"> and maintenance is not allowable for medical goods and services.</w:t>
      </w:r>
    </w:p>
    <w:p w14:paraId="4BD3ED17" w14:textId="77777777" w:rsidR="0068218A" w:rsidRPr="0068218A" w:rsidRDefault="0068218A" w:rsidP="0068218A">
      <w:pPr>
        <w:pStyle w:val="ListBulleted"/>
        <w:rPr>
          <w:u w:val="single"/>
        </w:rPr>
      </w:pPr>
      <w:r w:rsidRPr="0068218A">
        <w:rPr>
          <w:u w:val="single"/>
        </w:rPr>
        <w:t>Prohibited Purchases/Expenditures</w:t>
      </w:r>
    </w:p>
    <w:p w14:paraId="1C3B57DC" w14:textId="77777777" w:rsidR="0068218A" w:rsidRPr="00C224B3" w:rsidRDefault="0068218A" w:rsidP="006879E6">
      <w:pPr>
        <w:pStyle w:val="ListBulleted"/>
        <w:numPr>
          <w:ilvl w:val="1"/>
          <w:numId w:val="57"/>
        </w:numPr>
      </w:pPr>
      <w:r w:rsidRPr="00C224B3">
        <w:t>Unallowable Customer Service Costs: TWC-VR will not pay for or purchase the following for customer use:</w:t>
      </w:r>
    </w:p>
    <w:p w14:paraId="2BA657DC" w14:textId="77777777" w:rsidR="0068218A" w:rsidRPr="00C224B3" w:rsidRDefault="0068218A" w:rsidP="0030049E">
      <w:pPr>
        <w:pStyle w:val="ListBulleted"/>
        <w:numPr>
          <w:ilvl w:val="2"/>
          <w:numId w:val="5"/>
        </w:numPr>
      </w:pPr>
      <w:r w:rsidRPr="00C224B3">
        <w:t>Bonding fees;</w:t>
      </w:r>
    </w:p>
    <w:p w14:paraId="27854A98" w14:textId="77777777" w:rsidR="0068218A" w:rsidRPr="00C224B3" w:rsidRDefault="0068218A" w:rsidP="0030049E">
      <w:pPr>
        <w:pStyle w:val="ListBulleted"/>
        <w:numPr>
          <w:ilvl w:val="2"/>
          <w:numId w:val="5"/>
        </w:numPr>
      </w:pPr>
      <w:r w:rsidRPr="00C224B3">
        <w:t>Buildings or other structures that require a fixed foundation and/or that are not movable;</w:t>
      </w:r>
    </w:p>
    <w:p w14:paraId="3F8B817C" w14:textId="77777777" w:rsidR="0068218A" w:rsidRPr="00C224B3" w:rsidRDefault="0068218A" w:rsidP="0030049E">
      <w:pPr>
        <w:pStyle w:val="ListBulleted"/>
        <w:numPr>
          <w:ilvl w:val="2"/>
          <w:numId w:val="5"/>
        </w:numPr>
      </w:pPr>
      <w:r w:rsidRPr="00C224B3">
        <w:t>Criminal or civil fines or penalties, including traffic tickets;</w:t>
      </w:r>
    </w:p>
    <w:p w14:paraId="65F34AD6" w14:textId="77777777" w:rsidR="0068218A" w:rsidRPr="00C224B3" w:rsidRDefault="0068218A" w:rsidP="0030049E">
      <w:pPr>
        <w:pStyle w:val="ListBulleted"/>
        <w:numPr>
          <w:ilvl w:val="2"/>
          <w:numId w:val="5"/>
        </w:numPr>
      </w:pPr>
      <w:r w:rsidRPr="00C224B3">
        <w:t>Deposits that are refundable, other than the initial one-time costs, such as a security deposit or charges for the initiation of utilities, that are required in order for an individual to relocate for a job placement or to participate in TWC-VR services;</w:t>
      </w:r>
    </w:p>
    <w:p w14:paraId="418AD6F3" w14:textId="77777777" w:rsidR="0068218A" w:rsidRPr="00C224B3" w:rsidRDefault="0068218A" w:rsidP="0030049E">
      <w:pPr>
        <w:pStyle w:val="ListBulleted"/>
        <w:numPr>
          <w:ilvl w:val="2"/>
          <w:numId w:val="5"/>
        </w:numPr>
      </w:pPr>
      <w:r w:rsidRPr="00C224B3">
        <w:t>Fees for registration of inventions, patents, trademarks, or copyrights;</w:t>
      </w:r>
    </w:p>
    <w:p w14:paraId="0664EEA4" w14:textId="77777777" w:rsidR="0068218A" w:rsidRPr="00C224B3" w:rsidRDefault="0068218A" w:rsidP="0030049E">
      <w:pPr>
        <w:pStyle w:val="ListBulleted"/>
        <w:numPr>
          <w:ilvl w:val="2"/>
          <w:numId w:val="5"/>
        </w:numPr>
      </w:pPr>
      <w:r w:rsidRPr="00C224B3">
        <w:t>Fees for use of a franchise name;</w:t>
      </w:r>
    </w:p>
    <w:p w14:paraId="6923AC31" w14:textId="77777777" w:rsidR="0068218A" w:rsidRPr="00C224B3" w:rsidRDefault="0068218A" w:rsidP="0030049E">
      <w:pPr>
        <w:pStyle w:val="ListBulleted"/>
        <w:numPr>
          <w:ilvl w:val="2"/>
          <w:numId w:val="5"/>
        </w:numPr>
      </w:pPr>
      <w:r w:rsidRPr="00C224B3">
        <w:lastRenderedPageBreak/>
        <w:t>Firearms of any kind or components of a firearm;</w:t>
      </w:r>
    </w:p>
    <w:p w14:paraId="1891D0DC" w14:textId="77777777" w:rsidR="0068218A" w:rsidRPr="00C224B3" w:rsidRDefault="0068218A" w:rsidP="0030049E">
      <w:pPr>
        <w:pStyle w:val="ListBulleted"/>
        <w:numPr>
          <w:ilvl w:val="2"/>
          <w:numId w:val="5"/>
        </w:numPr>
      </w:pPr>
      <w:r w:rsidRPr="00C224B3">
        <w:t>Insurance other than health insurance premiums for Work Experience Services, practicums, internships, and clinicals;</w:t>
      </w:r>
    </w:p>
    <w:p w14:paraId="2D064178" w14:textId="77777777" w:rsidR="0068218A" w:rsidRPr="00C224B3" w:rsidRDefault="0068218A" w:rsidP="0030049E">
      <w:pPr>
        <w:pStyle w:val="ListBulleted"/>
        <w:numPr>
          <w:ilvl w:val="2"/>
          <w:numId w:val="5"/>
        </w:numPr>
      </w:pPr>
      <w:r w:rsidRPr="00C224B3">
        <w:t>Land;</w:t>
      </w:r>
    </w:p>
    <w:p w14:paraId="640A5F40" w14:textId="77777777" w:rsidR="0068218A" w:rsidRPr="00C224B3" w:rsidRDefault="0068218A" w:rsidP="0030049E">
      <w:pPr>
        <w:pStyle w:val="ListBulleted"/>
        <w:numPr>
          <w:ilvl w:val="2"/>
          <w:numId w:val="5"/>
        </w:numPr>
      </w:pPr>
      <w:r w:rsidRPr="00C224B3">
        <w:t>Operating capital (e.g., for self-employment);</w:t>
      </w:r>
    </w:p>
    <w:p w14:paraId="7CF4FF1A" w14:textId="77777777" w:rsidR="0068218A" w:rsidRPr="00C224B3" w:rsidRDefault="0068218A" w:rsidP="0030049E">
      <w:pPr>
        <w:pStyle w:val="ListBulleted"/>
        <w:numPr>
          <w:ilvl w:val="2"/>
          <w:numId w:val="5"/>
        </w:numPr>
      </w:pPr>
      <w:r w:rsidRPr="00C224B3">
        <w:t>State or municipal tax assessments on occupations;</w:t>
      </w:r>
    </w:p>
    <w:p w14:paraId="5DEB7504" w14:textId="77777777" w:rsidR="0068218A" w:rsidRPr="00C224B3" w:rsidRDefault="0068218A" w:rsidP="0030049E">
      <w:pPr>
        <w:pStyle w:val="ListBulleted"/>
        <w:numPr>
          <w:ilvl w:val="2"/>
          <w:numId w:val="5"/>
        </w:numPr>
      </w:pPr>
      <w:r w:rsidRPr="00C224B3">
        <w:t>Vehicles to be used on public roads or highways that have not or will not be modified for accessibility and require a certificate of title or registration to be used on roads;</w:t>
      </w:r>
    </w:p>
    <w:p w14:paraId="2CF4FBF0" w14:textId="77777777" w:rsidR="0068218A" w:rsidRPr="00C224B3" w:rsidRDefault="0068218A" w:rsidP="0030049E">
      <w:pPr>
        <w:pStyle w:val="ListBulleted"/>
        <w:numPr>
          <w:ilvl w:val="2"/>
          <w:numId w:val="5"/>
        </w:numPr>
      </w:pPr>
      <w:r w:rsidRPr="00C224B3">
        <w:t>Trailers, boats, or other items that require a certificate of title or registration to be used on public roads, highways, or waterways;</w:t>
      </w:r>
    </w:p>
    <w:p w14:paraId="4D71E5BA" w14:textId="77777777" w:rsidR="0068218A" w:rsidRPr="00C224B3" w:rsidRDefault="0068218A" w:rsidP="0030049E">
      <w:pPr>
        <w:pStyle w:val="ListBulleted"/>
        <w:numPr>
          <w:ilvl w:val="2"/>
          <w:numId w:val="5"/>
        </w:numPr>
      </w:pPr>
      <w:r w:rsidRPr="00C224B3">
        <w:t>Professional association or trade union dues, unless the purchase is justified as critical to the success of the customer's employment; and</w:t>
      </w:r>
    </w:p>
    <w:p w14:paraId="2586EB9C" w14:textId="77777777" w:rsidR="0068218A" w:rsidRPr="00C224B3" w:rsidRDefault="0068218A" w:rsidP="0030049E">
      <w:pPr>
        <w:pStyle w:val="ListBulleted"/>
        <w:numPr>
          <w:ilvl w:val="2"/>
          <w:numId w:val="5"/>
        </w:numPr>
      </w:pPr>
      <w:r w:rsidRPr="00C224B3">
        <w:t>Organizations that financially support a lobbyist.</w:t>
      </w:r>
    </w:p>
    <w:p w14:paraId="44098DBF" w14:textId="77777777" w:rsidR="0068218A" w:rsidRPr="00C224B3" w:rsidRDefault="0068218A" w:rsidP="006879E6">
      <w:pPr>
        <w:pStyle w:val="ListBulleted"/>
        <w:numPr>
          <w:ilvl w:val="1"/>
          <w:numId w:val="58"/>
        </w:numPr>
      </w:pPr>
      <w:r w:rsidRPr="00C224B3">
        <w:t>Restricted Service Costs – Food for TWC-VR Customers</w:t>
      </w:r>
      <w:r>
        <w:t xml:space="preserve"> attending Group Skill Trainings:</w:t>
      </w:r>
    </w:p>
    <w:p w14:paraId="3D8FBC91" w14:textId="77777777" w:rsidR="0068218A" w:rsidRPr="00C224B3" w:rsidRDefault="0068218A" w:rsidP="0030049E">
      <w:pPr>
        <w:pStyle w:val="ListBulleted"/>
        <w:numPr>
          <w:ilvl w:val="2"/>
          <w:numId w:val="5"/>
        </w:numPr>
      </w:pPr>
      <w:r w:rsidRPr="00C224B3">
        <w:t xml:space="preserve">Food may not be purchased to feed customers unless the training is scheduled to exceed five hours, not including the meal </w:t>
      </w:r>
      <w:proofErr w:type="gramStart"/>
      <w:r w:rsidRPr="00C224B3">
        <w:t>hour</w:t>
      </w:r>
      <w:proofErr w:type="gramEnd"/>
      <w:r w:rsidRPr="00C224B3">
        <w:t>. Customer training should not be planned over a meal period with the intent of purchasing food. Meals should be purchased only when doing so will allow customers to continue their training activities during the meal or will support completion of the training in less time.</w:t>
      </w:r>
    </w:p>
    <w:p w14:paraId="4E41DAE5" w14:textId="77777777" w:rsidR="0068218A" w:rsidRPr="00C224B3" w:rsidRDefault="0068218A" w:rsidP="0030049E">
      <w:pPr>
        <w:pStyle w:val="ListBulleted"/>
        <w:numPr>
          <w:ilvl w:val="2"/>
          <w:numId w:val="5"/>
        </w:numPr>
      </w:pPr>
      <w:r w:rsidRPr="00C224B3">
        <w:t xml:space="preserve">Food purchases must be only for customers, must not be an excessive quantity or variety, and must be a reasonable cost. The cost per meal should be as economical as possible and must not exceed $15 per customer. When a training spans a full day or multiple days, the daily cost per customer for food must not exceed $51. </w:t>
      </w:r>
    </w:p>
    <w:p w14:paraId="4F776353" w14:textId="77777777" w:rsidR="0068218A" w:rsidRPr="00C224B3" w:rsidRDefault="0068218A" w:rsidP="0030049E">
      <w:pPr>
        <w:pStyle w:val="ListBulleted"/>
        <w:numPr>
          <w:ilvl w:val="2"/>
          <w:numId w:val="5"/>
        </w:numPr>
      </w:pPr>
      <w:r w:rsidRPr="002E6847">
        <w:t>Food</w:t>
      </w:r>
      <w:r w:rsidRPr="00C224B3">
        <w:t xml:space="preserve"> may not be purchased </w:t>
      </w:r>
      <w:r>
        <w:t>for</w:t>
      </w:r>
      <w:r w:rsidRPr="00C224B3">
        <w:t xml:space="preserve"> TWC-VR staff, individuals from partner organizations, or family members, with some exceptions. </w:t>
      </w:r>
    </w:p>
    <w:p w14:paraId="322A42B7" w14:textId="77777777" w:rsidR="0068218A" w:rsidRPr="00C224B3" w:rsidRDefault="0068218A" w:rsidP="0030049E">
      <w:pPr>
        <w:pStyle w:val="ListBulleted"/>
        <w:numPr>
          <w:ilvl w:val="2"/>
          <w:numId w:val="5"/>
        </w:numPr>
      </w:pPr>
      <w:r w:rsidRPr="00C224B3">
        <w:t>For Pre-ETS expenditures, food is only allowable when the student is TWC-VR eligible with an IPE in place and when it directly supports participation in a Pre-ETS activity.</w:t>
      </w:r>
    </w:p>
    <w:p w14:paraId="1A4E3EF9" w14:textId="77777777" w:rsidR="0068218A" w:rsidRPr="00C224B3" w:rsidRDefault="0068218A" w:rsidP="006879E6">
      <w:pPr>
        <w:pStyle w:val="ListBulleted"/>
        <w:numPr>
          <w:ilvl w:val="1"/>
          <w:numId w:val="59"/>
        </w:numPr>
      </w:pPr>
      <w:r w:rsidRPr="00C224B3">
        <w:lastRenderedPageBreak/>
        <w:t>Restricted Services Costs – Food for Potentially Eligible Customers: Food is not an allowable expense for potentially eligible customers.</w:t>
      </w:r>
    </w:p>
    <w:p w14:paraId="46D29DCA" w14:textId="77777777" w:rsidR="0068218A" w:rsidRPr="00C224B3" w:rsidRDefault="0068218A" w:rsidP="006879E6">
      <w:pPr>
        <w:pStyle w:val="ListBulleted"/>
        <w:numPr>
          <w:ilvl w:val="1"/>
          <w:numId w:val="59"/>
        </w:numPr>
      </w:pPr>
      <w:r w:rsidRPr="00C224B3">
        <w:t>Sales Taxes: When purchasing goods from providers in other states, out-of-state sales tax must not be paid when—</w:t>
      </w:r>
    </w:p>
    <w:p w14:paraId="18FC253A" w14:textId="77777777" w:rsidR="0068218A" w:rsidRPr="00C224B3" w:rsidRDefault="0068218A" w:rsidP="0030049E">
      <w:pPr>
        <w:pStyle w:val="ListBulleted"/>
        <w:numPr>
          <w:ilvl w:val="2"/>
          <w:numId w:val="5"/>
        </w:numPr>
      </w:pPr>
      <w:r w:rsidRPr="00C224B3">
        <w:t>The Free-on-Board (FOB) Destination for services is specified on the SA; and</w:t>
      </w:r>
    </w:p>
    <w:p w14:paraId="1C2CE98E" w14:textId="77777777" w:rsidR="0068218A" w:rsidRPr="00C224B3" w:rsidRDefault="0068218A" w:rsidP="0030049E">
      <w:pPr>
        <w:pStyle w:val="ListBulleted"/>
        <w:numPr>
          <w:ilvl w:val="2"/>
          <w:numId w:val="5"/>
        </w:numPr>
      </w:pPr>
      <w:r w:rsidRPr="00C224B3">
        <w:t>Delivery is to a Texas address</w:t>
      </w:r>
      <w:r>
        <w:t>.</w:t>
      </w:r>
    </w:p>
    <w:p w14:paraId="0208AB01" w14:textId="77777777" w:rsidR="0068218A" w:rsidRPr="00C224B3" w:rsidRDefault="0068218A" w:rsidP="006879E6">
      <w:pPr>
        <w:pStyle w:val="ListBulleted"/>
        <w:numPr>
          <w:ilvl w:val="1"/>
          <w:numId w:val="60"/>
        </w:numPr>
      </w:pPr>
      <w:r w:rsidRPr="00C224B3">
        <w:t xml:space="preserve">Late Fees: TWC-VR does not pay late fees that are directly invoiced by the provider. If a provider bills for a late payment fee, TWC-VR will not pay the fee and reduces amount from the invoice total for authorized payment. </w:t>
      </w:r>
    </w:p>
    <w:p w14:paraId="2195049B" w14:textId="77777777" w:rsidR="0068218A" w:rsidRDefault="0068218A" w:rsidP="006879E6">
      <w:pPr>
        <w:pStyle w:val="ListBulleted"/>
        <w:numPr>
          <w:ilvl w:val="1"/>
          <w:numId w:val="60"/>
        </w:numPr>
      </w:pPr>
      <w:r w:rsidRPr="00C224B3">
        <w:t xml:space="preserve">Fees: Fees greater than the contracted fee are not allowed, no exceptions. </w:t>
      </w:r>
    </w:p>
    <w:p w14:paraId="472D747E" w14:textId="640053AB" w:rsidR="00307262" w:rsidRDefault="00307262" w:rsidP="006879E6">
      <w:pPr>
        <w:pStyle w:val="ListBulleted"/>
        <w:numPr>
          <w:ilvl w:val="1"/>
          <w:numId w:val="60"/>
        </w:numPr>
      </w:pPr>
      <w:r>
        <w:t>Reimbursement: TWC-VR does not reimburse funds paid by</w:t>
      </w:r>
      <w:r w:rsidR="00192CEF">
        <w:t xml:space="preserve"> a customer,</w:t>
      </w:r>
      <w:r>
        <w:t xml:space="preserve"> individual or organization for a good or service that was not authorized by TWC-VR prior to purchase.</w:t>
      </w:r>
    </w:p>
    <w:p w14:paraId="0D97BBEA" w14:textId="22603513" w:rsidR="00DC0853" w:rsidRDefault="00DC0853" w:rsidP="00DC0853">
      <w:pPr>
        <w:pStyle w:val="ListBulleted"/>
        <w:numPr>
          <w:ilvl w:val="0"/>
          <w:numId w:val="0"/>
        </w:numPr>
      </w:pPr>
      <w:r>
        <w:t>…</w:t>
      </w:r>
    </w:p>
    <w:p w14:paraId="0F073F18" w14:textId="286BECEA" w:rsidR="00B57794" w:rsidRPr="00C9580A" w:rsidRDefault="00B57794" w:rsidP="00B57794">
      <w:pPr>
        <w:pStyle w:val="Heading3"/>
        <w:numPr>
          <w:ilvl w:val="0"/>
          <w:numId w:val="0"/>
        </w:numPr>
        <w:ind w:left="360" w:hanging="360"/>
      </w:pPr>
      <w:r>
        <w:t>C.</w:t>
      </w:r>
      <w:r w:rsidR="00A66B11">
        <w:t xml:space="preserve"> </w:t>
      </w:r>
      <w:r>
        <w:t xml:space="preserve">Purchasing Documentation Requirements </w:t>
      </w:r>
    </w:p>
    <w:p w14:paraId="240C3232" w14:textId="27C3BFF1" w:rsidR="00B57794" w:rsidRPr="0093483F" w:rsidRDefault="00B57794" w:rsidP="00B57794">
      <w:pPr>
        <w:pStyle w:val="ListBulleted"/>
      </w:pPr>
      <w:r w:rsidRPr="63F9C61F">
        <w:rPr>
          <w:u w:val="single"/>
        </w:rPr>
        <w:t>Establishing a Vendor in the RHW System</w:t>
      </w:r>
      <w:r>
        <w:t xml:space="preserve">: If the service provider, customer, or individual is not already established as a provider, TWC-VR staff send the </w:t>
      </w:r>
      <w:r w:rsidRPr="63F9C61F">
        <w:rPr>
          <w:i/>
          <w:iCs/>
        </w:rPr>
        <w:t>TWC Substitute W9 and Direct Deposit Form</w:t>
      </w:r>
      <w:r>
        <w:t xml:space="preserve"> </w:t>
      </w:r>
      <w:r w:rsidRPr="63F9C61F">
        <w:rPr>
          <w:i/>
          <w:iCs/>
        </w:rPr>
        <w:t>(</w:t>
      </w:r>
      <w:del w:id="22" w:author="Caillouet,Shelly" w:date="2026-02-09T16:04:00Z">
        <w:r w:rsidRPr="63F9C61F" w:rsidDel="00B57794">
          <w:rPr>
            <w:i/>
            <w:iCs/>
          </w:rPr>
          <w:delText>VR</w:delText>
        </w:r>
      </w:del>
      <w:ins w:id="23" w:author="Caillouet,Shelly" w:date="2026-02-09T16:04:00Z">
        <w:r w:rsidR="409AA0E8" w:rsidRPr="63F9C61F">
          <w:rPr>
            <w:i/>
            <w:iCs/>
          </w:rPr>
          <w:t>TWC</w:t>
        </w:r>
      </w:ins>
      <w:r w:rsidRPr="63F9C61F">
        <w:rPr>
          <w:i/>
          <w:iCs/>
        </w:rPr>
        <w:t>1020)</w:t>
      </w:r>
      <w:r>
        <w:t xml:space="preserve"> with instructions to the potential vendor for its completion, to gather information required to establish the provider as a vendor with the State of Texas. For maintenance payments to customers, customer information must be entered into RHW as a vendor when a single maintenance payment will equal or exceed $400. TWC-VR staff provides customers with the </w:t>
      </w:r>
      <w:r w:rsidRPr="63F9C61F">
        <w:rPr>
          <w:i/>
          <w:iCs/>
        </w:rPr>
        <w:t>Customer or Parent/Guardian Information and Direct Deposit Form</w:t>
      </w:r>
      <w:r>
        <w:t xml:space="preserve"> </w:t>
      </w:r>
      <w:r w:rsidRPr="63F9C61F">
        <w:rPr>
          <w:i/>
          <w:iCs/>
        </w:rPr>
        <w:t>(</w:t>
      </w:r>
      <w:del w:id="24" w:author="Caillouet,Shelly" w:date="2026-02-23T16:03:00Z" w16du:dateUtc="2026-02-23T22:03:00Z">
        <w:r w:rsidRPr="63F9C61F" w:rsidDel="000001FC">
          <w:rPr>
            <w:i/>
            <w:iCs/>
          </w:rPr>
          <w:delText>VR</w:delText>
        </w:r>
      </w:del>
      <w:ins w:id="25" w:author="Caillouet,Shelly" w:date="2026-02-23T16:03:00Z" w16du:dateUtc="2026-02-23T22:03:00Z">
        <w:r w:rsidR="000001FC">
          <w:rPr>
            <w:i/>
            <w:iCs/>
          </w:rPr>
          <w:t>TWC</w:t>
        </w:r>
      </w:ins>
      <w:r w:rsidRPr="63F9C61F">
        <w:rPr>
          <w:i/>
          <w:iCs/>
        </w:rPr>
        <w:t>1021)</w:t>
      </w:r>
      <w:r>
        <w:t xml:space="preserve"> with </w:t>
      </w:r>
      <w:proofErr w:type="gramStart"/>
      <w:r>
        <w:t>the instructions</w:t>
      </w:r>
      <w:proofErr w:type="gramEnd"/>
      <w:r>
        <w:t>; and the customer (or parent or guardian) returns the completed form to the TWC-VR staff member. TWC-VR RHW Provider Services act as a clearinghouse for RHW vendor-related information and requests and will route all forms or inquiries to the appropriate office.</w:t>
      </w:r>
    </w:p>
    <w:p w14:paraId="02EE5DAB" w14:textId="77777777" w:rsidR="00B57794" w:rsidRDefault="00B57794" w:rsidP="00B57794">
      <w:pPr>
        <w:pStyle w:val="ListBulleted"/>
      </w:pPr>
      <w:r w:rsidRPr="00D83F0B">
        <w:rPr>
          <w:u w:val="single"/>
        </w:rPr>
        <w:t>Service Authorization</w:t>
      </w:r>
      <w:r w:rsidRPr="00C9580A">
        <w:t>:</w:t>
      </w:r>
      <w:r w:rsidRPr="0093483F">
        <w:t xml:space="preserve"> Prior to the creation of a service </w:t>
      </w:r>
      <w:r>
        <w:t>record</w:t>
      </w:r>
      <w:r w:rsidRPr="0093483F">
        <w:t xml:space="preserve">, the VR Counselor </w:t>
      </w:r>
      <w:r>
        <w:t xml:space="preserve">must </w:t>
      </w:r>
      <w:r w:rsidRPr="0093483F">
        <w:t>document the need for and type of purchase in a service justification case note</w:t>
      </w:r>
      <w:r>
        <w:t xml:space="preserve"> (if prior to </w:t>
      </w:r>
      <w:r w:rsidRPr="0093483F">
        <w:t xml:space="preserve">an IPE or </w:t>
      </w:r>
      <w:r>
        <w:t>potentially eligible), Trial Work Plan (TWP), TWP amendment,</w:t>
      </w:r>
      <w:r w:rsidRPr="0093483F">
        <w:t xml:space="preserve"> an IPE, or an IPE amendment. When the initial SA is generated, TWC-VR staff must include a copy in the customer's virtual case file</w:t>
      </w:r>
      <w:r>
        <w:t>.</w:t>
      </w:r>
      <w:r w:rsidRPr="0093483F">
        <w:t xml:space="preserve"> If the SA is changed while it is still open, the revised SA must be filed in the customer's virtual case file. A copy of the revised SA must also be sent to the provider. </w:t>
      </w:r>
    </w:p>
    <w:p w14:paraId="0D8C10C3" w14:textId="77777777" w:rsidR="00B57794" w:rsidRPr="0093483F" w:rsidRDefault="00B57794" w:rsidP="00B57794">
      <w:pPr>
        <w:pStyle w:val="ListBulleted"/>
      </w:pPr>
      <w:r w:rsidRPr="00D83F0B">
        <w:rPr>
          <w:u w:val="single"/>
        </w:rPr>
        <w:lastRenderedPageBreak/>
        <w:t>Competitive Bids</w:t>
      </w:r>
      <w:r w:rsidRPr="00C9580A">
        <w:t>:</w:t>
      </w:r>
      <w:r w:rsidRPr="0093483F">
        <w:t xml:space="preserve"> Bids must be documented in a purchasing case note as cost comparisons in </w:t>
      </w:r>
      <w:proofErr w:type="gramStart"/>
      <w:r w:rsidRPr="0093483F">
        <w:t>a RHW</w:t>
      </w:r>
      <w:proofErr w:type="gramEnd"/>
      <w:r w:rsidRPr="0093483F">
        <w:t xml:space="preserve"> case note and must include the following:</w:t>
      </w:r>
    </w:p>
    <w:p w14:paraId="516BBFB0" w14:textId="77777777" w:rsidR="00B57794" w:rsidRPr="0093483F" w:rsidRDefault="00B57794" w:rsidP="00B57794">
      <w:pPr>
        <w:pStyle w:val="ListBulleted"/>
        <w:numPr>
          <w:ilvl w:val="1"/>
          <w:numId w:val="5"/>
        </w:numPr>
      </w:pPr>
      <w:r w:rsidRPr="0093483F">
        <w:t xml:space="preserve">Name, address, and phone number of the providers contacted; and </w:t>
      </w:r>
    </w:p>
    <w:p w14:paraId="2DA5B248" w14:textId="77777777" w:rsidR="00B57794" w:rsidRDefault="00B57794" w:rsidP="00B57794">
      <w:pPr>
        <w:pStyle w:val="ListBulleted"/>
        <w:numPr>
          <w:ilvl w:val="1"/>
          <w:numId w:val="5"/>
        </w:numPr>
      </w:pPr>
      <w:r w:rsidRPr="0093483F">
        <w:t>Details of the responses from providers, such as brand, make, model, description of good or service, and the prices quoted</w:t>
      </w:r>
      <w:r>
        <w:t>.</w:t>
      </w:r>
    </w:p>
    <w:p w14:paraId="48B54AD9" w14:textId="77777777" w:rsidR="00B57794" w:rsidRPr="0093483F" w:rsidRDefault="00B57794" w:rsidP="00B57794">
      <w:pPr>
        <w:pStyle w:val="ListBulleted"/>
        <w:numPr>
          <w:ilvl w:val="0"/>
          <w:numId w:val="0"/>
        </w:numPr>
        <w:ind w:left="720"/>
      </w:pPr>
      <w:r w:rsidRPr="0093483F">
        <w:t>Lack of cost estimates from providers must be documented as "no bid."</w:t>
      </w:r>
    </w:p>
    <w:p w14:paraId="6E0546BD" w14:textId="77777777" w:rsidR="00B57794" w:rsidRPr="0093483F" w:rsidRDefault="00B57794" w:rsidP="00B57794">
      <w:pPr>
        <w:pStyle w:val="ListBulleted"/>
      </w:pPr>
      <w:r w:rsidRPr="00D83F0B">
        <w:rPr>
          <w:u w:val="single"/>
        </w:rPr>
        <w:t>Proprietary or Sole Source</w:t>
      </w:r>
      <w:r w:rsidRPr="0093483F">
        <w:t xml:space="preserve">: When a proprietary or sole source justification is used, the case file must contain a complete and approved </w:t>
      </w:r>
      <w:r w:rsidRPr="0093483F">
        <w:rPr>
          <w:i/>
        </w:rPr>
        <w:t>Proprietary Purchase Justification form (VR1322)</w:t>
      </w:r>
      <w:r w:rsidRPr="0093483F">
        <w:t>.</w:t>
      </w:r>
    </w:p>
    <w:p w14:paraId="5B77ADAE" w14:textId="77777777" w:rsidR="00B57794" w:rsidRPr="00544425" w:rsidRDefault="00B57794" w:rsidP="00B57794">
      <w:pPr>
        <w:pStyle w:val="ListBulleted"/>
      </w:pPr>
      <w:r w:rsidRPr="00544425">
        <w:rPr>
          <w:u w:val="single"/>
        </w:rPr>
        <w:t>Contract Modification</w:t>
      </w:r>
      <w:r w:rsidRPr="00544425">
        <w:t>: Services or goods outlined in the VR-SFP manual or in a contract exhibit can be modified to meet a customer's individual needs. Before any changes are made to the service definition, procedures, required outcomes for payment, or deliverables, a VR3472, Contracted Service Modification Request, must be completed and approved by the Director of the Vocational Rehabilitation Division, or their designated authority.</w:t>
      </w:r>
    </w:p>
    <w:p w14:paraId="194ED124" w14:textId="77777777" w:rsidR="00B57794" w:rsidRPr="00544425" w:rsidRDefault="00B57794" w:rsidP="00B57794">
      <w:pPr>
        <w:pStyle w:val="ListBulleted"/>
        <w:numPr>
          <w:ilvl w:val="0"/>
          <w:numId w:val="0"/>
        </w:numPr>
        <w:tabs>
          <w:tab w:val="left" w:pos="1530"/>
        </w:tabs>
        <w:ind w:left="720" w:hanging="360"/>
      </w:pPr>
      <w:r>
        <w:tab/>
      </w:r>
      <w:r w:rsidRPr="00544425">
        <w:t>Procedure for Contract Modifications:</w:t>
      </w:r>
    </w:p>
    <w:p w14:paraId="7FBA1F40" w14:textId="77777777" w:rsidR="00B57794" w:rsidRPr="00544425" w:rsidRDefault="00B57794" w:rsidP="00B57794">
      <w:pPr>
        <w:pStyle w:val="ListBulleted"/>
        <w:numPr>
          <w:ilvl w:val="0"/>
          <w:numId w:val="27"/>
        </w:numPr>
        <w:tabs>
          <w:tab w:val="left" w:pos="1530"/>
        </w:tabs>
        <w:ind w:left="1440"/>
      </w:pPr>
      <w:r w:rsidRPr="00544425">
        <w:t>If a contractor requests a service modification, the VR counselor determines whether to submit the request for review.</w:t>
      </w:r>
    </w:p>
    <w:p w14:paraId="224DDDE7" w14:textId="77777777" w:rsidR="00B57794" w:rsidRPr="00544425" w:rsidRDefault="00B57794" w:rsidP="00B57794">
      <w:pPr>
        <w:pStyle w:val="ListBulleted"/>
        <w:numPr>
          <w:ilvl w:val="0"/>
          <w:numId w:val="27"/>
        </w:numPr>
        <w:tabs>
          <w:tab w:val="left" w:pos="1530"/>
        </w:tabs>
        <w:ind w:left="1440"/>
      </w:pPr>
      <w:r w:rsidRPr="00544425">
        <w:t>The VR counselor initiates a VR3472 form when a contract modification is required, gathering necessary information and the contractor's signature.</w:t>
      </w:r>
    </w:p>
    <w:p w14:paraId="20469FF1" w14:textId="77777777" w:rsidR="00B57794" w:rsidRPr="00544425" w:rsidRDefault="00B57794" w:rsidP="00B57794">
      <w:pPr>
        <w:pStyle w:val="ListBulleted"/>
        <w:numPr>
          <w:ilvl w:val="0"/>
          <w:numId w:val="27"/>
        </w:numPr>
        <w:tabs>
          <w:tab w:val="left" w:pos="1530"/>
        </w:tabs>
        <w:ind w:left="1440"/>
      </w:pPr>
      <w:r w:rsidRPr="00544425">
        <w:t>Contracted service modifications are valid and effective </w:t>
      </w:r>
      <w:r w:rsidRPr="00544425">
        <w:rPr>
          <w:i/>
          <w:iCs/>
        </w:rPr>
        <w:t>only</w:t>
      </w:r>
      <w:r w:rsidRPr="00544425">
        <w:t> after approval by the Director of the Vocational Rehabilitation Division or their delegated signature authority.</w:t>
      </w:r>
    </w:p>
    <w:p w14:paraId="50729CCB" w14:textId="77777777" w:rsidR="00B57794" w:rsidRPr="0093483F" w:rsidRDefault="00B57794" w:rsidP="00B57794">
      <w:pPr>
        <w:pStyle w:val="ListBulleted"/>
      </w:pPr>
      <w:r w:rsidRPr="00D83F0B">
        <w:rPr>
          <w:u w:val="single"/>
        </w:rPr>
        <w:t xml:space="preserve">After-the-Fact </w:t>
      </w:r>
      <w:r>
        <w:rPr>
          <w:u w:val="single"/>
        </w:rPr>
        <w:t xml:space="preserve">and Replacement </w:t>
      </w:r>
      <w:r w:rsidRPr="00D83F0B">
        <w:rPr>
          <w:u w:val="single"/>
        </w:rPr>
        <w:t>Service Authorization</w:t>
      </w:r>
      <w:r>
        <w:rPr>
          <w:u w:val="single"/>
        </w:rPr>
        <w:t>s</w:t>
      </w:r>
      <w:r w:rsidRPr="00C9580A">
        <w:t>:</w:t>
      </w:r>
      <w:r w:rsidRPr="0093483F">
        <w:t xml:space="preserve"> For ATF SAs and Replacement SA</w:t>
      </w:r>
      <w:r>
        <w:t>s</w:t>
      </w:r>
      <w:r w:rsidRPr="0093483F">
        <w:t>, documentation of the request must include the following:</w:t>
      </w:r>
    </w:p>
    <w:p w14:paraId="57F5F315" w14:textId="77777777" w:rsidR="00B57794" w:rsidRPr="0093483F" w:rsidRDefault="00B57794" w:rsidP="00B57794">
      <w:pPr>
        <w:pStyle w:val="ListBulleted"/>
        <w:numPr>
          <w:ilvl w:val="1"/>
          <w:numId w:val="5"/>
        </w:numPr>
      </w:pPr>
      <w:r w:rsidRPr="0093483F">
        <w:t>The request (specific good or service, provider, and anticipated dates of service);</w:t>
      </w:r>
    </w:p>
    <w:p w14:paraId="117B5695" w14:textId="77777777" w:rsidR="00B57794" w:rsidRPr="0093483F" w:rsidRDefault="00B57794" w:rsidP="00B57794">
      <w:pPr>
        <w:pStyle w:val="ListBulleted"/>
        <w:numPr>
          <w:ilvl w:val="1"/>
          <w:numId w:val="5"/>
        </w:numPr>
      </w:pPr>
      <w:r w:rsidRPr="0093483F">
        <w:t>Original SA number (for Replacement SAs);</w:t>
      </w:r>
    </w:p>
    <w:p w14:paraId="43B53F76" w14:textId="77777777" w:rsidR="00B57794" w:rsidRPr="0093483F" w:rsidRDefault="00B57794" w:rsidP="00B57794">
      <w:pPr>
        <w:pStyle w:val="ListBulleted"/>
        <w:numPr>
          <w:ilvl w:val="1"/>
          <w:numId w:val="5"/>
        </w:numPr>
      </w:pPr>
      <w:r w:rsidRPr="0093483F">
        <w:t>Justification and circumstances supporting the request; and</w:t>
      </w:r>
    </w:p>
    <w:p w14:paraId="1B506796" w14:textId="77777777" w:rsidR="00B57794" w:rsidRPr="0093483F" w:rsidRDefault="00B57794" w:rsidP="00B57794">
      <w:pPr>
        <w:pStyle w:val="ListBulleted"/>
        <w:numPr>
          <w:ilvl w:val="1"/>
          <w:numId w:val="5"/>
        </w:numPr>
      </w:pPr>
      <w:r w:rsidRPr="0093483F">
        <w:t>Name and job title of requester.</w:t>
      </w:r>
    </w:p>
    <w:p w14:paraId="76A2B789" w14:textId="77777777" w:rsidR="00B57794" w:rsidRPr="0093483F" w:rsidRDefault="00B57794" w:rsidP="00B57794">
      <w:pPr>
        <w:pStyle w:val="ListBulleted"/>
        <w:numPr>
          <w:ilvl w:val="0"/>
          <w:numId w:val="0"/>
        </w:numPr>
        <w:ind w:left="720"/>
      </w:pPr>
      <w:r w:rsidRPr="0093483F">
        <w:t xml:space="preserve">For the </w:t>
      </w:r>
      <w:r>
        <w:t>a</w:t>
      </w:r>
      <w:r w:rsidRPr="0093483F">
        <w:t xml:space="preserve">pproval or denial of </w:t>
      </w:r>
      <w:proofErr w:type="gramStart"/>
      <w:r w:rsidRPr="0093483F">
        <w:t>the ATF</w:t>
      </w:r>
      <w:proofErr w:type="gramEnd"/>
      <w:r w:rsidRPr="0093483F">
        <w:t xml:space="preserve"> SA, </w:t>
      </w:r>
      <w:r>
        <w:t xml:space="preserve">RHW </w:t>
      </w:r>
      <w:r w:rsidRPr="0093483F">
        <w:t>documentation must include the following:</w:t>
      </w:r>
    </w:p>
    <w:p w14:paraId="5B67FF00" w14:textId="77777777" w:rsidR="00B57794" w:rsidRPr="0093483F" w:rsidRDefault="00B57794" w:rsidP="00B57794">
      <w:pPr>
        <w:pStyle w:val="ListBulleted"/>
        <w:numPr>
          <w:ilvl w:val="1"/>
          <w:numId w:val="5"/>
        </w:numPr>
      </w:pPr>
      <w:r w:rsidRPr="0093483F">
        <w:lastRenderedPageBreak/>
        <w:t xml:space="preserve">Parameters of the approval or denial (specific </w:t>
      </w:r>
      <w:proofErr w:type="gramStart"/>
      <w:r w:rsidRPr="0093483F">
        <w:t>good</w:t>
      </w:r>
      <w:proofErr w:type="gramEnd"/>
      <w:r w:rsidRPr="0093483F">
        <w:t xml:space="preserve"> or service, provider, and, when applicable, the date range of the approval); </w:t>
      </w:r>
    </w:p>
    <w:p w14:paraId="3FAE8322" w14:textId="77777777" w:rsidR="00B57794" w:rsidRPr="0093483F" w:rsidRDefault="00B57794" w:rsidP="00B57794">
      <w:pPr>
        <w:pStyle w:val="ListBulleted"/>
        <w:numPr>
          <w:ilvl w:val="1"/>
          <w:numId w:val="5"/>
        </w:numPr>
      </w:pPr>
      <w:r w:rsidRPr="0093483F">
        <w:t xml:space="preserve">Type of review completed in </w:t>
      </w:r>
      <w:proofErr w:type="spellStart"/>
      <w:r w:rsidRPr="0093483F">
        <w:t>TxROCS</w:t>
      </w:r>
      <w:proofErr w:type="spellEnd"/>
      <w:r w:rsidRPr="0093483F">
        <w:t xml:space="preserve"> (if applicable); and </w:t>
      </w:r>
    </w:p>
    <w:p w14:paraId="24E98AEA" w14:textId="77777777" w:rsidR="00B57794" w:rsidRPr="0093483F" w:rsidRDefault="00B57794" w:rsidP="00B57794">
      <w:pPr>
        <w:pStyle w:val="ListBulleted"/>
        <w:numPr>
          <w:ilvl w:val="1"/>
          <w:numId w:val="5"/>
        </w:numPr>
      </w:pPr>
      <w:r w:rsidRPr="0093483F">
        <w:t>Name and job title of TWC-VR staff making decision.</w:t>
      </w:r>
    </w:p>
    <w:p w14:paraId="2E830B80" w14:textId="77777777" w:rsidR="00B57794" w:rsidRPr="0093483F" w:rsidRDefault="00B57794" w:rsidP="00B57794">
      <w:pPr>
        <w:pStyle w:val="ListBulleted"/>
      </w:pPr>
      <w:r w:rsidRPr="00D83F0B">
        <w:rPr>
          <w:u w:val="single"/>
        </w:rPr>
        <w:t>Service Authorization Closure</w:t>
      </w:r>
      <w:r w:rsidRPr="00C9580A">
        <w:t>:</w:t>
      </w:r>
      <w:r w:rsidRPr="0093483F">
        <w:t xml:space="preserve"> When an SA is closed because the service is no longer authorized, TWC-VR staff members must</w:t>
      </w:r>
      <w:r>
        <w:t xml:space="preserve"> notify the provider no later than the same business day the SA is closed and</w:t>
      </w:r>
      <w:r w:rsidRPr="0093483F">
        <w:t xml:space="preserve"> document the notification to the provider in a case note in RHW.</w:t>
      </w:r>
      <w:r>
        <w:t xml:space="preserve"> </w:t>
      </w:r>
    </w:p>
    <w:p w14:paraId="745CF4D4" w14:textId="77777777" w:rsidR="00B57794" w:rsidRPr="0093483F" w:rsidRDefault="00B57794" w:rsidP="00B57794">
      <w:pPr>
        <w:pStyle w:val="ListBulleted"/>
      </w:pPr>
      <w:r w:rsidRPr="00D83F0B">
        <w:rPr>
          <w:u w:val="single"/>
        </w:rPr>
        <w:t>Customer Purchases</w:t>
      </w:r>
      <w:r w:rsidRPr="00C9580A">
        <w:t>:</w:t>
      </w:r>
      <w:r w:rsidRPr="0093483F">
        <w:t xml:space="preserve"> All documents that support the purchase of goods and services for a customer must be entered into RHW and filed in the customer's virtual case file prior to the obligation of TWC-VR funds. </w:t>
      </w:r>
    </w:p>
    <w:p w14:paraId="2D296639" w14:textId="4D43FF75" w:rsidR="00B57794" w:rsidRPr="0093483F" w:rsidRDefault="00B57794" w:rsidP="00B57794">
      <w:pPr>
        <w:pStyle w:val="ListBulleted"/>
      </w:pPr>
      <w:r w:rsidRPr="00D83F0B">
        <w:rPr>
          <w:u w:val="single"/>
        </w:rPr>
        <w:t>Purchasing</w:t>
      </w:r>
      <w:r w:rsidRPr="00C9580A">
        <w:t>:</w:t>
      </w:r>
      <w:r w:rsidRPr="00226E11">
        <w:t xml:space="preserve"> </w:t>
      </w:r>
      <w:r w:rsidRPr="0093483F">
        <w:t xml:space="preserve">All documents related to the purchasing process must be kept in the customer's virtual case file. </w:t>
      </w:r>
      <w:r>
        <w:rPr>
          <w:rStyle w:val="ui-provider"/>
        </w:rPr>
        <w:t xml:space="preserve">When received via US mail or other hard </w:t>
      </w:r>
      <w:proofErr w:type="gramStart"/>
      <w:r>
        <w:rPr>
          <w:rStyle w:val="ui-provider"/>
        </w:rPr>
        <w:t>copy means</w:t>
      </w:r>
      <w:proofErr w:type="gramEnd"/>
      <w:r>
        <w:rPr>
          <w:rStyle w:val="ui-provider"/>
        </w:rPr>
        <w:t>, documents must be date stamped based on the day received in the TWC-VR office</w:t>
      </w:r>
      <w:r w:rsidR="00A66B11">
        <w:rPr>
          <w:rStyle w:val="ui-provider"/>
        </w:rPr>
        <w:t xml:space="preserve"> </w:t>
      </w:r>
      <w:ins w:id="26" w:author="Caillouet,Shelly" w:date="2026-02-06T11:37:00Z" w16du:dateUtc="2026-02-06T17:37:00Z">
        <w:r w:rsidR="00A66B11">
          <w:rPr>
            <w:rStyle w:val="ui-provider"/>
          </w:rPr>
          <w:t>identified on the SA</w:t>
        </w:r>
      </w:ins>
      <w:r>
        <w:rPr>
          <w:rStyle w:val="ui-provider"/>
        </w:rPr>
        <w:t xml:space="preserve">. If sent by email or fax, the receipt date is the date the email or fax was sent. </w:t>
      </w:r>
      <w:r w:rsidRPr="0093483F">
        <w:t>This includes the following:</w:t>
      </w:r>
    </w:p>
    <w:p w14:paraId="28436044" w14:textId="77777777" w:rsidR="00B57794" w:rsidRPr="0093483F" w:rsidRDefault="00B57794" w:rsidP="00C12F45">
      <w:pPr>
        <w:pStyle w:val="ListBulleted"/>
        <w:numPr>
          <w:ilvl w:val="1"/>
          <w:numId w:val="61"/>
        </w:numPr>
      </w:pPr>
      <w:r w:rsidRPr="0093483F">
        <w:t>Bids</w:t>
      </w:r>
    </w:p>
    <w:p w14:paraId="3BD0D616" w14:textId="77777777" w:rsidR="00B57794" w:rsidRPr="0093483F" w:rsidRDefault="00B57794" w:rsidP="00C12F45">
      <w:pPr>
        <w:pStyle w:val="ListBulleted"/>
        <w:numPr>
          <w:ilvl w:val="1"/>
          <w:numId w:val="61"/>
        </w:numPr>
      </w:pPr>
      <w:r w:rsidRPr="0093483F">
        <w:t>Invoices</w:t>
      </w:r>
    </w:p>
    <w:p w14:paraId="55B1EB79" w14:textId="77777777" w:rsidR="00B57794" w:rsidRPr="0093483F" w:rsidRDefault="00B57794" w:rsidP="00C12F45">
      <w:pPr>
        <w:pStyle w:val="ListBulleted"/>
        <w:numPr>
          <w:ilvl w:val="1"/>
          <w:numId w:val="61"/>
        </w:numPr>
      </w:pPr>
      <w:r w:rsidRPr="0093483F">
        <w:t>Reports</w:t>
      </w:r>
    </w:p>
    <w:p w14:paraId="25A366DD" w14:textId="77777777" w:rsidR="00B57794" w:rsidRPr="0093483F" w:rsidRDefault="00B57794" w:rsidP="00C12F45">
      <w:pPr>
        <w:pStyle w:val="ListBulleted"/>
        <w:numPr>
          <w:ilvl w:val="1"/>
          <w:numId w:val="61"/>
        </w:numPr>
      </w:pPr>
      <w:r w:rsidRPr="0093483F">
        <w:t>Printed SAs</w:t>
      </w:r>
    </w:p>
    <w:p w14:paraId="08ADE0F7" w14:textId="77777777" w:rsidR="00B57794" w:rsidRPr="0093483F" w:rsidRDefault="00B57794" w:rsidP="00C12F45">
      <w:pPr>
        <w:pStyle w:val="ListBulleted"/>
        <w:numPr>
          <w:ilvl w:val="1"/>
          <w:numId w:val="61"/>
        </w:numPr>
      </w:pPr>
      <w:r w:rsidRPr="0093483F">
        <w:t>Related correspondence.</w:t>
      </w:r>
    </w:p>
    <w:p w14:paraId="119C0B72" w14:textId="77777777" w:rsidR="00B57794" w:rsidRPr="00226E11" w:rsidRDefault="00B57794" w:rsidP="00B57794">
      <w:pPr>
        <w:pStyle w:val="ListBulleted"/>
      </w:pPr>
      <w:r w:rsidRPr="00D83F0B">
        <w:rPr>
          <w:u w:val="single"/>
        </w:rPr>
        <w:t>Verifying Receipt of Goods or Services</w:t>
      </w:r>
      <w:r w:rsidRPr="00C9580A">
        <w:t>:</w:t>
      </w:r>
      <w:r w:rsidRPr="00226E11">
        <w:t xml:space="preserve"> </w:t>
      </w:r>
    </w:p>
    <w:p w14:paraId="2A6FD23B" w14:textId="77777777" w:rsidR="00B57794" w:rsidRDefault="00B57794" w:rsidP="00C12F45">
      <w:pPr>
        <w:pStyle w:val="ListBulleted"/>
        <w:numPr>
          <w:ilvl w:val="1"/>
          <w:numId w:val="62"/>
        </w:numPr>
      </w:pPr>
      <w:r w:rsidRPr="00C9580A">
        <w:t>Customer Verification</w:t>
      </w:r>
      <w:r w:rsidRPr="00226E11">
        <w:t xml:space="preserve">: When TWC-VR staff obtain written documentation that includes the customer's signature verifying that the service </w:t>
      </w:r>
      <w:proofErr w:type="gramStart"/>
      <w:r w:rsidRPr="00226E11">
        <w:t>met</w:t>
      </w:r>
      <w:proofErr w:type="gramEnd"/>
      <w:r w:rsidRPr="00226E11">
        <w:t xml:space="preserve"> the specifications, the documentation is filed in the customer's virtual case file.</w:t>
      </w:r>
    </w:p>
    <w:p w14:paraId="1EE0F5A8" w14:textId="77777777" w:rsidR="00B57794" w:rsidRPr="00226E11" w:rsidRDefault="00B57794" w:rsidP="00C12F45">
      <w:pPr>
        <w:pStyle w:val="ListBulleted"/>
        <w:numPr>
          <w:ilvl w:val="2"/>
          <w:numId w:val="62"/>
        </w:numPr>
      </w:pPr>
      <w:r w:rsidRPr="00226E11">
        <w:t xml:space="preserve">If 20 days have passed since receipt of the vendor invoice and attempts to contact the customer have been unsuccessful, TWC-VR staff must continue to contact the customer and record in case notes each attempt of contact. </w:t>
      </w:r>
    </w:p>
    <w:p w14:paraId="373CE7CD" w14:textId="77777777" w:rsidR="00B57794" w:rsidRPr="00226E11" w:rsidRDefault="00B57794" w:rsidP="00C12F45">
      <w:pPr>
        <w:pStyle w:val="ListBulleted"/>
        <w:numPr>
          <w:ilvl w:val="1"/>
          <w:numId w:val="62"/>
        </w:numPr>
      </w:pPr>
      <w:r w:rsidRPr="00C9580A">
        <w:t>Provider Reports</w:t>
      </w:r>
      <w:r w:rsidRPr="00226E11">
        <w:t xml:space="preserve">: For SAs that require a provider to submit a report, the date of receipt of the service, invoice, and report must each be entered in RHW within seven calendar days </w:t>
      </w:r>
      <w:proofErr w:type="gramStart"/>
      <w:r w:rsidRPr="00226E11">
        <w:t>of when</w:t>
      </w:r>
      <w:proofErr w:type="gramEnd"/>
      <w:r w:rsidRPr="00226E11">
        <w:t xml:space="preserve"> each occurred to ensure data accuracy and integrity in the payment authorization process.</w:t>
      </w:r>
    </w:p>
    <w:p w14:paraId="36957F09" w14:textId="77777777" w:rsidR="00B57794" w:rsidRDefault="00B57794" w:rsidP="00B57794">
      <w:pPr>
        <w:pStyle w:val="ListBulleted"/>
        <w:numPr>
          <w:ilvl w:val="0"/>
          <w:numId w:val="40"/>
        </w:numPr>
      </w:pPr>
      <w:r w:rsidRPr="00C9580A">
        <w:lastRenderedPageBreak/>
        <w:t>Inaccurate Invoices</w:t>
      </w:r>
      <w:r w:rsidRPr="00226E11">
        <w:t xml:space="preserve">: </w:t>
      </w:r>
      <w:r w:rsidRPr="0093483F">
        <w:t xml:space="preserve">When an invoice is inaccurate or incomplete, TWC-VR staff </w:t>
      </w:r>
      <w:r>
        <w:t xml:space="preserve">must </w:t>
      </w:r>
      <w:r w:rsidRPr="0093483F">
        <w:t xml:space="preserve">return it to the vendor for correction by completing a </w:t>
      </w:r>
      <w:r w:rsidRPr="00900469">
        <w:rPr>
          <w:i/>
        </w:rPr>
        <w:t xml:space="preserve">Vendor Invoice Additional Data Request (VR3460) within 21 days of receiving the invoice. </w:t>
      </w:r>
      <w:r w:rsidRPr="0093483F">
        <w:t>If RHW is not available</w:t>
      </w:r>
      <w:r>
        <w:t xml:space="preserve">, </w:t>
      </w:r>
      <w:r w:rsidRPr="0093483F">
        <w:t xml:space="preserve">the </w:t>
      </w:r>
      <w:r w:rsidRPr="00900469">
        <w:rPr>
          <w:i/>
          <w:iCs/>
        </w:rPr>
        <w:t>VR3460</w:t>
      </w:r>
      <w:r w:rsidRPr="0093483F">
        <w:t xml:space="preserve"> is completed outside of RHW</w:t>
      </w:r>
      <w:r>
        <w:t>.</w:t>
      </w:r>
    </w:p>
    <w:p w14:paraId="203754C3" w14:textId="77777777" w:rsidR="00B57794" w:rsidRDefault="00B57794" w:rsidP="00B57794">
      <w:pPr>
        <w:pStyle w:val="ListBulleted"/>
        <w:numPr>
          <w:ilvl w:val="1"/>
          <w:numId w:val="39"/>
        </w:numPr>
      </w:pPr>
      <w:r w:rsidRPr="0093483F">
        <w:t xml:space="preserve">TWC-VR staff </w:t>
      </w:r>
      <w:r>
        <w:t xml:space="preserve">must </w:t>
      </w:r>
      <w:r w:rsidRPr="0093483F">
        <w:t xml:space="preserve">create </w:t>
      </w:r>
      <w:proofErr w:type="gramStart"/>
      <w:r w:rsidRPr="0093483F">
        <w:t>a RHW</w:t>
      </w:r>
      <w:proofErr w:type="gramEnd"/>
      <w:r w:rsidRPr="0093483F">
        <w:t xml:space="preserve"> case note to document the date on which the invoice was returned to the vendor and the reason for the return and return the invoice and the </w:t>
      </w:r>
      <w:r w:rsidRPr="00900469">
        <w:rPr>
          <w:i/>
          <w:iCs/>
        </w:rPr>
        <w:t>VR3460</w:t>
      </w:r>
      <w:r w:rsidRPr="0093483F">
        <w:t xml:space="preserve"> to the vendor</w:t>
      </w:r>
      <w:r>
        <w:t>.</w:t>
      </w:r>
      <w:r w:rsidRPr="0093483F">
        <w:t xml:space="preserve"> </w:t>
      </w:r>
    </w:p>
    <w:p w14:paraId="05BB842D" w14:textId="77777777" w:rsidR="00B57794" w:rsidRDefault="00B57794" w:rsidP="00B57794">
      <w:pPr>
        <w:pStyle w:val="ListBulleted"/>
        <w:numPr>
          <w:ilvl w:val="1"/>
          <w:numId w:val="39"/>
        </w:numPr>
      </w:pPr>
      <w:r w:rsidRPr="0093483F">
        <w:t xml:space="preserve">If the vendor's billing statement for advance payment situations lacks the required invoice data but all other information is accurate and complete, the </w:t>
      </w:r>
      <w:r>
        <w:t>TWC-</w:t>
      </w:r>
      <w:r w:rsidRPr="0093483F">
        <w:t xml:space="preserve">VR staff member </w:t>
      </w:r>
      <w:r>
        <w:t xml:space="preserve">must </w:t>
      </w:r>
      <w:r w:rsidRPr="0093483F">
        <w:t>attach the RHW system-generated billing cover sheet for the SA to the billing statement. The combination of the two documents serves as the invoice for the associated SA.</w:t>
      </w:r>
    </w:p>
    <w:p w14:paraId="05CA62D5" w14:textId="77777777" w:rsidR="00B57794" w:rsidRPr="0093483F" w:rsidRDefault="00B57794" w:rsidP="00B57794">
      <w:pPr>
        <w:pStyle w:val="ListBulleted"/>
        <w:numPr>
          <w:ilvl w:val="2"/>
          <w:numId w:val="5"/>
        </w:numPr>
      </w:pPr>
      <w:r>
        <w:t>Once the corrected invoice is received, date-stamp the corrected invoice and use it as the invoice of record for the purchase. This date is the invoice received date in RHW.</w:t>
      </w:r>
    </w:p>
    <w:p w14:paraId="403E267F" w14:textId="77777777" w:rsidR="00B57794" w:rsidRPr="0093483F" w:rsidRDefault="00B57794" w:rsidP="000C673B">
      <w:pPr>
        <w:pStyle w:val="ListBulleted"/>
        <w:numPr>
          <w:ilvl w:val="1"/>
          <w:numId w:val="63"/>
        </w:numPr>
      </w:pPr>
      <w:r w:rsidRPr="0093483F">
        <w:t>Serial Numbers: For technology goods with a serial number</w:t>
      </w:r>
      <w:r>
        <w:t xml:space="preserve"> only</w:t>
      </w:r>
      <w:r w:rsidRPr="0093483F">
        <w:t>, the serial number must be recorded as part of the documentation when delivery of a good is accepted.</w:t>
      </w:r>
    </w:p>
    <w:p w14:paraId="2B57BAEB" w14:textId="0F2DBCA5" w:rsidR="00B57794" w:rsidRDefault="00B57794" w:rsidP="00B57794">
      <w:pPr>
        <w:pStyle w:val="ListBulleted"/>
      </w:pPr>
      <w:r w:rsidRPr="00D83F0B">
        <w:rPr>
          <w:u w:val="single"/>
        </w:rPr>
        <w:t>Refunds</w:t>
      </w:r>
      <w:r w:rsidRPr="00C9580A">
        <w:t>:</w:t>
      </w:r>
      <w:r w:rsidRPr="00226E11">
        <w:t xml:space="preserve"> When receiving a refund from a vendor or customer, the Unit Purchasing Specialist or the designated TWC-VR staff member for that office location must document the receipt of the check or money order in a case note in RHW; complete the </w:t>
      </w:r>
      <w:r w:rsidRPr="00FE3666">
        <w:rPr>
          <w:i/>
        </w:rPr>
        <w:t>Cash Receipts and Returned Warrants Log (TWC1770)</w:t>
      </w:r>
      <w:r w:rsidRPr="00FE3666">
        <w:t xml:space="preserve"> and the </w:t>
      </w:r>
      <w:r w:rsidRPr="00FE3666">
        <w:rPr>
          <w:i/>
        </w:rPr>
        <w:t>Cash Receipts Transmittal Memo (TWC1769)</w:t>
      </w:r>
      <w:r w:rsidRPr="00FE3666">
        <w:t>, and</w:t>
      </w:r>
      <w:r w:rsidRPr="00226E11">
        <w:t xml:space="preserve"> e-mail the documents to TWC Revenue and Trust Management (</w:t>
      </w:r>
      <w:r>
        <w:t>RTM.Revenue.accounting@twc.texas.gov</w:t>
      </w:r>
      <w:r w:rsidRPr="00226E11">
        <w:t xml:space="preserve">) within two business days after the mail was opened or the check was hand delivered. The original check or money order must be mailed with the </w:t>
      </w:r>
      <w:r w:rsidRPr="00F021B4">
        <w:rPr>
          <w:i/>
          <w:iCs/>
        </w:rPr>
        <w:t>TWC1769</w:t>
      </w:r>
      <w:r>
        <w:t>.</w:t>
      </w:r>
    </w:p>
    <w:p w14:paraId="5FAA889C" w14:textId="77777777" w:rsidR="00B57794" w:rsidRPr="009526C6" w:rsidRDefault="00B57794" w:rsidP="00B57794">
      <w:pPr>
        <w:pStyle w:val="ListBulleted"/>
        <w:numPr>
          <w:ilvl w:val="0"/>
          <w:numId w:val="0"/>
        </w:numPr>
        <w:ind w:left="720"/>
      </w:pPr>
      <w:r>
        <w:t>If sending by regular mail (U.S. Postal Service), send to:</w:t>
      </w:r>
    </w:p>
    <w:p w14:paraId="2C47AE34" w14:textId="77777777" w:rsidR="00B57794" w:rsidRDefault="00B57794" w:rsidP="00B57794">
      <w:pPr>
        <w:pStyle w:val="ListBulleted"/>
        <w:numPr>
          <w:ilvl w:val="0"/>
          <w:numId w:val="0"/>
        </w:numPr>
        <w:ind w:left="1440"/>
      </w:pPr>
      <w:r w:rsidRPr="0093483F">
        <w:rPr>
          <w:b/>
        </w:rPr>
        <w:t>Texas Workforce Commission</w:t>
      </w:r>
      <w:r w:rsidRPr="0093483F">
        <w:rPr>
          <w:b/>
        </w:rPr>
        <w:br/>
      </w:r>
      <w:r w:rsidRPr="0093483F">
        <w:t>Revenue and Trust Management</w:t>
      </w:r>
      <w:r w:rsidRPr="0093483F">
        <w:br/>
        <w:t>PO Box 322</w:t>
      </w:r>
      <w:r w:rsidRPr="0093483F">
        <w:br/>
        <w:t>Austin, Texas 78767</w:t>
      </w:r>
    </w:p>
    <w:p w14:paraId="54F2B916" w14:textId="77777777" w:rsidR="00B57794" w:rsidRDefault="00B57794" w:rsidP="00B57794">
      <w:pPr>
        <w:pStyle w:val="ListBulleted"/>
        <w:numPr>
          <w:ilvl w:val="0"/>
          <w:numId w:val="0"/>
        </w:numPr>
        <w:spacing w:line="240" w:lineRule="auto"/>
        <w:ind w:left="720"/>
      </w:pPr>
      <w:r>
        <w:t xml:space="preserve">If sending by FedEx, send to: </w:t>
      </w:r>
    </w:p>
    <w:p w14:paraId="7EB363AB" w14:textId="77777777" w:rsidR="00B57794" w:rsidRPr="001B1C49" w:rsidRDefault="00B57794" w:rsidP="00B57794">
      <w:pPr>
        <w:pStyle w:val="ListBulleted"/>
        <w:numPr>
          <w:ilvl w:val="0"/>
          <w:numId w:val="0"/>
        </w:numPr>
        <w:spacing w:before="0" w:line="240" w:lineRule="auto"/>
        <w:ind w:left="1440"/>
        <w:rPr>
          <w:b/>
          <w:bCs/>
        </w:rPr>
      </w:pPr>
      <w:r w:rsidRPr="001B1C49">
        <w:rPr>
          <w:b/>
          <w:bCs/>
        </w:rPr>
        <w:t>Texas Workforce Commission</w:t>
      </w:r>
    </w:p>
    <w:p w14:paraId="43039FCA" w14:textId="77777777" w:rsidR="00B57794" w:rsidRDefault="00B57794" w:rsidP="00B57794">
      <w:pPr>
        <w:pStyle w:val="ListBulleted"/>
        <w:numPr>
          <w:ilvl w:val="0"/>
          <w:numId w:val="0"/>
        </w:numPr>
        <w:spacing w:before="0" w:line="240" w:lineRule="auto"/>
        <w:ind w:left="1440"/>
      </w:pPr>
      <w:r>
        <w:t>Revenue and Trust Management Room 446</w:t>
      </w:r>
    </w:p>
    <w:p w14:paraId="7D15EE35" w14:textId="77777777" w:rsidR="00B57794" w:rsidRDefault="00B57794" w:rsidP="00B57794">
      <w:pPr>
        <w:pStyle w:val="ListBulleted"/>
        <w:numPr>
          <w:ilvl w:val="0"/>
          <w:numId w:val="0"/>
        </w:numPr>
        <w:spacing w:before="0" w:line="240" w:lineRule="auto"/>
        <w:ind w:left="1440"/>
      </w:pPr>
      <w:r>
        <w:t>101 E 15</w:t>
      </w:r>
      <w:r w:rsidRPr="002B2376">
        <w:rPr>
          <w:vertAlign w:val="superscript"/>
        </w:rPr>
        <w:t>th</w:t>
      </w:r>
      <w:r>
        <w:t xml:space="preserve"> Street</w:t>
      </w:r>
    </w:p>
    <w:p w14:paraId="4D6061B0" w14:textId="77777777" w:rsidR="00B57794" w:rsidRDefault="00B57794" w:rsidP="00B57794">
      <w:pPr>
        <w:pStyle w:val="ListBulleted"/>
        <w:numPr>
          <w:ilvl w:val="0"/>
          <w:numId w:val="0"/>
        </w:numPr>
        <w:spacing w:before="0" w:line="240" w:lineRule="auto"/>
        <w:ind w:left="1440"/>
      </w:pPr>
      <w:r>
        <w:lastRenderedPageBreak/>
        <w:t>Austin, TX 78778</w:t>
      </w:r>
    </w:p>
    <w:p w14:paraId="6812C8BC" w14:textId="613BE926" w:rsidR="00B57794" w:rsidRPr="00C224B3" w:rsidRDefault="00B57794" w:rsidP="00DC0853">
      <w:pPr>
        <w:pStyle w:val="ListBulleted"/>
        <w:numPr>
          <w:ilvl w:val="0"/>
          <w:numId w:val="0"/>
        </w:numPr>
      </w:pPr>
      <w:r>
        <w:t>…</w:t>
      </w:r>
    </w:p>
    <w:p w14:paraId="32C67A5F" w14:textId="53C4940D" w:rsidR="00934027" w:rsidRDefault="00E13DCC" w:rsidP="00DF5CB7">
      <w:pPr>
        <w:pStyle w:val="Heading2"/>
      </w:pPr>
      <w:r>
        <w:t>REVIEW</w:t>
      </w:r>
    </w:p>
    <w:p w14:paraId="5EB73B5E" w14:textId="594CE7C5" w:rsidR="001901F0" w:rsidRDefault="001901F0" w:rsidP="00895186">
      <w:pPr>
        <w:rPr>
          <w:color w:val="C00000"/>
        </w:rPr>
      </w:pPr>
      <w:r>
        <w:t>T</w:t>
      </w:r>
      <w:r w:rsidRPr="00B464CD">
        <w:t>he Policy Team, or designee,</w:t>
      </w:r>
      <w:r>
        <w:t xml:space="preserve"> is responsible for reviewing this policy and these</w:t>
      </w:r>
      <w:r w:rsidRPr="00B464CD">
        <w:t xml:space="preserve"> </w:t>
      </w:r>
      <w:r>
        <w:t>procedures and will update the Document History log if necessary.</w:t>
      </w:r>
    </w:p>
    <w:tbl>
      <w:tblPr>
        <w:tblStyle w:val="TableGrid"/>
        <w:tblW w:w="0" w:type="auto"/>
        <w:tblInd w:w="-5" w:type="dxa"/>
        <w:tblLook w:val="04A0" w:firstRow="1" w:lastRow="0" w:firstColumn="1" w:lastColumn="0" w:noHBand="0" w:noVBand="1"/>
      </w:tblPr>
      <w:tblGrid>
        <w:gridCol w:w="1560"/>
        <w:gridCol w:w="1905"/>
        <w:gridCol w:w="5890"/>
      </w:tblGrid>
      <w:tr w:rsidR="003F349E" w:rsidRPr="00E25821" w14:paraId="7F608E68" w14:textId="77777777">
        <w:trPr>
          <w:tblHeader/>
        </w:trPr>
        <w:tc>
          <w:tcPr>
            <w:tcW w:w="1560" w:type="dxa"/>
            <w:shd w:val="clear" w:color="auto" w:fill="F0F4FA" w:themeFill="accent4"/>
          </w:tcPr>
          <w:p w14:paraId="3E81CF71" w14:textId="77777777" w:rsidR="003F349E" w:rsidRPr="00E25821" w:rsidRDefault="003F349E">
            <w:pPr>
              <w:pStyle w:val="THead"/>
            </w:pPr>
            <w:r w:rsidRPr="00E25821">
              <w:t>Date</w:t>
            </w:r>
          </w:p>
        </w:tc>
        <w:tc>
          <w:tcPr>
            <w:tcW w:w="1905" w:type="dxa"/>
            <w:shd w:val="clear" w:color="auto" w:fill="F0F4FA" w:themeFill="accent4"/>
          </w:tcPr>
          <w:p w14:paraId="1500088E" w14:textId="77777777" w:rsidR="003F349E" w:rsidRPr="00E25821" w:rsidRDefault="003F349E">
            <w:pPr>
              <w:pStyle w:val="THead"/>
            </w:pPr>
            <w:r w:rsidRPr="00E25821">
              <w:t>Type</w:t>
            </w:r>
          </w:p>
        </w:tc>
        <w:tc>
          <w:tcPr>
            <w:tcW w:w="5890" w:type="dxa"/>
            <w:shd w:val="clear" w:color="auto" w:fill="F0F4FA" w:themeFill="accent4"/>
          </w:tcPr>
          <w:p w14:paraId="3D54F5A5" w14:textId="77777777" w:rsidR="003F349E" w:rsidRPr="00E25821" w:rsidRDefault="003F349E">
            <w:pPr>
              <w:pStyle w:val="THead"/>
            </w:pPr>
            <w:r w:rsidRPr="00E25821">
              <w:t>Change Description</w:t>
            </w:r>
          </w:p>
        </w:tc>
      </w:tr>
      <w:tr w:rsidR="003F349E" w14:paraId="71E92581" w14:textId="77777777">
        <w:tc>
          <w:tcPr>
            <w:tcW w:w="1560" w:type="dxa"/>
          </w:tcPr>
          <w:p w14:paraId="36443952" w14:textId="4DCA5533" w:rsidR="003F349E" w:rsidRDefault="00580952">
            <w:pPr>
              <w:pStyle w:val="ListParagraph"/>
              <w:numPr>
                <w:ilvl w:val="0"/>
                <w:numId w:val="0"/>
              </w:numPr>
            </w:pPr>
            <w:r>
              <w:t>0</w:t>
            </w:r>
            <w:r w:rsidR="003F349E">
              <w:t>9/</w:t>
            </w:r>
            <w:r>
              <w:t>0</w:t>
            </w:r>
            <w:r w:rsidR="003F349E">
              <w:t>3/2024</w:t>
            </w:r>
          </w:p>
        </w:tc>
        <w:tc>
          <w:tcPr>
            <w:tcW w:w="1905" w:type="dxa"/>
          </w:tcPr>
          <w:p w14:paraId="7257DD45" w14:textId="77777777" w:rsidR="003F349E" w:rsidRDefault="003F349E">
            <w:pPr>
              <w:pStyle w:val="ListParagraph"/>
              <w:numPr>
                <w:ilvl w:val="0"/>
                <w:numId w:val="0"/>
              </w:numPr>
            </w:pPr>
            <w:r>
              <w:t>New</w:t>
            </w:r>
          </w:p>
        </w:tc>
        <w:tc>
          <w:tcPr>
            <w:tcW w:w="5890" w:type="dxa"/>
          </w:tcPr>
          <w:p w14:paraId="2FD0A225" w14:textId="77777777" w:rsidR="003F349E" w:rsidRDefault="003F349E">
            <w:pPr>
              <w:pStyle w:val="ListParagraph"/>
              <w:numPr>
                <w:ilvl w:val="0"/>
                <w:numId w:val="0"/>
              </w:numPr>
            </w:pPr>
            <w:r>
              <w:t>VRSM Policy and Procedure Rewrite</w:t>
            </w:r>
          </w:p>
        </w:tc>
      </w:tr>
      <w:tr w:rsidR="002E50B5" w14:paraId="5847119E" w14:textId="77777777">
        <w:tc>
          <w:tcPr>
            <w:tcW w:w="1560" w:type="dxa"/>
          </w:tcPr>
          <w:p w14:paraId="7A28279D" w14:textId="754D00EB" w:rsidR="002E50B5" w:rsidRDefault="00624E33">
            <w:pPr>
              <w:pStyle w:val="ListParagraph"/>
              <w:numPr>
                <w:ilvl w:val="0"/>
                <w:numId w:val="0"/>
              </w:numPr>
            </w:pPr>
            <w:r>
              <w:t>10/</w:t>
            </w:r>
            <w:r w:rsidR="00580952">
              <w:t>0</w:t>
            </w:r>
            <w:r>
              <w:t>8/2024</w:t>
            </w:r>
          </w:p>
        </w:tc>
        <w:tc>
          <w:tcPr>
            <w:tcW w:w="1905" w:type="dxa"/>
          </w:tcPr>
          <w:p w14:paraId="7184AE30" w14:textId="4221DEAC" w:rsidR="002E50B5" w:rsidRDefault="008F51FB">
            <w:pPr>
              <w:pStyle w:val="ListParagraph"/>
              <w:numPr>
                <w:ilvl w:val="0"/>
                <w:numId w:val="0"/>
              </w:numPr>
            </w:pPr>
            <w:r>
              <w:t>Revised</w:t>
            </w:r>
          </w:p>
        </w:tc>
        <w:tc>
          <w:tcPr>
            <w:tcW w:w="5890" w:type="dxa"/>
          </w:tcPr>
          <w:p w14:paraId="0A1B66E5" w14:textId="51252BA0" w:rsidR="002E50B5" w:rsidRDefault="008F51FB">
            <w:pPr>
              <w:pStyle w:val="ListParagraph"/>
              <w:numPr>
                <w:ilvl w:val="0"/>
                <w:numId w:val="0"/>
              </w:numPr>
            </w:pPr>
            <w:r>
              <w:t xml:space="preserve">Added address </w:t>
            </w:r>
            <w:r w:rsidR="009A023A">
              <w:t xml:space="preserve">to use </w:t>
            </w:r>
            <w:r w:rsidR="00771FFF">
              <w:t xml:space="preserve">when sending refunds </w:t>
            </w:r>
            <w:r w:rsidR="008F5241">
              <w:t>via</w:t>
            </w:r>
            <w:r w:rsidR="00771FFF">
              <w:t xml:space="preserve"> FedEx.</w:t>
            </w:r>
          </w:p>
        </w:tc>
      </w:tr>
      <w:tr w:rsidR="00C5553F" w14:paraId="2035949D" w14:textId="77777777">
        <w:tc>
          <w:tcPr>
            <w:tcW w:w="1560" w:type="dxa"/>
          </w:tcPr>
          <w:p w14:paraId="07600582" w14:textId="64420C37" w:rsidR="00C5553F" w:rsidRDefault="00C5553F">
            <w:pPr>
              <w:pStyle w:val="ListParagraph"/>
              <w:numPr>
                <w:ilvl w:val="0"/>
                <w:numId w:val="0"/>
              </w:numPr>
            </w:pPr>
            <w:r>
              <w:t>1</w:t>
            </w:r>
            <w:r w:rsidR="00D72AC2">
              <w:t>1/</w:t>
            </w:r>
            <w:r w:rsidR="00580952">
              <w:t>0</w:t>
            </w:r>
            <w:r w:rsidR="00D72AC2">
              <w:t>1</w:t>
            </w:r>
            <w:r>
              <w:t>/2024</w:t>
            </w:r>
          </w:p>
        </w:tc>
        <w:tc>
          <w:tcPr>
            <w:tcW w:w="1905" w:type="dxa"/>
          </w:tcPr>
          <w:p w14:paraId="09C002DA" w14:textId="31ED4C72" w:rsidR="00C5553F" w:rsidRDefault="00C5553F">
            <w:pPr>
              <w:pStyle w:val="ListParagraph"/>
              <w:numPr>
                <w:ilvl w:val="0"/>
                <w:numId w:val="0"/>
              </w:numPr>
            </w:pPr>
            <w:r>
              <w:t>Revised</w:t>
            </w:r>
          </w:p>
        </w:tc>
        <w:tc>
          <w:tcPr>
            <w:tcW w:w="5890" w:type="dxa"/>
          </w:tcPr>
          <w:p w14:paraId="263A28A2" w14:textId="7A33C8AF" w:rsidR="00C5553F" w:rsidRDefault="00C5553F">
            <w:pPr>
              <w:pStyle w:val="ListParagraph"/>
              <w:numPr>
                <w:ilvl w:val="0"/>
                <w:numId w:val="0"/>
              </w:numPr>
            </w:pPr>
            <w:r>
              <w:t xml:space="preserve">Added ‘trial work plan’ to requirements before </w:t>
            </w:r>
            <w:r w:rsidR="00D72AC2">
              <w:t xml:space="preserve">creating </w:t>
            </w:r>
            <w:r>
              <w:t xml:space="preserve">a service record authorizing a service. </w:t>
            </w:r>
          </w:p>
        </w:tc>
      </w:tr>
      <w:tr w:rsidR="00580952" w14:paraId="3CFC15AC" w14:textId="77777777">
        <w:tc>
          <w:tcPr>
            <w:tcW w:w="1560" w:type="dxa"/>
          </w:tcPr>
          <w:p w14:paraId="3B9B0DA1" w14:textId="1D244E7E" w:rsidR="00580952" w:rsidRDefault="00580952">
            <w:pPr>
              <w:pStyle w:val="ListParagraph"/>
              <w:numPr>
                <w:ilvl w:val="0"/>
                <w:numId w:val="0"/>
              </w:numPr>
            </w:pPr>
            <w:r>
              <w:t>07/01/2025</w:t>
            </w:r>
          </w:p>
        </w:tc>
        <w:tc>
          <w:tcPr>
            <w:tcW w:w="1905" w:type="dxa"/>
          </w:tcPr>
          <w:p w14:paraId="4666B62D" w14:textId="2E4A2AB1" w:rsidR="00580952" w:rsidRDefault="00580952">
            <w:pPr>
              <w:pStyle w:val="ListParagraph"/>
              <w:numPr>
                <w:ilvl w:val="0"/>
                <w:numId w:val="0"/>
              </w:numPr>
            </w:pPr>
            <w:r>
              <w:t>Revised</w:t>
            </w:r>
          </w:p>
        </w:tc>
        <w:tc>
          <w:tcPr>
            <w:tcW w:w="5890" w:type="dxa"/>
          </w:tcPr>
          <w:p w14:paraId="6D67AA45" w14:textId="6645860F" w:rsidR="00580952" w:rsidRDefault="00580952">
            <w:pPr>
              <w:pStyle w:val="ListParagraph"/>
              <w:numPr>
                <w:ilvl w:val="0"/>
                <w:numId w:val="0"/>
              </w:numPr>
            </w:pPr>
            <w:r>
              <w:t>Update</w:t>
            </w:r>
            <w:r w:rsidR="003B470D">
              <w:t>d several sections throughout chapter</w:t>
            </w:r>
          </w:p>
        </w:tc>
      </w:tr>
      <w:tr w:rsidR="00B44C3C" w14:paraId="159AD800" w14:textId="77777777">
        <w:tc>
          <w:tcPr>
            <w:tcW w:w="1560" w:type="dxa"/>
          </w:tcPr>
          <w:p w14:paraId="1B48055E" w14:textId="035B7AD3" w:rsidR="00B44C3C" w:rsidRDefault="00B44C3C">
            <w:pPr>
              <w:pStyle w:val="ListParagraph"/>
              <w:numPr>
                <w:ilvl w:val="0"/>
                <w:numId w:val="0"/>
              </w:numPr>
            </w:pPr>
            <w:r>
              <w:t>07/18/2025</w:t>
            </w:r>
          </w:p>
        </w:tc>
        <w:tc>
          <w:tcPr>
            <w:tcW w:w="1905" w:type="dxa"/>
          </w:tcPr>
          <w:p w14:paraId="3502983A" w14:textId="034E6B5E" w:rsidR="00B44C3C" w:rsidRDefault="00B44C3C">
            <w:pPr>
              <w:pStyle w:val="ListParagraph"/>
              <w:numPr>
                <w:ilvl w:val="0"/>
                <w:numId w:val="0"/>
              </w:numPr>
            </w:pPr>
            <w:r>
              <w:t>Revised</w:t>
            </w:r>
          </w:p>
        </w:tc>
        <w:tc>
          <w:tcPr>
            <w:tcW w:w="5890" w:type="dxa"/>
          </w:tcPr>
          <w:p w14:paraId="3F96C1F0" w14:textId="6FD1DF5A" w:rsidR="00B44C3C" w:rsidRDefault="00A61FDD">
            <w:pPr>
              <w:pStyle w:val="ListParagraph"/>
              <w:numPr>
                <w:ilvl w:val="0"/>
                <w:numId w:val="0"/>
              </w:numPr>
            </w:pPr>
            <w:r>
              <w:t>Updated</w:t>
            </w:r>
            <w:r w:rsidR="00730989">
              <w:t xml:space="preserve"> ATF Backdated SA to After</w:t>
            </w:r>
            <w:r w:rsidR="00984F39">
              <w:t>-</w:t>
            </w:r>
            <w:r w:rsidR="00730989">
              <w:t>the</w:t>
            </w:r>
            <w:r w:rsidR="00984F39">
              <w:t>-</w:t>
            </w:r>
            <w:r w:rsidR="00730989">
              <w:t xml:space="preserve">Fact SA and </w:t>
            </w:r>
            <w:r>
              <w:t xml:space="preserve">updated </w:t>
            </w:r>
            <w:r w:rsidR="00730989">
              <w:t>ATF Replacement SA to Replacement SA.</w:t>
            </w:r>
          </w:p>
        </w:tc>
      </w:tr>
      <w:tr w:rsidR="00EE63C9" w14:paraId="41B145C7" w14:textId="77777777">
        <w:tc>
          <w:tcPr>
            <w:tcW w:w="1560" w:type="dxa"/>
          </w:tcPr>
          <w:p w14:paraId="22F87279" w14:textId="33C49471" w:rsidR="00EE63C9" w:rsidRDefault="00EE63C9">
            <w:pPr>
              <w:pStyle w:val="ListParagraph"/>
              <w:numPr>
                <w:ilvl w:val="0"/>
                <w:numId w:val="0"/>
              </w:numPr>
            </w:pPr>
            <w:r>
              <w:t>10/20/2025</w:t>
            </w:r>
          </w:p>
        </w:tc>
        <w:tc>
          <w:tcPr>
            <w:tcW w:w="1905" w:type="dxa"/>
          </w:tcPr>
          <w:p w14:paraId="304C5F21" w14:textId="686F670E" w:rsidR="00EE63C9" w:rsidRDefault="00EE63C9">
            <w:pPr>
              <w:pStyle w:val="ListParagraph"/>
              <w:numPr>
                <w:ilvl w:val="0"/>
                <w:numId w:val="0"/>
              </w:numPr>
            </w:pPr>
            <w:r>
              <w:t>Revised</w:t>
            </w:r>
          </w:p>
        </w:tc>
        <w:tc>
          <w:tcPr>
            <w:tcW w:w="5890" w:type="dxa"/>
          </w:tcPr>
          <w:p w14:paraId="7CEA404A" w14:textId="3708334D" w:rsidR="00EE63C9" w:rsidRDefault="00EE63C9">
            <w:pPr>
              <w:pStyle w:val="ListParagraph"/>
              <w:numPr>
                <w:ilvl w:val="0"/>
                <w:numId w:val="0"/>
              </w:numPr>
            </w:pPr>
            <w:r w:rsidRPr="00EE63C9">
              <w:t>Updated approval level for ATF SAs to Deputy Director of Field Services Delivery, or designee</w:t>
            </w:r>
          </w:p>
        </w:tc>
      </w:tr>
      <w:tr w:rsidR="00173759" w14:paraId="06FE7A2D" w14:textId="77777777">
        <w:tc>
          <w:tcPr>
            <w:tcW w:w="1560" w:type="dxa"/>
          </w:tcPr>
          <w:p w14:paraId="593545A4" w14:textId="5ECC2A3F" w:rsidR="00173759" w:rsidRDefault="002B2376">
            <w:pPr>
              <w:pStyle w:val="ListParagraph"/>
              <w:numPr>
                <w:ilvl w:val="0"/>
                <w:numId w:val="0"/>
              </w:numPr>
            </w:pPr>
            <w:r>
              <w:t>12/05/2025</w:t>
            </w:r>
          </w:p>
        </w:tc>
        <w:tc>
          <w:tcPr>
            <w:tcW w:w="1905" w:type="dxa"/>
          </w:tcPr>
          <w:p w14:paraId="6BBD96FE" w14:textId="0239D847" w:rsidR="00173759" w:rsidRDefault="00173759">
            <w:pPr>
              <w:pStyle w:val="ListParagraph"/>
              <w:numPr>
                <w:ilvl w:val="0"/>
                <w:numId w:val="0"/>
              </w:numPr>
            </w:pPr>
            <w:r>
              <w:t xml:space="preserve">Revised </w:t>
            </w:r>
          </w:p>
        </w:tc>
        <w:tc>
          <w:tcPr>
            <w:tcW w:w="5890" w:type="dxa"/>
          </w:tcPr>
          <w:p w14:paraId="6356761F" w14:textId="42D68DE6" w:rsidR="00173759" w:rsidRPr="00EE63C9" w:rsidRDefault="00173759">
            <w:pPr>
              <w:pStyle w:val="ListParagraph"/>
              <w:numPr>
                <w:ilvl w:val="0"/>
                <w:numId w:val="0"/>
              </w:numPr>
            </w:pPr>
            <w:r>
              <w:t xml:space="preserve">Updated Revenue and Trust Management </w:t>
            </w:r>
            <w:r w:rsidR="00C52A6E">
              <w:t>email and physical address</w:t>
            </w:r>
          </w:p>
        </w:tc>
      </w:tr>
      <w:tr w:rsidR="00DC0853" w14:paraId="19FD07AC" w14:textId="77777777">
        <w:trPr>
          <w:ins w:id="27" w:author="Scott,Lavonia" w:date="2026-01-15T14:12:00Z"/>
        </w:trPr>
        <w:tc>
          <w:tcPr>
            <w:tcW w:w="1560" w:type="dxa"/>
          </w:tcPr>
          <w:p w14:paraId="4FFC369A" w14:textId="14AD1805" w:rsidR="00DC0853" w:rsidRDefault="00DC0853">
            <w:pPr>
              <w:pStyle w:val="ListParagraph"/>
              <w:numPr>
                <w:ilvl w:val="0"/>
                <w:numId w:val="0"/>
              </w:numPr>
              <w:rPr>
                <w:ins w:id="28" w:author="Scott,Lavonia" w:date="2026-01-15T14:12:00Z" w16du:dateUtc="2026-01-15T20:12:00Z"/>
              </w:rPr>
            </w:pPr>
            <w:ins w:id="29" w:author="Scott,Lavonia" w:date="2026-01-15T14:12:00Z" w16du:dateUtc="2026-01-15T20:12:00Z">
              <w:r>
                <w:t>03/0</w:t>
              </w:r>
            </w:ins>
            <w:ins w:id="30" w:author="Scott,Lavonia" w:date="2026-01-15T14:13:00Z" w16du:dateUtc="2026-01-15T20:13:00Z">
              <w:r>
                <w:t>2</w:t>
              </w:r>
            </w:ins>
            <w:ins w:id="31" w:author="Scott,Lavonia" w:date="2026-01-15T14:12:00Z" w16du:dateUtc="2026-01-15T20:12:00Z">
              <w:r>
                <w:t>/</w:t>
              </w:r>
            </w:ins>
            <w:ins w:id="32" w:author="Scott,Lavonia" w:date="2026-01-15T14:13:00Z" w16du:dateUtc="2026-01-15T20:13:00Z">
              <w:r>
                <w:t>2026</w:t>
              </w:r>
            </w:ins>
          </w:p>
        </w:tc>
        <w:tc>
          <w:tcPr>
            <w:tcW w:w="1905" w:type="dxa"/>
          </w:tcPr>
          <w:p w14:paraId="19C78186" w14:textId="168BB542" w:rsidR="00DC0853" w:rsidRDefault="00DC0853">
            <w:pPr>
              <w:pStyle w:val="ListParagraph"/>
              <w:numPr>
                <w:ilvl w:val="0"/>
                <w:numId w:val="0"/>
              </w:numPr>
              <w:rPr>
                <w:ins w:id="33" w:author="Scott,Lavonia" w:date="2026-01-15T14:12:00Z" w16du:dateUtc="2026-01-15T20:12:00Z"/>
              </w:rPr>
            </w:pPr>
            <w:ins w:id="34" w:author="Scott,Lavonia" w:date="2026-01-15T14:13:00Z" w16du:dateUtc="2026-01-15T20:13:00Z">
              <w:r>
                <w:t>Revised</w:t>
              </w:r>
            </w:ins>
          </w:p>
        </w:tc>
        <w:tc>
          <w:tcPr>
            <w:tcW w:w="5890" w:type="dxa"/>
          </w:tcPr>
          <w:p w14:paraId="15C0A169" w14:textId="64F64A41" w:rsidR="00DC0853" w:rsidRDefault="00DC0853">
            <w:pPr>
              <w:pStyle w:val="ListParagraph"/>
              <w:numPr>
                <w:ilvl w:val="0"/>
                <w:numId w:val="0"/>
              </w:numPr>
              <w:rPr>
                <w:ins w:id="35" w:author="Scott,Lavonia" w:date="2026-01-15T14:12:00Z" w16du:dateUtc="2026-01-15T20:12:00Z"/>
              </w:rPr>
            </w:pPr>
            <w:ins w:id="36" w:author="Scott,Lavonia" w:date="2026-01-15T14:14:00Z" w16du:dateUtc="2026-01-15T20:14:00Z">
              <w:r>
                <w:t>Updated to add guidance around when maintenance can be utilized</w:t>
              </w:r>
            </w:ins>
            <w:ins w:id="37" w:author="Caillouet,Shelly" w:date="2026-02-06T11:38:00Z" w16du:dateUtc="2026-02-06T17:38:00Z">
              <w:r w:rsidR="00A66B11">
                <w:t xml:space="preserve"> and clarified information</w:t>
              </w:r>
            </w:ins>
          </w:p>
        </w:tc>
      </w:tr>
    </w:tbl>
    <w:p w14:paraId="7F0F0BFA" w14:textId="77777777" w:rsidR="003F349E" w:rsidRPr="00E57035" w:rsidRDefault="003F349E" w:rsidP="00895186">
      <w:pPr>
        <w:rPr>
          <w:color w:val="C00000"/>
        </w:rPr>
      </w:pPr>
    </w:p>
    <w:sectPr w:rsidR="003F349E" w:rsidRPr="00E57035" w:rsidSect="00F82376">
      <w:headerReference w:type="default" r:id="rId21"/>
      <w:footerReference w:type="default" r:id="rId22"/>
      <w:pgSz w:w="12240" w:h="15840"/>
      <w:pgMar w:top="1080" w:right="1008" w:bottom="1166" w:left="1008" w:header="187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75268" w14:textId="77777777" w:rsidR="00D841D9" w:rsidRDefault="00D841D9" w:rsidP="00895186">
      <w:r>
        <w:separator/>
      </w:r>
    </w:p>
  </w:endnote>
  <w:endnote w:type="continuationSeparator" w:id="0">
    <w:p w14:paraId="5558D1FC" w14:textId="77777777" w:rsidR="00D841D9" w:rsidRDefault="00D841D9" w:rsidP="00895186">
      <w:r>
        <w:continuationSeparator/>
      </w:r>
    </w:p>
  </w:endnote>
  <w:endnote w:type="continuationNotice" w:id="1">
    <w:p w14:paraId="05AA548F" w14:textId="77777777" w:rsidR="00D841D9" w:rsidRDefault="00D841D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CF58B" w14:textId="31E65B3A" w:rsidR="00B24E6C" w:rsidRDefault="00EE61C8" w:rsidP="00895186">
    <w:pPr>
      <w:pStyle w:val="Footer"/>
    </w:pPr>
    <w:r>
      <w:rPr>
        <w:noProof/>
      </w:rPr>
      <mc:AlternateContent>
        <mc:Choice Requires="wps">
          <w:drawing>
            <wp:anchor distT="0" distB="0" distL="114300" distR="114300" simplePos="0" relativeHeight="251658242" behindDoc="0" locked="0" layoutInCell="1" allowOverlap="1" wp14:anchorId="00B0B3F3" wp14:editId="352D5D1A">
              <wp:simplePos x="0" y="0"/>
              <wp:positionH relativeFrom="column">
                <wp:posOffset>-375920</wp:posOffset>
              </wp:positionH>
              <wp:positionV relativeFrom="paragraph">
                <wp:posOffset>5080</wp:posOffset>
              </wp:positionV>
              <wp:extent cx="3958590" cy="488950"/>
              <wp:effectExtent l="0" t="0" r="0" b="6350"/>
              <wp:wrapSquare wrapText="bothSides"/>
              <wp:docPr id="6" name="Text Box 6"/>
              <wp:cNvGraphicFramePr/>
              <a:graphic xmlns:a="http://schemas.openxmlformats.org/drawingml/2006/main">
                <a:graphicData uri="http://schemas.microsoft.com/office/word/2010/wordprocessingShape">
                  <wps:wsp>
                    <wps:cNvSpPr txBox="1"/>
                    <wps:spPr>
                      <a:xfrm>
                        <a:off x="0" y="0"/>
                        <a:ext cx="3958590" cy="488950"/>
                      </a:xfrm>
                      <a:prstGeom prst="rect">
                        <a:avLst/>
                      </a:prstGeom>
                      <a:noFill/>
                      <a:ln w="6350">
                        <a:noFill/>
                      </a:ln>
                    </wps:spPr>
                    <wps:txbx>
                      <w:txbxContent>
                        <w:p w14:paraId="25686EF3" w14:textId="6A9B08C2" w:rsidR="00501E08" w:rsidRPr="00501E08" w:rsidRDefault="00EE61C8" w:rsidP="00895186">
                          <w:r>
                            <w:t>Part D, Chapter 3: Purchasing Goods and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0B0B3F3" id="_x0000_t202" coordsize="21600,21600" o:spt="202" path="m,l,21600r21600,l21600,xe">
              <v:stroke joinstyle="miter"/>
              <v:path gradientshapeok="t" o:connecttype="rect"/>
            </v:shapetype>
            <v:shape id="Text Box 6" o:spid="_x0000_s1026" type="#_x0000_t202" style="position:absolute;margin-left:-29.6pt;margin-top:.4pt;width:311.7pt;height:3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" filled="f" stroked="f" strokeweight=".5pt">
              <v:textbox>
                <w:txbxContent>
                  <w:p w14:paraId="25686EF3" w14:textId="6A9B08C2" w:rsidR="00501E08" w:rsidRPr="00501E08" w:rsidRDefault="00EE61C8" w:rsidP="00895186">
                    <w:r>
                      <w:t>Part D, Chapter 3: Purchasing Goods and Services</w:t>
                    </w:r>
                  </w:p>
                </w:txbxContent>
              </v:textbox>
              <w10:wrap type="square"/>
            </v:shape>
          </w:pict>
        </mc:Fallback>
      </mc:AlternateContent>
    </w:r>
    <w:r w:rsidR="00501E08" w:rsidRPr="005017F1">
      <w:rPr>
        <w:noProof/>
      </w:rPr>
      <mc:AlternateContent>
        <mc:Choice Requires="wps">
          <w:drawing>
            <wp:anchor distT="0" distB="0" distL="114300" distR="114300" simplePos="0" relativeHeight="251658243" behindDoc="0" locked="0" layoutInCell="1" allowOverlap="1" wp14:anchorId="07B428C2" wp14:editId="03B22F4C">
              <wp:simplePos x="0" y="0"/>
              <wp:positionH relativeFrom="page">
                <wp:posOffset>6657340</wp:posOffset>
              </wp:positionH>
              <wp:positionV relativeFrom="page">
                <wp:posOffset>9181465</wp:posOffset>
              </wp:positionV>
              <wp:extent cx="1126490" cy="880745"/>
              <wp:effectExtent l="0" t="0" r="0" b="0"/>
              <wp:wrapNone/>
              <wp:docPr id="4" name="Isosceles Tri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490" cy="880745"/>
                      </a:xfrm>
                      <a:prstGeom prst="triangle">
                        <a:avLst>
                          <a:gd name="adj" fmla="val 100000"/>
                        </a:avLst>
                      </a:prstGeom>
                      <a:solidFill>
                        <a:srgbClr val="222D69"/>
                      </a:solidFill>
                      <a:ln>
                        <a:noFill/>
                      </a:ln>
                    </wps:spPr>
                    <wps:txb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428C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7" type="#_x0000_t5" alt="&quot;&quot;" style="position:absolute;margin-left:524.2pt;margin-top:722.95pt;width:88.7pt;height:69.3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" adj="21600" fillcolor="#222d69" stroked="f">
              <v:textbox>
                <w:txbxContent>
                  <w:p w14:paraId="7FF76196" w14:textId="77777777" w:rsidR="00501E08" w:rsidRPr="00806125" w:rsidRDefault="00501E08" w:rsidP="00895186">
                    <w:r w:rsidRPr="00806125">
                      <w:rPr>
                        <w:rFonts w:asciiTheme="minorHAnsi" w:eastAsiaTheme="minorEastAsia" w:hAnsiTheme="minorHAnsi" w:cs="Times New Roman"/>
                      </w:rPr>
                      <w:fldChar w:fldCharType="begin"/>
                    </w:r>
                    <w:r w:rsidRPr="00806125">
                      <w:instrText xml:space="preserve"> PAGE    \* MERGEFORMAT </w:instrText>
                    </w:r>
                    <w:r w:rsidRPr="00806125">
                      <w:rPr>
                        <w:rFonts w:asciiTheme="minorHAnsi" w:eastAsiaTheme="minorEastAsia" w:hAnsiTheme="minorHAnsi" w:cs="Times New Roman"/>
                      </w:rPr>
                      <w:fldChar w:fldCharType="separate"/>
                    </w:r>
                    <w:r w:rsidRPr="00806125">
                      <w:rPr>
                        <w:rFonts w:asciiTheme="majorHAnsi" w:eastAsiaTheme="majorEastAsia" w:hAnsiTheme="majorHAnsi" w:cstheme="majorBidi"/>
                        <w:noProof/>
                        <w:color w:val="FFFFFF" w:themeColor="background1"/>
                      </w:rPr>
                      <w:t>2</w:t>
                    </w:r>
                    <w:r w:rsidRPr="00806125">
                      <w:rPr>
                        <w:rFonts w:asciiTheme="majorHAnsi" w:eastAsiaTheme="majorEastAsia" w:hAnsiTheme="majorHAnsi" w:cstheme="majorBidi"/>
                        <w:noProof/>
                        <w:color w:val="FFFFFF" w:themeColor="background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F45B2" w14:textId="77777777" w:rsidR="00D841D9" w:rsidRDefault="00D841D9" w:rsidP="00895186">
      <w:r>
        <w:separator/>
      </w:r>
    </w:p>
  </w:footnote>
  <w:footnote w:type="continuationSeparator" w:id="0">
    <w:p w14:paraId="1A3EC8A2" w14:textId="77777777" w:rsidR="00D841D9" w:rsidRDefault="00D841D9" w:rsidP="00895186">
      <w:r>
        <w:continuationSeparator/>
      </w:r>
    </w:p>
  </w:footnote>
  <w:footnote w:type="continuationNotice" w:id="1">
    <w:p w14:paraId="25C49215" w14:textId="77777777" w:rsidR="00D841D9" w:rsidRDefault="00D841D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F47A" w14:textId="72DEF95B" w:rsidR="00B24E6C" w:rsidRDefault="00F82376" w:rsidP="00895186">
    <w:pPr>
      <w:pStyle w:val="Header"/>
    </w:pPr>
    <w:r>
      <w:rPr>
        <w:noProof/>
      </w:rPr>
      <mc:AlternateContent>
        <mc:Choice Requires="wps">
          <w:drawing>
            <wp:anchor distT="0" distB="0" distL="114300" distR="114300" simplePos="0" relativeHeight="251658240" behindDoc="0" locked="0" layoutInCell="1" allowOverlap="1" wp14:anchorId="7C0A0778" wp14:editId="5B3D0DB9">
              <wp:simplePos x="0" y="0"/>
              <wp:positionH relativeFrom="column">
                <wp:posOffset>-629920</wp:posOffset>
              </wp:positionH>
              <wp:positionV relativeFrom="paragraph">
                <wp:posOffset>-1198880</wp:posOffset>
              </wp:positionV>
              <wp:extent cx="7764780" cy="114300"/>
              <wp:effectExtent l="0" t="0" r="762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4780" cy="114300"/>
                      </a:xfrm>
                      <a:prstGeom prst="rect">
                        <a:avLst/>
                      </a:prstGeom>
                      <a:solidFill>
                        <a:srgbClr val="222D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5FB2A" id="Rectangle 8" o:spid="_x0000_s1026" alt="&quot;&quot;" style="position:absolute;margin-left:-49.6pt;margin-top:-94.4pt;width:611.4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" fillcolor="#222d69" stroked="f" strokeweight="1pt"/>
          </w:pict>
        </mc:Fallback>
      </mc:AlternateContent>
    </w:r>
    <w:r>
      <w:rPr>
        <w:noProof/>
      </w:rPr>
      <w:drawing>
        <wp:anchor distT="0" distB="0" distL="114300" distR="114300" simplePos="0" relativeHeight="251658241" behindDoc="0" locked="0" layoutInCell="1" allowOverlap="1" wp14:anchorId="130F4DFB" wp14:editId="00E13864">
          <wp:simplePos x="0" y="0"/>
          <wp:positionH relativeFrom="margin">
            <wp:posOffset>1689100</wp:posOffset>
          </wp:positionH>
          <wp:positionV relativeFrom="paragraph">
            <wp:posOffset>-762000</wp:posOffset>
          </wp:positionV>
          <wp:extent cx="3126740" cy="758825"/>
          <wp:effectExtent l="0" t="0" r="0" b="3175"/>
          <wp:wrapSquare wrapText="bothSides"/>
          <wp:docPr id="1864911658" name="Picture 1864911658" descr="logo for Texas Workforce Solutions-Vocational Rehabilitation Servic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77952" name="Picture 702477952" descr="logo for Texas Workforce Solutions-Vocational Rehabilitation Service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26740" cy="75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E7B"/>
    <w:multiLevelType w:val="hybridMultilevel"/>
    <w:tmpl w:val="315025E6"/>
    <w:lvl w:ilvl="0" w:tplc="5BDA30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4FBA"/>
    <w:multiLevelType w:val="hybridMultilevel"/>
    <w:tmpl w:val="8DFA331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07D31"/>
    <w:multiLevelType w:val="hybridMultilevel"/>
    <w:tmpl w:val="B186CD4E"/>
    <w:lvl w:ilvl="0" w:tplc="04090001">
      <w:start w:val="1"/>
      <w:numFmt w:val="bullet"/>
      <w:lvlText w:val=""/>
      <w:lvlJc w:val="left"/>
      <w:pPr>
        <w:ind w:left="1512" w:hanging="360"/>
      </w:pPr>
      <w:rPr>
        <w:rFonts w:ascii="Symbol" w:hAnsi="Symbol" w:hint="default"/>
      </w:rPr>
    </w:lvl>
    <w:lvl w:ilvl="1" w:tplc="FFFFFFFF" w:tentative="1">
      <w:start w:val="1"/>
      <w:numFmt w:val="bullet"/>
      <w:lvlText w:val="o"/>
      <w:lvlJc w:val="left"/>
      <w:pPr>
        <w:ind w:left="2232" w:hanging="360"/>
      </w:pPr>
      <w:rPr>
        <w:rFonts w:ascii="Courier New" w:hAnsi="Courier New" w:cs="Courier New" w:hint="default"/>
      </w:rPr>
    </w:lvl>
    <w:lvl w:ilvl="2" w:tplc="FFFFFFFF" w:tentative="1">
      <w:start w:val="1"/>
      <w:numFmt w:val="bullet"/>
      <w:lvlText w:val=""/>
      <w:lvlJc w:val="left"/>
      <w:pPr>
        <w:ind w:left="2952" w:hanging="360"/>
      </w:pPr>
      <w:rPr>
        <w:rFonts w:ascii="Wingdings" w:hAnsi="Wingdings" w:hint="default"/>
      </w:rPr>
    </w:lvl>
    <w:lvl w:ilvl="3" w:tplc="FFFFFFFF" w:tentative="1">
      <w:start w:val="1"/>
      <w:numFmt w:val="bullet"/>
      <w:lvlText w:val=""/>
      <w:lvlJc w:val="left"/>
      <w:pPr>
        <w:ind w:left="3672" w:hanging="360"/>
      </w:pPr>
      <w:rPr>
        <w:rFonts w:ascii="Symbol" w:hAnsi="Symbol" w:hint="default"/>
      </w:rPr>
    </w:lvl>
    <w:lvl w:ilvl="4" w:tplc="FFFFFFFF" w:tentative="1">
      <w:start w:val="1"/>
      <w:numFmt w:val="bullet"/>
      <w:lvlText w:val="o"/>
      <w:lvlJc w:val="left"/>
      <w:pPr>
        <w:ind w:left="4392" w:hanging="360"/>
      </w:pPr>
      <w:rPr>
        <w:rFonts w:ascii="Courier New" w:hAnsi="Courier New" w:cs="Courier New" w:hint="default"/>
      </w:rPr>
    </w:lvl>
    <w:lvl w:ilvl="5" w:tplc="FFFFFFFF" w:tentative="1">
      <w:start w:val="1"/>
      <w:numFmt w:val="bullet"/>
      <w:lvlText w:val=""/>
      <w:lvlJc w:val="left"/>
      <w:pPr>
        <w:ind w:left="5112" w:hanging="360"/>
      </w:pPr>
      <w:rPr>
        <w:rFonts w:ascii="Wingdings" w:hAnsi="Wingdings" w:hint="default"/>
      </w:rPr>
    </w:lvl>
    <w:lvl w:ilvl="6" w:tplc="FFFFFFFF" w:tentative="1">
      <w:start w:val="1"/>
      <w:numFmt w:val="bullet"/>
      <w:lvlText w:val=""/>
      <w:lvlJc w:val="left"/>
      <w:pPr>
        <w:ind w:left="5832" w:hanging="360"/>
      </w:pPr>
      <w:rPr>
        <w:rFonts w:ascii="Symbol" w:hAnsi="Symbol" w:hint="default"/>
      </w:rPr>
    </w:lvl>
    <w:lvl w:ilvl="7" w:tplc="FFFFFFFF" w:tentative="1">
      <w:start w:val="1"/>
      <w:numFmt w:val="bullet"/>
      <w:lvlText w:val="o"/>
      <w:lvlJc w:val="left"/>
      <w:pPr>
        <w:ind w:left="6552" w:hanging="360"/>
      </w:pPr>
      <w:rPr>
        <w:rFonts w:ascii="Courier New" w:hAnsi="Courier New" w:cs="Courier New" w:hint="default"/>
      </w:rPr>
    </w:lvl>
    <w:lvl w:ilvl="8" w:tplc="FFFFFFFF" w:tentative="1">
      <w:start w:val="1"/>
      <w:numFmt w:val="bullet"/>
      <w:lvlText w:val=""/>
      <w:lvlJc w:val="left"/>
      <w:pPr>
        <w:ind w:left="7272" w:hanging="360"/>
      </w:pPr>
      <w:rPr>
        <w:rFonts w:ascii="Wingdings" w:hAnsi="Wingdings" w:hint="default"/>
      </w:rPr>
    </w:lvl>
  </w:abstractNum>
  <w:abstractNum w:abstractNumId="3" w15:restartNumberingAfterBreak="0">
    <w:nsid w:val="03C712F2"/>
    <w:multiLevelType w:val="multilevel"/>
    <w:tmpl w:val="7CBEFAB0"/>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 w15:restartNumberingAfterBreak="0">
    <w:nsid w:val="03CB2EC8"/>
    <w:multiLevelType w:val="hybridMultilevel"/>
    <w:tmpl w:val="CC00D574"/>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 w15:restartNumberingAfterBreak="0">
    <w:nsid w:val="091B6F24"/>
    <w:multiLevelType w:val="hybridMultilevel"/>
    <w:tmpl w:val="307C64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FB13DB"/>
    <w:multiLevelType w:val="multilevel"/>
    <w:tmpl w:val="28909BEE"/>
    <w:lvl w:ilvl="0">
      <w:start w:val="1"/>
      <w:numFmt w:val="decimal"/>
      <w:pStyle w:val="ListParagraph"/>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312" w:hanging="648"/>
      </w:pPr>
      <w:rPr>
        <w:rFonts w:hint="default"/>
      </w:rPr>
    </w:lvl>
    <w:lvl w:ilvl="4">
      <w:start w:val="1"/>
      <w:numFmt w:val="lowerRoman"/>
      <w:lvlText w:val="(%5)"/>
      <w:lvlJc w:val="right"/>
      <w:pPr>
        <w:ind w:left="4032" w:hanging="288"/>
      </w:pPr>
      <w:rPr>
        <w:rFonts w:hint="default"/>
      </w:rPr>
    </w:lvl>
    <w:lvl w:ilvl="5">
      <w:start w:val="1"/>
      <w:numFmt w:val="decimal"/>
      <w:lvlText w:val="%6)"/>
      <w:lvlJc w:val="left"/>
      <w:pPr>
        <w:ind w:left="4824" w:hanging="576"/>
      </w:pPr>
      <w:rPr>
        <w:rFonts w:hint="default"/>
      </w:rPr>
    </w:lvl>
    <w:lvl w:ilvl="6">
      <w:start w:val="1"/>
      <w:numFmt w:val="lowerLetter"/>
      <w:lvlText w:val="%7)"/>
      <w:lvlJc w:val="left"/>
      <w:pPr>
        <w:ind w:left="5472" w:hanging="504"/>
      </w:pPr>
      <w:rPr>
        <w:rFonts w:hint="default"/>
      </w:rPr>
    </w:lvl>
    <w:lvl w:ilvl="7">
      <w:start w:val="1"/>
      <w:numFmt w:val="lowerRoman"/>
      <w:lvlText w:val="%8)"/>
      <w:lvlJc w:val="left"/>
      <w:pPr>
        <w:ind w:left="6192" w:hanging="432"/>
      </w:pPr>
      <w:rPr>
        <w:rFonts w:hint="default"/>
      </w:rPr>
    </w:lvl>
    <w:lvl w:ilvl="8">
      <w:start w:val="1"/>
      <w:numFmt w:val="lowerLetter"/>
      <w:lvlText w:val="%9."/>
      <w:lvlJc w:val="right"/>
      <w:pPr>
        <w:ind w:left="6840" w:hanging="180"/>
      </w:pPr>
      <w:rPr>
        <w:rFonts w:hint="default"/>
      </w:rPr>
    </w:lvl>
  </w:abstractNum>
  <w:abstractNum w:abstractNumId="7" w15:restartNumberingAfterBreak="0">
    <w:nsid w:val="12ED3130"/>
    <w:multiLevelType w:val="multilevel"/>
    <w:tmpl w:val="F6607E20"/>
    <w:lvl w:ilvl="0">
      <w:start w:val="1"/>
      <w:numFmt w:val="bullet"/>
      <w:lvlText w:val=""/>
      <w:lvlJc w:val="left"/>
      <w:pPr>
        <w:ind w:left="720" w:hanging="360"/>
      </w:pPr>
      <w:rPr>
        <w:rFonts w:ascii="Symbol" w:hAnsi="Symbol" w:hint="default"/>
      </w:rPr>
    </w:lvl>
    <w:lvl w:ilvl="1">
      <w:start w:val="1"/>
      <w:numFmt w:val="bullet"/>
      <w:lvlText w:val=""/>
      <w:lvlJc w:val="left"/>
      <w:pPr>
        <w:ind w:left="1530" w:hanging="360"/>
      </w:pPr>
      <w:rPr>
        <w:rFonts w:ascii="Symbol" w:hAnsi="Symbol" w:hint="default"/>
      </w:rPr>
    </w:lvl>
    <w:lvl w:ilvl="2">
      <w:start w:val="1"/>
      <w:numFmt w:val="bullet"/>
      <w:lvlText w:val="o"/>
      <w:lvlJc w:val="left"/>
      <w:pPr>
        <w:ind w:left="2347" w:hanging="360"/>
      </w:pPr>
      <w:rPr>
        <w:rFonts w:ascii="Courier New" w:hAnsi="Courier New" w:cs="Courier New"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8" w15:restartNumberingAfterBreak="0">
    <w:nsid w:val="13E437AA"/>
    <w:multiLevelType w:val="hybridMultilevel"/>
    <w:tmpl w:val="593CE6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72590C"/>
    <w:multiLevelType w:val="hybridMultilevel"/>
    <w:tmpl w:val="C0A2C0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3416ED"/>
    <w:multiLevelType w:val="multilevel"/>
    <w:tmpl w:val="3A32FFFC"/>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1" w15:restartNumberingAfterBreak="0">
    <w:nsid w:val="215567F7"/>
    <w:multiLevelType w:val="hybridMultilevel"/>
    <w:tmpl w:val="6FA8F0E2"/>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2A43465"/>
    <w:multiLevelType w:val="multilevel"/>
    <w:tmpl w:val="1A349A18"/>
    <w:lvl w:ilvl="0">
      <w:start w:val="1"/>
      <w:numFmt w:val="bullet"/>
      <w:lvlText w:val=""/>
      <w:lvlJc w:val="left"/>
      <w:pPr>
        <w:tabs>
          <w:tab w:val="num" w:pos="1530"/>
        </w:tabs>
        <w:ind w:left="1530" w:hanging="360"/>
      </w:pPr>
      <w:rPr>
        <w:rFonts w:ascii="Symbol" w:hAnsi="Symbol" w:hint="default"/>
        <w:sz w:val="20"/>
      </w:rPr>
    </w:lvl>
    <w:lvl w:ilvl="1">
      <w:start w:val="3"/>
      <w:numFmt w:val="upperLetter"/>
      <w:lvlText w:val="%2."/>
      <w:lvlJc w:val="left"/>
      <w:pPr>
        <w:ind w:left="2250" w:hanging="360"/>
      </w:pPr>
      <w:rPr>
        <w:rFonts w:hint="default"/>
      </w:rPr>
    </w:lvl>
    <w:lvl w:ilvl="2" w:tentative="1">
      <w:start w:val="1"/>
      <w:numFmt w:val="bullet"/>
      <w:lvlText w:val=""/>
      <w:lvlJc w:val="left"/>
      <w:pPr>
        <w:tabs>
          <w:tab w:val="num" w:pos="2970"/>
        </w:tabs>
        <w:ind w:left="2970" w:hanging="360"/>
      </w:pPr>
      <w:rPr>
        <w:rFonts w:ascii="Wingdings" w:hAnsi="Wingdings" w:hint="default"/>
        <w:sz w:val="20"/>
      </w:rPr>
    </w:lvl>
    <w:lvl w:ilvl="3" w:tentative="1">
      <w:start w:val="1"/>
      <w:numFmt w:val="bullet"/>
      <w:lvlText w:val=""/>
      <w:lvlJc w:val="left"/>
      <w:pPr>
        <w:tabs>
          <w:tab w:val="num" w:pos="3690"/>
        </w:tabs>
        <w:ind w:left="3690" w:hanging="360"/>
      </w:pPr>
      <w:rPr>
        <w:rFonts w:ascii="Wingdings" w:hAnsi="Wingdings" w:hint="default"/>
        <w:sz w:val="20"/>
      </w:rPr>
    </w:lvl>
    <w:lvl w:ilvl="4" w:tentative="1">
      <w:start w:val="1"/>
      <w:numFmt w:val="bullet"/>
      <w:lvlText w:val=""/>
      <w:lvlJc w:val="left"/>
      <w:pPr>
        <w:tabs>
          <w:tab w:val="num" w:pos="4410"/>
        </w:tabs>
        <w:ind w:left="4410" w:hanging="360"/>
      </w:pPr>
      <w:rPr>
        <w:rFonts w:ascii="Wingdings" w:hAnsi="Wingdings" w:hint="default"/>
        <w:sz w:val="20"/>
      </w:rPr>
    </w:lvl>
    <w:lvl w:ilvl="5" w:tentative="1">
      <w:start w:val="1"/>
      <w:numFmt w:val="bullet"/>
      <w:lvlText w:val=""/>
      <w:lvlJc w:val="left"/>
      <w:pPr>
        <w:tabs>
          <w:tab w:val="num" w:pos="5130"/>
        </w:tabs>
        <w:ind w:left="5130" w:hanging="360"/>
      </w:pPr>
      <w:rPr>
        <w:rFonts w:ascii="Wingdings" w:hAnsi="Wingdings" w:hint="default"/>
        <w:sz w:val="20"/>
      </w:rPr>
    </w:lvl>
    <w:lvl w:ilvl="6" w:tentative="1">
      <w:start w:val="1"/>
      <w:numFmt w:val="bullet"/>
      <w:lvlText w:val=""/>
      <w:lvlJc w:val="left"/>
      <w:pPr>
        <w:tabs>
          <w:tab w:val="num" w:pos="5850"/>
        </w:tabs>
        <w:ind w:left="5850" w:hanging="360"/>
      </w:pPr>
      <w:rPr>
        <w:rFonts w:ascii="Wingdings" w:hAnsi="Wingdings" w:hint="default"/>
        <w:sz w:val="20"/>
      </w:rPr>
    </w:lvl>
    <w:lvl w:ilvl="7" w:tentative="1">
      <w:start w:val="1"/>
      <w:numFmt w:val="bullet"/>
      <w:lvlText w:val=""/>
      <w:lvlJc w:val="left"/>
      <w:pPr>
        <w:tabs>
          <w:tab w:val="num" w:pos="6570"/>
        </w:tabs>
        <w:ind w:left="6570" w:hanging="360"/>
      </w:pPr>
      <w:rPr>
        <w:rFonts w:ascii="Wingdings" w:hAnsi="Wingdings" w:hint="default"/>
        <w:sz w:val="20"/>
      </w:rPr>
    </w:lvl>
    <w:lvl w:ilvl="8" w:tentative="1">
      <w:start w:val="1"/>
      <w:numFmt w:val="bullet"/>
      <w:lvlText w:val=""/>
      <w:lvlJc w:val="left"/>
      <w:pPr>
        <w:tabs>
          <w:tab w:val="num" w:pos="7290"/>
        </w:tabs>
        <w:ind w:left="7290" w:hanging="360"/>
      </w:pPr>
      <w:rPr>
        <w:rFonts w:ascii="Wingdings" w:hAnsi="Wingdings" w:hint="default"/>
        <w:sz w:val="20"/>
      </w:rPr>
    </w:lvl>
  </w:abstractNum>
  <w:abstractNum w:abstractNumId="13" w15:restartNumberingAfterBreak="0">
    <w:nsid w:val="23152641"/>
    <w:multiLevelType w:val="hybridMultilevel"/>
    <w:tmpl w:val="2592DEAA"/>
    <w:lvl w:ilvl="0" w:tplc="B2864F2C">
      <w:start w:val="1"/>
      <w:numFmt w:val="decimal"/>
      <w:lvlText w:val="%1."/>
      <w:lvlJc w:val="left"/>
      <w:pPr>
        <w:ind w:left="720" w:hanging="360"/>
      </w:pPr>
      <w:rPr>
        <w:rFonts w:hint="default"/>
      </w:rPr>
    </w:lvl>
    <w:lvl w:ilvl="1" w:tplc="CAFC9B50">
      <w:start w:val="1"/>
      <w:numFmt w:val="lowerLetter"/>
      <w:pStyle w:val="ListCombo"/>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283C98"/>
    <w:multiLevelType w:val="multilevel"/>
    <w:tmpl w:val="7CCC3AFA"/>
    <w:lvl w:ilvl="0">
      <w:start w:val="1"/>
      <w:numFmt w:val="bullet"/>
      <w:pStyle w:val="ListBulleted"/>
      <w:lvlText w:val=""/>
      <w:lvlJc w:val="left"/>
      <w:pPr>
        <w:ind w:left="720" w:hanging="360"/>
      </w:pPr>
      <w:rPr>
        <w:rFonts w:ascii="Symbol" w:hAnsi="Symbol" w:hint="default"/>
      </w:rPr>
    </w:lvl>
    <w:lvl w:ilvl="1">
      <w:start w:val="1"/>
      <w:numFmt w:val="bullet"/>
      <w:lvlText w:val=""/>
      <w:lvlJc w:val="left"/>
      <w:pPr>
        <w:ind w:left="1530" w:hanging="360"/>
      </w:pPr>
      <w:rPr>
        <w:rFonts w:ascii="Symbol" w:hAnsi="Symbol"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5" w15:restartNumberingAfterBreak="0">
    <w:nsid w:val="259445B6"/>
    <w:multiLevelType w:val="multilevel"/>
    <w:tmpl w:val="DF8A39DE"/>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16" w15:restartNumberingAfterBreak="0">
    <w:nsid w:val="29FF664F"/>
    <w:multiLevelType w:val="hybridMultilevel"/>
    <w:tmpl w:val="3E0E162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650045"/>
    <w:multiLevelType w:val="hybridMultilevel"/>
    <w:tmpl w:val="7896981A"/>
    <w:lvl w:ilvl="0" w:tplc="A34AE1C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C21290E"/>
    <w:multiLevelType w:val="hybridMultilevel"/>
    <w:tmpl w:val="B95C6D5A"/>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9" w15:restartNumberingAfterBreak="0">
    <w:nsid w:val="2FD3791A"/>
    <w:multiLevelType w:val="hybridMultilevel"/>
    <w:tmpl w:val="6E6EE11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8B2987"/>
    <w:multiLevelType w:val="multilevel"/>
    <w:tmpl w:val="C64286F6"/>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1" w15:restartNumberingAfterBreak="0">
    <w:nsid w:val="332E16D9"/>
    <w:multiLevelType w:val="hybridMultilevel"/>
    <w:tmpl w:val="D0920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B115EC"/>
    <w:multiLevelType w:val="multilevel"/>
    <w:tmpl w:val="0C8E052C"/>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3" w15:restartNumberingAfterBreak="0">
    <w:nsid w:val="36441804"/>
    <w:multiLevelType w:val="hybridMultilevel"/>
    <w:tmpl w:val="0DA6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E0660"/>
    <w:multiLevelType w:val="hybridMultilevel"/>
    <w:tmpl w:val="930007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016F20"/>
    <w:multiLevelType w:val="multilevel"/>
    <w:tmpl w:val="6B20066A"/>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6" w15:restartNumberingAfterBreak="0">
    <w:nsid w:val="3BCE139A"/>
    <w:multiLevelType w:val="multilevel"/>
    <w:tmpl w:val="D47E6EC2"/>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27" w15:restartNumberingAfterBreak="0">
    <w:nsid w:val="3F3B7DC7"/>
    <w:multiLevelType w:val="hybridMultilevel"/>
    <w:tmpl w:val="FBE897C6"/>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8" w15:restartNumberingAfterBreak="0">
    <w:nsid w:val="47D86CE6"/>
    <w:multiLevelType w:val="hybridMultilevel"/>
    <w:tmpl w:val="F1BEC85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DEB07F0C">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EB11D75"/>
    <w:multiLevelType w:val="multilevel"/>
    <w:tmpl w:val="F3661F72"/>
    <w:lvl w:ilvl="0">
      <w:start w:val="1"/>
      <w:numFmt w:val="bullet"/>
      <w:lvlText w:val="o"/>
      <w:lvlJc w:val="left"/>
      <w:pPr>
        <w:ind w:left="1080" w:hanging="360"/>
      </w:pPr>
      <w:rPr>
        <w:rFonts w:ascii="Courier New" w:hAnsi="Courier New" w:cs="Courier New"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lowerLetter"/>
      <w:lvlText w:val="(%4)"/>
      <w:lvlJc w:val="left"/>
      <w:pPr>
        <w:ind w:left="3312" w:hanging="648"/>
      </w:pPr>
      <w:rPr>
        <w:rFonts w:hint="default"/>
      </w:rPr>
    </w:lvl>
    <w:lvl w:ilvl="4">
      <w:start w:val="1"/>
      <w:numFmt w:val="lowerRoman"/>
      <w:lvlText w:val="(%5)"/>
      <w:lvlJc w:val="right"/>
      <w:pPr>
        <w:ind w:left="4032" w:hanging="288"/>
      </w:pPr>
      <w:rPr>
        <w:rFonts w:hint="default"/>
      </w:rPr>
    </w:lvl>
    <w:lvl w:ilvl="5">
      <w:start w:val="1"/>
      <w:numFmt w:val="decimal"/>
      <w:lvlText w:val="%6)"/>
      <w:lvlJc w:val="left"/>
      <w:pPr>
        <w:ind w:left="4824" w:hanging="576"/>
      </w:pPr>
      <w:rPr>
        <w:rFonts w:hint="default"/>
      </w:rPr>
    </w:lvl>
    <w:lvl w:ilvl="6">
      <w:start w:val="1"/>
      <w:numFmt w:val="lowerLetter"/>
      <w:lvlText w:val="%7)"/>
      <w:lvlJc w:val="left"/>
      <w:pPr>
        <w:ind w:left="5472" w:hanging="504"/>
      </w:pPr>
      <w:rPr>
        <w:rFonts w:hint="default"/>
      </w:rPr>
    </w:lvl>
    <w:lvl w:ilvl="7">
      <w:start w:val="1"/>
      <w:numFmt w:val="lowerRoman"/>
      <w:lvlText w:val="%8)"/>
      <w:lvlJc w:val="left"/>
      <w:pPr>
        <w:ind w:left="6192" w:hanging="432"/>
      </w:pPr>
      <w:rPr>
        <w:rFonts w:hint="default"/>
      </w:rPr>
    </w:lvl>
    <w:lvl w:ilvl="8">
      <w:start w:val="1"/>
      <w:numFmt w:val="lowerLetter"/>
      <w:lvlText w:val="%9."/>
      <w:lvlJc w:val="right"/>
      <w:pPr>
        <w:ind w:left="6840" w:hanging="180"/>
      </w:pPr>
      <w:rPr>
        <w:rFonts w:hint="default"/>
      </w:rPr>
    </w:lvl>
  </w:abstractNum>
  <w:abstractNum w:abstractNumId="30" w15:restartNumberingAfterBreak="0">
    <w:nsid w:val="4EEF6A72"/>
    <w:multiLevelType w:val="hybridMultilevel"/>
    <w:tmpl w:val="C9680D8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1" w15:restartNumberingAfterBreak="0">
    <w:nsid w:val="4F1402AA"/>
    <w:multiLevelType w:val="multilevel"/>
    <w:tmpl w:val="F8D23B26"/>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32" w15:restartNumberingAfterBreak="0">
    <w:nsid w:val="51D10F31"/>
    <w:multiLevelType w:val="multilevel"/>
    <w:tmpl w:val="76AACA90"/>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33" w15:restartNumberingAfterBreak="0">
    <w:nsid w:val="546B54EE"/>
    <w:multiLevelType w:val="hybridMultilevel"/>
    <w:tmpl w:val="0D4A0B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6316EEA"/>
    <w:multiLevelType w:val="hybridMultilevel"/>
    <w:tmpl w:val="A46AEC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6B40D89"/>
    <w:multiLevelType w:val="hybridMultilevel"/>
    <w:tmpl w:val="EC5ACA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2D3153"/>
    <w:multiLevelType w:val="hybridMultilevel"/>
    <w:tmpl w:val="FCAE62AE"/>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576A58DE"/>
    <w:multiLevelType w:val="hybridMultilevel"/>
    <w:tmpl w:val="1B98055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8" w15:restartNumberingAfterBreak="0">
    <w:nsid w:val="5A287FC5"/>
    <w:multiLevelType w:val="multilevel"/>
    <w:tmpl w:val="9496B4FE"/>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39" w15:restartNumberingAfterBreak="0">
    <w:nsid w:val="615F55EF"/>
    <w:multiLevelType w:val="hybridMultilevel"/>
    <w:tmpl w:val="CEE4AA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5E67E26"/>
    <w:multiLevelType w:val="multilevel"/>
    <w:tmpl w:val="B30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074B90"/>
    <w:multiLevelType w:val="hybridMultilevel"/>
    <w:tmpl w:val="1F101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ED6967"/>
    <w:multiLevelType w:val="multilevel"/>
    <w:tmpl w:val="19F41AEA"/>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3" w15:restartNumberingAfterBreak="0">
    <w:nsid w:val="71976F97"/>
    <w:multiLevelType w:val="hybridMultilevel"/>
    <w:tmpl w:val="703635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53AEA"/>
    <w:multiLevelType w:val="multilevel"/>
    <w:tmpl w:val="B3C4D2CE"/>
    <w:lvl w:ilvl="0">
      <w:start w:val="1"/>
      <w:numFmt w:val="bullet"/>
      <w:lvlText w:val=""/>
      <w:lvlJc w:val="left"/>
      <w:pPr>
        <w:ind w:left="72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347" w:hanging="360"/>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5" w15:restartNumberingAfterBreak="0">
    <w:nsid w:val="783728F2"/>
    <w:multiLevelType w:val="multilevel"/>
    <w:tmpl w:val="49D4D266"/>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6" w15:restartNumberingAfterBreak="0">
    <w:nsid w:val="7BC91441"/>
    <w:multiLevelType w:val="multilevel"/>
    <w:tmpl w:val="1306314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7" w15:restartNumberingAfterBreak="0">
    <w:nsid w:val="7C7F5F4E"/>
    <w:multiLevelType w:val="multilevel"/>
    <w:tmpl w:val="81D69724"/>
    <w:lvl w:ilvl="0">
      <w:start w:val="1"/>
      <w:numFmt w:val="bullet"/>
      <w:lvlText w:val=""/>
      <w:lvlJc w:val="left"/>
      <w:pPr>
        <w:ind w:left="720" w:hanging="360"/>
      </w:pPr>
      <w:rPr>
        <w:rFonts w:ascii="Symbol" w:hAnsi="Symbol" w:hint="default"/>
      </w:rPr>
    </w:lvl>
    <w:lvl w:ilvl="1">
      <w:start w:val="1"/>
      <w:numFmt w:val="bullet"/>
      <w:lvlText w:val="o"/>
      <w:lvlJc w:val="left"/>
      <w:pPr>
        <w:tabs>
          <w:tab w:val="num" w:pos="1080"/>
        </w:tabs>
        <w:ind w:left="1440" w:hanging="360"/>
      </w:pPr>
      <w:rPr>
        <w:rFonts w:ascii="Courier New" w:hAnsi="Courier New" w:hint="default"/>
      </w:rPr>
    </w:lvl>
    <w:lvl w:ilvl="2">
      <w:start w:val="1"/>
      <w:numFmt w:val="bullet"/>
      <w:lvlText w:val=""/>
      <w:lvlJc w:val="left"/>
      <w:pPr>
        <w:tabs>
          <w:tab w:val="num" w:pos="1987"/>
        </w:tabs>
        <w:ind w:left="2304" w:hanging="317"/>
      </w:pPr>
      <w:rPr>
        <w:rFonts w:ascii="Wingdings" w:hAnsi="Wingdings" w:hint="default"/>
      </w:rPr>
    </w:lvl>
    <w:lvl w:ilvl="3">
      <w:start w:val="1"/>
      <w:numFmt w:val="bullet"/>
      <w:lvlText w:val=""/>
      <w:lvlJc w:val="left"/>
      <w:pPr>
        <w:tabs>
          <w:tab w:val="num" w:pos="2664"/>
        </w:tabs>
        <w:ind w:left="2952" w:hanging="288"/>
      </w:pPr>
      <w:rPr>
        <w:rFonts w:ascii="Wingdings" w:hAnsi="Wingdings" w:hint="default"/>
      </w:rPr>
    </w:lvl>
    <w:lvl w:ilvl="4">
      <w:start w:val="1"/>
      <w:numFmt w:val="bullet"/>
      <w:lvlText w:val=""/>
      <w:lvlJc w:val="left"/>
      <w:pPr>
        <w:tabs>
          <w:tab w:val="num" w:pos="3384"/>
        </w:tabs>
        <w:ind w:left="3672" w:hanging="288"/>
      </w:pPr>
      <w:rPr>
        <w:rFonts w:ascii="Wingdings" w:hAnsi="Wingdings" w:hint="default"/>
      </w:rPr>
    </w:lvl>
    <w:lvl w:ilvl="5">
      <w:start w:val="1"/>
      <w:numFmt w:val="bullet"/>
      <w:lvlText w:val=""/>
      <w:lvlJc w:val="left"/>
      <w:pPr>
        <w:ind w:left="4248" w:hanging="360"/>
      </w:pPr>
      <w:rPr>
        <w:rFonts w:ascii="Symbol" w:hAnsi="Symbol" w:hint="default"/>
      </w:rPr>
    </w:lvl>
    <w:lvl w:ilvl="6">
      <w:start w:val="1"/>
      <w:numFmt w:val="bullet"/>
      <w:lvlText w:val="o"/>
      <w:lvlJc w:val="left"/>
      <w:pPr>
        <w:ind w:left="4968" w:hanging="360"/>
      </w:pPr>
      <w:rPr>
        <w:rFonts w:ascii="Courier New" w:hAnsi="Courier New" w:cs="Courier New"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552" w:hanging="360"/>
      </w:pPr>
      <w:rPr>
        <w:rFonts w:ascii="Wingdings" w:hAnsi="Wingdings" w:hint="default"/>
      </w:rPr>
    </w:lvl>
  </w:abstractNum>
  <w:abstractNum w:abstractNumId="48" w15:restartNumberingAfterBreak="0">
    <w:nsid w:val="7CFC2910"/>
    <w:multiLevelType w:val="hybridMultilevel"/>
    <w:tmpl w:val="0716478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D142D61"/>
    <w:multiLevelType w:val="hybridMultilevel"/>
    <w:tmpl w:val="25E631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E415668"/>
    <w:multiLevelType w:val="hybridMultilevel"/>
    <w:tmpl w:val="D24682DE"/>
    <w:lvl w:ilvl="0" w:tplc="04090003">
      <w:start w:val="1"/>
      <w:numFmt w:val="bullet"/>
      <w:lvlText w:val="o"/>
      <w:lvlJc w:val="left"/>
      <w:pPr>
        <w:ind w:left="216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15:restartNumberingAfterBreak="0">
    <w:nsid w:val="7E7C238A"/>
    <w:multiLevelType w:val="hybridMultilevel"/>
    <w:tmpl w:val="266C6D2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22797963">
    <w:abstractNumId w:val="13"/>
  </w:num>
  <w:num w:numId="2" w16cid:durableId="1377244451">
    <w:abstractNumId w:val="0"/>
  </w:num>
  <w:num w:numId="3" w16cid:durableId="1510757688">
    <w:abstractNumId w:val="17"/>
  </w:num>
  <w:num w:numId="4" w16cid:durableId="718751240">
    <w:abstractNumId w:val="6"/>
  </w:num>
  <w:num w:numId="5" w16cid:durableId="1934777624">
    <w:abstractNumId w:val="14"/>
  </w:num>
  <w:num w:numId="6" w16cid:durableId="1327826153">
    <w:abstractNumId w:val="17"/>
    <w:lvlOverride w:ilvl="0">
      <w:startOverride w:val="1"/>
    </w:lvlOverride>
  </w:num>
  <w:num w:numId="7" w16cid:durableId="1922254391">
    <w:abstractNumId w:val="28"/>
  </w:num>
  <w:num w:numId="8" w16cid:durableId="1102992223">
    <w:abstractNumId w:val="19"/>
  </w:num>
  <w:num w:numId="9" w16cid:durableId="1406873015">
    <w:abstractNumId w:val="5"/>
  </w:num>
  <w:num w:numId="10" w16cid:durableId="1159419178">
    <w:abstractNumId w:val="43"/>
  </w:num>
  <w:num w:numId="11" w16cid:durableId="351953469">
    <w:abstractNumId w:val="51"/>
  </w:num>
  <w:num w:numId="12" w16cid:durableId="1923682531">
    <w:abstractNumId w:val="49"/>
  </w:num>
  <w:num w:numId="13" w16cid:durableId="47078014">
    <w:abstractNumId w:val="6"/>
  </w:num>
  <w:num w:numId="14" w16cid:durableId="1261059659">
    <w:abstractNumId w:val="29"/>
  </w:num>
  <w:num w:numId="15" w16cid:durableId="85729716">
    <w:abstractNumId w:val="47"/>
  </w:num>
  <w:num w:numId="16" w16cid:durableId="845633795">
    <w:abstractNumId w:val="14"/>
  </w:num>
  <w:num w:numId="17" w16cid:durableId="726075718">
    <w:abstractNumId w:val="14"/>
  </w:num>
  <w:num w:numId="18" w16cid:durableId="1091200890">
    <w:abstractNumId w:val="14"/>
  </w:num>
  <w:num w:numId="19" w16cid:durableId="194584603">
    <w:abstractNumId w:val="14"/>
  </w:num>
  <w:num w:numId="20" w16cid:durableId="409498138">
    <w:abstractNumId w:val="45"/>
  </w:num>
  <w:num w:numId="21" w16cid:durableId="1537309464">
    <w:abstractNumId w:val="14"/>
  </w:num>
  <w:num w:numId="22" w16cid:durableId="353698329">
    <w:abstractNumId w:val="14"/>
  </w:num>
  <w:num w:numId="23" w16cid:durableId="339897622">
    <w:abstractNumId w:val="14"/>
  </w:num>
  <w:num w:numId="24" w16cid:durableId="984894107">
    <w:abstractNumId w:val="14"/>
  </w:num>
  <w:num w:numId="25" w16cid:durableId="98529484">
    <w:abstractNumId w:val="14"/>
  </w:num>
  <w:num w:numId="26" w16cid:durableId="9456593">
    <w:abstractNumId w:val="35"/>
  </w:num>
  <w:num w:numId="27" w16cid:durableId="611716660">
    <w:abstractNumId w:val="46"/>
  </w:num>
  <w:num w:numId="28" w16cid:durableId="1799258108">
    <w:abstractNumId w:val="23"/>
  </w:num>
  <w:num w:numId="29" w16cid:durableId="1941914566">
    <w:abstractNumId w:val="37"/>
  </w:num>
  <w:num w:numId="30" w16cid:durableId="341248712">
    <w:abstractNumId w:val="30"/>
  </w:num>
  <w:num w:numId="31" w16cid:durableId="2028480203">
    <w:abstractNumId w:val="39"/>
  </w:num>
  <w:num w:numId="32" w16cid:durableId="523371983">
    <w:abstractNumId w:val="8"/>
  </w:num>
  <w:num w:numId="33" w16cid:durableId="1279334691">
    <w:abstractNumId w:val="40"/>
  </w:num>
  <w:num w:numId="34" w16cid:durableId="569389791">
    <w:abstractNumId w:val="34"/>
  </w:num>
  <w:num w:numId="35" w16cid:durableId="231739613">
    <w:abstractNumId w:val="9"/>
  </w:num>
  <w:num w:numId="36" w16cid:durableId="100533754">
    <w:abstractNumId w:val="48"/>
  </w:num>
  <w:num w:numId="37" w16cid:durableId="1848865383">
    <w:abstractNumId w:val="11"/>
  </w:num>
  <w:num w:numId="38" w16cid:durableId="536234344">
    <w:abstractNumId w:val="41"/>
  </w:num>
  <w:num w:numId="39" w16cid:durableId="937172773">
    <w:abstractNumId w:val="50"/>
  </w:num>
  <w:num w:numId="40" w16cid:durableId="347340958">
    <w:abstractNumId w:val="36"/>
  </w:num>
  <w:num w:numId="41" w16cid:durableId="52972068">
    <w:abstractNumId w:val="12"/>
  </w:num>
  <w:num w:numId="42" w16cid:durableId="853569099">
    <w:abstractNumId w:val="7"/>
  </w:num>
  <w:num w:numId="43" w16cid:durableId="1391154990">
    <w:abstractNumId w:val="27"/>
  </w:num>
  <w:num w:numId="44" w16cid:durableId="64232952">
    <w:abstractNumId w:val="2"/>
  </w:num>
  <w:num w:numId="45" w16cid:durableId="542331790">
    <w:abstractNumId w:val="24"/>
  </w:num>
  <w:num w:numId="46" w16cid:durableId="2137871640">
    <w:abstractNumId w:val="21"/>
  </w:num>
  <w:num w:numId="47" w16cid:durableId="1446458029">
    <w:abstractNumId w:val="20"/>
  </w:num>
  <w:num w:numId="48" w16cid:durableId="486483252">
    <w:abstractNumId w:val="15"/>
  </w:num>
  <w:num w:numId="49" w16cid:durableId="893396662">
    <w:abstractNumId w:val="18"/>
  </w:num>
  <w:num w:numId="50" w16cid:durableId="1887138878">
    <w:abstractNumId w:val="32"/>
  </w:num>
  <w:num w:numId="51" w16cid:durableId="1010833">
    <w:abstractNumId w:val="38"/>
  </w:num>
  <w:num w:numId="52" w16cid:durableId="1368411911">
    <w:abstractNumId w:val="31"/>
  </w:num>
  <w:num w:numId="53" w16cid:durableId="1996061520">
    <w:abstractNumId w:val="4"/>
  </w:num>
  <w:num w:numId="54" w16cid:durableId="708720121">
    <w:abstractNumId w:val="33"/>
  </w:num>
  <w:num w:numId="55" w16cid:durableId="683098289">
    <w:abstractNumId w:val="1"/>
  </w:num>
  <w:num w:numId="56" w16cid:durableId="1445880094">
    <w:abstractNumId w:val="42"/>
  </w:num>
  <w:num w:numId="57" w16cid:durableId="1057125956">
    <w:abstractNumId w:val="26"/>
  </w:num>
  <w:num w:numId="58" w16cid:durableId="838540720">
    <w:abstractNumId w:val="10"/>
  </w:num>
  <w:num w:numId="59" w16cid:durableId="1597864522">
    <w:abstractNumId w:val="25"/>
  </w:num>
  <w:num w:numId="60" w16cid:durableId="1979217502">
    <w:abstractNumId w:val="3"/>
  </w:num>
  <w:num w:numId="61" w16cid:durableId="881287160">
    <w:abstractNumId w:val="22"/>
  </w:num>
  <w:num w:numId="62" w16cid:durableId="1179732774">
    <w:abstractNumId w:val="16"/>
  </w:num>
  <w:num w:numId="63" w16cid:durableId="1741901914">
    <w:abstractNumId w:val="4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ott,Lavonia">
    <w15:presenceInfo w15:providerId="AD" w15:userId="S::lavonia.scott@twc.texas.gov::a27456d7-b522-4570-aa11-d342912a560a"/>
  </w15:person>
  <w15:person w15:author="Caillouet,Shelly">
    <w15:presenceInfo w15:providerId="AD" w15:userId="S::shelly.caillouet@twc.texas.gov::e84b80fd-c23a-4f17-9fa1-ad1ddacdb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6C"/>
    <w:rsid w:val="000001FC"/>
    <w:rsid w:val="00003D40"/>
    <w:rsid w:val="00006DC6"/>
    <w:rsid w:val="00011879"/>
    <w:rsid w:val="000172DD"/>
    <w:rsid w:val="00032377"/>
    <w:rsid w:val="00032B56"/>
    <w:rsid w:val="00033AAF"/>
    <w:rsid w:val="00036423"/>
    <w:rsid w:val="00042803"/>
    <w:rsid w:val="00047A6E"/>
    <w:rsid w:val="000509C5"/>
    <w:rsid w:val="00052545"/>
    <w:rsid w:val="000538A8"/>
    <w:rsid w:val="0005762A"/>
    <w:rsid w:val="0006011C"/>
    <w:rsid w:val="00077CB7"/>
    <w:rsid w:val="000838FC"/>
    <w:rsid w:val="00085F38"/>
    <w:rsid w:val="0008604A"/>
    <w:rsid w:val="00094031"/>
    <w:rsid w:val="000942F9"/>
    <w:rsid w:val="00097D2F"/>
    <w:rsid w:val="000A1F40"/>
    <w:rsid w:val="000A4823"/>
    <w:rsid w:val="000B1231"/>
    <w:rsid w:val="000B3B97"/>
    <w:rsid w:val="000B4B59"/>
    <w:rsid w:val="000B6B09"/>
    <w:rsid w:val="000B788F"/>
    <w:rsid w:val="000C673B"/>
    <w:rsid w:val="000D35EA"/>
    <w:rsid w:val="000E00C3"/>
    <w:rsid w:val="000E34FB"/>
    <w:rsid w:val="000E6435"/>
    <w:rsid w:val="00102320"/>
    <w:rsid w:val="00103782"/>
    <w:rsid w:val="00121054"/>
    <w:rsid w:val="00133CB2"/>
    <w:rsid w:val="00137C76"/>
    <w:rsid w:val="001427D6"/>
    <w:rsid w:val="00145474"/>
    <w:rsid w:val="00145D80"/>
    <w:rsid w:val="0015717B"/>
    <w:rsid w:val="00157B45"/>
    <w:rsid w:val="001676D0"/>
    <w:rsid w:val="00170306"/>
    <w:rsid w:val="0017262C"/>
    <w:rsid w:val="00173759"/>
    <w:rsid w:val="001774E1"/>
    <w:rsid w:val="00177C2C"/>
    <w:rsid w:val="001809B7"/>
    <w:rsid w:val="00180B67"/>
    <w:rsid w:val="00183296"/>
    <w:rsid w:val="001841B3"/>
    <w:rsid w:val="001847DD"/>
    <w:rsid w:val="00184EE4"/>
    <w:rsid w:val="00187E1D"/>
    <w:rsid w:val="001901F0"/>
    <w:rsid w:val="001921A9"/>
    <w:rsid w:val="00192CEF"/>
    <w:rsid w:val="001A02B0"/>
    <w:rsid w:val="001A0E73"/>
    <w:rsid w:val="001A2B37"/>
    <w:rsid w:val="001A7477"/>
    <w:rsid w:val="001B1486"/>
    <w:rsid w:val="001B1C49"/>
    <w:rsid w:val="001B3B8F"/>
    <w:rsid w:val="001C20F2"/>
    <w:rsid w:val="001D7D23"/>
    <w:rsid w:val="001E6F40"/>
    <w:rsid w:val="001E75B8"/>
    <w:rsid w:val="001F176D"/>
    <w:rsid w:val="00200EB7"/>
    <w:rsid w:val="00202D74"/>
    <w:rsid w:val="00204AEA"/>
    <w:rsid w:val="00204C80"/>
    <w:rsid w:val="002075EB"/>
    <w:rsid w:val="0021125E"/>
    <w:rsid w:val="00212F20"/>
    <w:rsid w:val="002204A1"/>
    <w:rsid w:val="002234C6"/>
    <w:rsid w:val="00223D64"/>
    <w:rsid w:val="00224B5C"/>
    <w:rsid w:val="0022624A"/>
    <w:rsid w:val="002263D5"/>
    <w:rsid w:val="00235BA7"/>
    <w:rsid w:val="00236B94"/>
    <w:rsid w:val="002373C8"/>
    <w:rsid w:val="00237C81"/>
    <w:rsid w:val="00237F40"/>
    <w:rsid w:val="002456F7"/>
    <w:rsid w:val="0025046E"/>
    <w:rsid w:val="00251BEF"/>
    <w:rsid w:val="00253721"/>
    <w:rsid w:val="00253A1A"/>
    <w:rsid w:val="002632E0"/>
    <w:rsid w:val="00274E1E"/>
    <w:rsid w:val="0028600F"/>
    <w:rsid w:val="00291D54"/>
    <w:rsid w:val="002A09C5"/>
    <w:rsid w:val="002A1088"/>
    <w:rsid w:val="002A345C"/>
    <w:rsid w:val="002A4804"/>
    <w:rsid w:val="002B2376"/>
    <w:rsid w:val="002B25B1"/>
    <w:rsid w:val="002B3B60"/>
    <w:rsid w:val="002B7449"/>
    <w:rsid w:val="002C0046"/>
    <w:rsid w:val="002C1FC6"/>
    <w:rsid w:val="002C68C4"/>
    <w:rsid w:val="002D30EE"/>
    <w:rsid w:val="002D55A9"/>
    <w:rsid w:val="002E0AF2"/>
    <w:rsid w:val="002E10FB"/>
    <w:rsid w:val="002E50B5"/>
    <w:rsid w:val="002E6EFA"/>
    <w:rsid w:val="002F3A16"/>
    <w:rsid w:val="002F7604"/>
    <w:rsid w:val="0030049E"/>
    <w:rsid w:val="00304FBB"/>
    <w:rsid w:val="00305448"/>
    <w:rsid w:val="00307262"/>
    <w:rsid w:val="003155F3"/>
    <w:rsid w:val="00323633"/>
    <w:rsid w:val="00323F41"/>
    <w:rsid w:val="00330015"/>
    <w:rsid w:val="0033181C"/>
    <w:rsid w:val="00340B05"/>
    <w:rsid w:val="00343F27"/>
    <w:rsid w:val="00344193"/>
    <w:rsid w:val="00347DCF"/>
    <w:rsid w:val="003500F1"/>
    <w:rsid w:val="00362917"/>
    <w:rsid w:val="003650A3"/>
    <w:rsid w:val="0037321E"/>
    <w:rsid w:val="00380C78"/>
    <w:rsid w:val="00381C86"/>
    <w:rsid w:val="00387B68"/>
    <w:rsid w:val="003A0643"/>
    <w:rsid w:val="003A11AA"/>
    <w:rsid w:val="003B11A4"/>
    <w:rsid w:val="003B470D"/>
    <w:rsid w:val="003B6B4F"/>
    <w:rsid w:val="003C577D"/>
    <w:rsid w:val="003E1761"/>
    <w:rsid w:val="003E6340"/>
    <w:rsid w:val="003E7B29"/>
    <w:rsid w:val="003F1E41"/>
    <w:rsid w:val="003F349E"/>
    <w:rsid w:val="003F665B"/>
    <w:rsid w:val="004054D5"/>
    <w:rsid w:val="00406D33"/>
    <w:rsid w:val="004105FB"/>
    <w:rsid w:val="00411E39"/>
    <w:rsid w:val="00412D78"/>
    <w:rsid w:val="00414B84"/>
    <w:rsid w:val="00417839"/>
    <w:rsid w:val="00420B1A"/>
    <w:rsid w:val="00422F66"/>
    <w:rsid w:val="00424499"/>
    <w:rsid w:val="00425AFA"/>
    <w:rsid w:val="00430B2C"/>
    <w:rsid w:val="00434E55"/>
    <w:rsid w:val="00437552"/>
    <w:rsid w:val="0044342D"/>
    <w:rsid w:val="00455240"/>
    <w:rsid w:val="00457398"/>
    <w:rsid w:val="00462D73"/>
    <w:rsid w:val="00463957"/>
    <w:rsid w:val="00472E58"/>
    <w:rsid w:val="00473095"/>
    <w:rsid w:val="004770EC"/>
    <w:rsid w:val="004825AC"/>
    <w:rsid w:val="00484EF1"/>
    <w:rsid w:val="0049537E"/>
    <w:rsid w:val="004A03D0"/>
    <w:rsid w:val="004A0834"/>
    <w:rsid w:val="004A09D7"/>
    <w:rsid w:val="004A31EF"/>
    <w:rsid w:val="004A68D5"/>
    <w:rsid w:val="004B4268"/>
    <w:rsid w:val="004B42E0"/>
    <w:rsid w:val="004C5A1D"/>
    <w:rsid w:val="004D234C"/>
    <w:rsid w:val="004E5FEC"/>
    <w:rsid w:val="004E6008"/>
    <w:rsid w:val="004F22B0"/>
    <w:rsid w:val="004F7CD9"/>
    <w:rsid w:val="00501E08"/>
    <w:rsid w:val="00507EDE"/>
    <w:rsid w:val="00524968"/>
    <w:rsid w:val="00532D0F"/>
    <w:rsid w:val="005349DD"/>
    <w:rsid w:val="00535C40"/>
    <w:rsid w:val="00541A2F"/>
    <w:rsid w:val="00543F9A"/>
    <w:rsid w:val="005511DB"/>
    <w:rsid w:val="00554D30"/>
    <w:rsid w:val="00555595"/>
    <w:rsid w:val="00555CBA"/>
    <w:rsid w:val="005642BE"/>
    <w:rsid w:val="005735AB"/>
    <w:rsid w:val="005738B9"/>
    <w:rsid w:val="0057562C"/>
    <w:rsid w:val="00580952"/>
    <w:rsid w:val="00580991"/>
    <w:rsid w:val="005815A2"/>
    <w:rsid w:val="005820F2"/>
    <w:rsid w:val="00590E50"/>
    <w:rsid w:val="005940F5"/>
    <w:rsid w:val="005A5B07"/>
    <w:rsid w:val="005B1174"/>
    <w:rsid w:val="005C0660"/>
    <w:rsid w:val="005C1D7C"/>
    <w:rsid w:val="005D431C"/>
    <w:rsid w:val="005E126D"/>
    <w:rsid w:val="005E363C"/>
    <w:rsid w:val="005E4441"/>
    <w:rsid w:val="005E6CC7"/>
    <w:rsid w:val="005F01B8"/>
    <w:rsid w:val="005F0E52"/>
    <w:rsid w:val="005F165B"/>
    <w:rsid w:val="005F29CC"/>
    <w:rsid w:val="00602597"/>
    <w:rsid w:val="0060402D"/>
    <w:rsid w:val="00604FD6"/>
    <w:rsid w:val="00611131"/>
    <w:rsid w:val="006138D3"/>
    <w:rsid w:val="00620623"/>
    <w:rsid w:val="00624E33"/>
    <w:rsid w:val="00636C90"/>
    <w:rsid w:val="0064187B"/>
    <w:rsid w:val="00651752"/>
    <w:rsid w:val="00656DC8"/>
    <w:rsid w:val="00663892"/>
    <w:rsid w:val="00672E77"/>
    <w:rsid w:val="0068218A"/>
    <w:rsid w:val="006822AE"/>
    <w:rsid w:val="00683848"/>
    <w:rsid w:val="00684E9F"/>
    <w:rsid w:val="006879E6"/>
    <w:rsid w:val="00690AE6"/>
    <w:rsid w:val="006A0E0D"/>
    <w:rsid w:val="006A23D2"/>
    <w:rsid w:val="006B3C87"/>
    <w:rsid w:val="006B57B8"/>
    <w:rsid w:val="006C4BA0"/>
    <w:rsid w:val="006D108A"/>
    <w:rsid w:val="006D7231"/>
    <w:rsid w:val="006E09CB"/>
    <w:rsid w:val="006F605F"/>
    <w:rsid w:val="00700269"/>
    <w:rsid w:val="00700604"/>
    <w:rsid w:val="00700E2D"/>
    <w:rsid w:val="00701EDA"/>
    <w:rsid w:val="00702C0A"/>
    <w:rsid w:val="0070705C"/>
    <w:rsid w:val="007216D5"/>
    <w:rsid w:val="007253AC"/>
    <w:rsid w:val="007300B8"/>
    <w:rsid w:val="00730989"/>
    <w:rsid w:val="00732372"/>
    <w:rsid w:val="00732BA9"/>
    <w:rsid w:val="00733B8B"/>
    <w:rsid w:val="007376A2"/>
    <w:rsid w:val="00737F40"/>
    <w:rsid w:val="007400FF"/>
    <w:rsid w:val="007408BF"/>
    <w:rsid w:val="00743ACB"/>
    <w:rsid w:val="00744BB2"/>
    <w:rsid w:val="00752014"/>
    <w:rsid w:val="0075656E"/>
    <w:rsid w:val="00757121"/>
    <w:rsid w:val="00757FA8"/>
    <w:rsid w:val="00761F5D"/>
    <w:rsid w:val="00767C63"/>
    <w:rsid w:val="00771FFF"/>
    <w:rsid w:val="00781378"/>
    <w:rsid w:val="00785189"/>
    <w:rsid w:val="007B5389"/>
    <w:rsid w:val="007C2A47"/>
    <w:rsid w:val="007D0999"/>
    <w:rsid w:val="007D2538"/>
    <w:rsid w:val="007D2887"/>
    <w:rsid w:val="007D6F90"/>
    <w:rsid w:val="007E01F4"/>
    <w:rsid w:val="007E4A68"/>
    <w:rsid w:val="007E7F2D"/>
    <w:rsid w:val="007F11FA"/>
    <w:rsid w:val="007F608C"/>
    <w:rsid w:val="00800ED0"/>
    <w:rsid w:val="008021D5"/>
    <w:rsid w:val="00807504"/>
    <w:rsid w:val="008076C7"/>
    <w:rsid w:val="008101E7"/>
    <w:rsid w:val="00810636"/>
    <w:rsid w:val="00812AA3"/>
    <w:rsid w:val="00814C18"/>
    <w:rsid w:val="008152F2"/>
    <w:rsid w:val="0081737A"/>
    <w:rsid w:val="00817FD0"/>
    <w:rsid w:val="00822439"/>
    <w:rsid w:val="00823238"/>
    <w:rsid w:val="00831F7C"/>
    <w:rsid w:val="008339FF"/>
    <w:rsid w:val="008350AA"/>
    <w:rsid w:val="0083748C"/>
    <w:rsid w:val="00837800"/>
    <w:rsid w:val="00840CE8"/>
    <w:rsid w:val="008445D4"/>
    <w:rsid w:val="0084546F"/>
    <w:rsid w:val="00846B33"/>
    <w:rsid w:val="00850589"/>
    <w:rsid w:val="00851005"/>
    <w:rsid w:val="00851AF2"/>
    <w:rsid w:val="0087043F"/>
    <w:rsid w:val="00871519"/>
    <w:rsid w:val="008749BC"/>
    <w:rsid w:val="00877B4B"/>
    <w:rsid w:val="00880480"/>
    <w:rsid w:val="0088191B"/>
    <w:rsid w:val="00882A39"/>
    <w:rsid w:val="00891CFE"/>
    <w:rsid w:val="00894538"/>
    <w:rsid w:val="00894DEA"/>
    <w:rsid w:val="00895186"/>
    <w:rsid w:val="00896AC1"/>
    <w:rsid w:val="00897C5D"/>
    <w:rsid w:val="008A1FD6"/>
    <w:rsid w:val="008A37E9"/>
    <w:rsid w:val="008A40F1"/>
    <w:rsid w:val="008A4A8A"/>
    <w:rsid w:val="008A5607"/>
    <w:rsid w:val="008B19EA"/>
    <w:rsid w:val="008B322A"/>
    <w:rsid w:val="008B46E0"/>
    <w:rsid w:val="008B5DB1"/>
    <w:rsid w:val="008C0721"/>
    <w:rsid w:val="008D1F51"/>
    <w:rsid w:val="008D77B1"/>
    <w:rsid w:val="008E0E02"/>
    <w:rsid w:val="008E1EA0"/>
    <w:rsid w:val="008E4387"/>
    <w:rsid w:val="008E6B35"/>
    <w:rsid w:val="008E7E48"/>
    <w:rsid w:val="008F1BE2"/>
    <w:rsid w:val="008F51FB"/>
    <w:rsid w:val="008F5241"/>
    <w:rsid w:val="00900089"/>
    <w:rsid w:val="00900122"/>
    <w:rsid w:val="00900469"/>
    <w:rsid w:val="009033A9"/>
    <w:rsid w:val="0090616E"/>
    <w:rsid w:val="009201F6"/>
    <w:rsid w:val="00925A41"/>
    <w:rsid w:val="00925B3F"/>
    <w:rsid w:val="009332F1"/>
    <w:rsid w:val="00934027"/>
    <w:rsid w:val="00935044"/>
    <w:rsid w:val="009361E5"/>
    <w:rsid w:val="0094174B"/>
    <w:rsid w:val="0094744E"/>
    <w:rsid w:val="0095013C"/>
    <w:rsid w:val="009526C6"/>
    <w:rsid w:val="00954F6E"/>
    <w:rsid w:val="00962B98"/>
    <w:rsid w:val="00963F84"/>
    <w:rsid w:val="009812AA"/>
    <w:rsid w:val="009821C0"/>
    <w:rsid w:val="00984C14"/>
    <w:rsid w:val="00984F39"/>
    <w:rsid w:val="00986961"/>
    <w:rsid w:val="00995554"/>
    <w:rsid w:val="009A023A"/>
    <w:rsid w:val="009A2A13"/>
    <w:rsid w:val="009B25A2"/>
    <w:rsid w:val="009B3100"/>
    <w:rsid w:val="009C16BF"/>
    <w:rsid w:val="009C359E"/>
    <w:rsid w:val="009D7908"/>
    <w:rsid w:val="009E2494"/>
    <w:rsid w:val="009E3292"/>
    <w:rsid w:val="009F2002"/>
    <w:rsid w:val="009F4153"/>
    <w:rsid w:val="009F4B31"/>
    <w:rsid w:val="00A001F3"/>
    <w:rsid w:val="00A00F4E"/>
    <w:rsid w:val="00A01F8A"/>
    <w:rsid w:val="00A06FFD"/>
    <w:rsid w:val="00A10427"/>
    <w:rsid w:val="00A12119"/>
    <w:rsid w:val="00A15412"/>
    <w:rsid w:val="00A16AAB"/>
    <w:rsid w:val="00A276C5"/>
    <w:rsid w:val="00A4148F"/>
    <w:rsid w:val="00A42497"/>
    <w:rsid w:val="00A472FB"/>
    <w:rsid w:val="00A50429"/>
    <w:rsid w:val="00A530DE"/>
    <w:rsid w:val="00A53108"/>
    <w:rsid w:val="00A61F4C"/>
    <w:rsid w:val="00A61FDD"/>
    <w:rsid w:val="00A645ED"/>
    <w:rsid w:val="00A66B11"/>
    <w:rsid w:val="00A70A13"/>
    <w:rsid w:val="00A70A57"/>
    <w:rsid w:val="00A70F86"/>
    <w:rsid w:val="00A75B47"/>
    <w:rsid w:val="00A75F19"/>
    <w:rsid w:val="00A81DE6"/>
    <w:rsid w:val="00A83F51"/>
    <w:rsid w:val="00A94297"/>
    <w:rsid w:val="00AA0437"/>
    <w:rsid w:val="00AA1208"/>
    <w:rsid w:val="00AA1D64"/>
    <w:rsid w:val="00AB2D66"/>
    <w:rsid w:val="00AB4F7F"/>
    <w:rsid w:val="00AB51E7"/>
    <w:rsid w:val="00AB7064"/>
    <w:rsid w:val="00AC49D4"/>
    <w:rsid w:val="00AC5308"/>
    <w:rsid w:val="00AD3BBC"/>
    <w:rsid w:val="00AD3C3E"/>
    <w:rsid w:val="00AD3CD2"/>
    <w:rsid w:val="00AD4C2A"/>
    <w:rsid w:val="00AD6C5A"/>
    <w:rsid w:val="00AE3E47"/>
    <w:rsid w:val="00AF05D8"/>
    <w:rsid w:val="00AF2E87"/>
    <w:rsid w:val="00AF4799"/>
    <w:rsid w:val="00B008F5"/>
    <w:rsid w:val="00B01FA6"/>
    <w:rsid w:val="00B050BE"/>
    <w:rsid w:val="00B23B90"/>
    <w:rsid w:val="00B24E6C"/>
    <w:rsid w:val="00B35A0A"/>
    <w:rsid w:val="00B4029A"/>
    <w:rsid w:val="00B418C2"/>
    <w:rsid w:val="00B41AF6"/>
    <w:rsid w:val="00B42532"/>
    <w:rsid w:val="00B42662"/>
    <w:rsid w:val="00B43359"/>
    <w:rsid w:val="00B44C3C"/>
    <w:rsid w:val="00B4516E"/>
    <w:rsid w:val="00B47026"/>
    <w:rsid w:val="00B51052"/>
    <w:rsid w:val="00B53ADD"/>
    <w:rsid w:val="00B53AF9"/>
    <w:rsid w:val="00B57794"/>
    <w:rsid w:val="00B63DC8"/>
    <w:rsid w:val="00B65A72"/>
    <w:rsid w:val="00B65FF2"/>
    <w:rsid w:val="00B83A23"/>
    <w:rsid w:val="00B926F1"/>
    <w:rsid w:val="00B9432D"/>
    <w:rsid w:val="00BA13DB"/>
    <w:rsid w:val="00BA2C02"/>
    <w:rsid w:val="00BB1B54"/>
    <w:rsid w:val="00BB25F2"/>
    <w:rsid w:val="00BC17B3"/>
    <w:rsid w:val="00BD0B40"/>
    <w:rsid w:val="00C0183E"/>
    <w:rsid w:val="00C05B1D"/>
    <w:rsid w:val="00C10412"/>
    <w:rsid w:val="00C12F45"/>
    <w:rsid w:val="00C179E1"/>
    <w:rsid w:val="00C210B0"/>
    <w:rsid w:val="00C21BB2"/>
    <w:rsid w:val="00C22453"/>
    <w:rsid w:val="00C316CD"/>
    <w:rsid w:val="00C316E8"/>
    <w:rsid w:val="00C352AB"/>
    <w:rsid w:val="00C37BD0"/>
    <w:rsid w:val="00C52486"/>
    <w:rsid w:val="00C52A6E"/>
    <w:rsid w:val="00C5553F"/>
    <w:rsid w:val="00C56C30"/>
    <w:rsid w:val="00C57B6D"/>
    <w:rsid w:val="00C71AE5"/>
    <w:rsid w:val="00C759E8"/>
    <w:rsid w:val="00C77782"/>
    <w:rsid w:val="00C81FA3"/>
    <w:rsid w:val="00C8257B"/>
    <w:rsid w:val="00C84B76"/>
    <w:rsid w:val="00C86BCE"/>
    <w:rsid w:val="00C939C7"/>
    <w:rsid w:val="00C96569"/>
    <w:rsid w:val="00CA0ABB"/>
    <w:rsid w:val="00CA6F65"/>
    <w:rsid w:val="00CA6FBB"/>
    <w:rsid w:val="00CB2389"/>
    <w:rsid w:val="00CB39C5"/>
    <w:rsid w:val="00CB3FD2"/>
    <w:rsid w:val="00CB5436"/>
    <w:rsid w:val="00CD4675"/>
    <w:rsid w:val="00CD58E6"/>
    <w:rsid w:val="00CD5D36"/>
    <w:rsid w:val="00CD68B6"/>
    <w:rsid w:val="00CE41AF"/>
    <w:rsid w:val="00CE486C"/>
    <w:rsid w:val="00CF06B7"/>
    <w:rsid w:val="00CF51B9"/>
    <w:rsid w:val="00CF54CD"/>
    <w:rsid w:val="00D064C9"/>
    <w:rsid w:val="00D12C14"/>
    <w:rsid w:val="00D15D2A"/>
    <w:rsid w:val="00D164C7"/>
    <w:rsid w:val="00D22E37"/>
    <w:rsid w:val="00D232E9"/>
    <w:rsid w:val="00D2524A"/>
    <w:rsid w:val="00D2701D"/>
    <w:rsid w:val="00D27F89"/>
    <w:rsid w:val="00D3285D"/>
    <w:rsid w:val="00D451D6"/>
    <w:rsid w:val="00D45EEC"/>
    <w:rsid w:val="00D5593A"/>
    <w:rsid w:val="00D55A63"/>
    <w:rsid w:val="00D579F0"/>
    <w:rsid w:val="00D641F4"/>
    <w:rsid w:val="00D642BC"/>
    <w:rsid w:val="00D655DB"/>
    <w:rsid w:val="00D6606B"/>
    <w:rsid w:val="00D72AC2"/>
    <w:rsid w:val="00D72DB4"/>
    <w:rsid w:val="00D73632"/>
    <w:rsid w:val="00D77322"/>
    <w:rsid w:val="00D7790D"/>
    <w:rsid w:val="00D800C2"/>
    <w:rsid w:val="00D83F0B"/>
    <w:rsid w:val="00D841D9"/>
    <w:rsid w:val="00D86B92"/>
    <w:rsid w:val="00D97DE3"/>
    <w:rsid w:val="00DA19BE"/>
    <w:rsid w:val="00DA31DB"/>
    <w:rsid w:val="00DA5511"/>
    <w:rsid w:val="00DB040F"/>
    <w:rsid w:val="00DB0A21"/>
    <w:rsid w:val="00DB5FC8"/>
    <w:rsid w:val="00DC0853"/>
    <w:rsid w:val="00DC3298"/>
    <w:rsid w:val="00DC3C01"/>
    <w:rsid w:val="00DE11D2"/>
    <w:rsid w:val="00DE1623"/>
    <w:rsid w:val="00DE3055"/>
    <w:rsid w:val="00DE30FB"/>
    <w:rsid w:val="00DE69AC"/>
    <w:rsid w:val="00DF5CB7"/>
    <w:rsid w:val="00DF5D6F"/>
    <w:rsid w:val="00DF7299"/>
    <w:rsid w:val="00DF738E"/>
    <w:rsid w:val="00E00C55"/>
    <w:rsid w:val="00E13DCC"/>
    <w:rsid w:val="00E15671"/>
    <w:rsid w:val="00E16BE9"/>
    <w:rsid w:val="00E171E2"/>
    <w:rsid w:val="00E20CA3"/>
    <w:rsid w:val="00E22B68"/>
    <w:rsid w:val="00E23F3D"/>
    <w:rsid w:val="00E43AA5"/>
    <w:rsid w:val="00E4574C"/>
    <w:rsid w:val="00E51BB7"/>
    <w:rsid w:val="00E57035"/>
    <w:rsid w:val="00E62D86"/>
    <w:rsid w:val="00E73325"/>
    <w:rsid w:val="00E73894"/>
    <w:rsid w:val="00E759EC"/>
    <w:rsid w:val="00E77321"/>
    <w:rsid w:val="00E81B1A"/>
    <w:rsid w:val="00E83ABD"/>
    <w:rsid w:val="00E83D05"/>
    <w:rsid w:val="00E8543C"/>
    <w:rsid w:val="00E86E81"/>
    <w:rsid w:val="00E901BE"/>
    <w:rsid w:val="00E95975"/>
    <w:rsid w:val="00EB0469"/>
    <w:rsid w:val="00EC4F1A"/>
    <w:rsid w:val="00ED03DA"/>
    <w:rsid w:val="00EE61C8"/>
    <w:rsid w:val="00EE63C9"/>
    <w:rsid w:val="00EF0EC0"/>
    <w:rsid w:val="00EF55C3"/>
    <w:rsid w:val="00F00781"/>
    <w:rsid w:val="00F01C9E"/>
    <w:rsid w:val="00F0306B"/>
    <w:rsid w:val="00F04098"/>
    <w:rsid w:val="00F04423"/>
    <w:rsid w:val="00F1048D"/>
    <w:rsid w:val="00F155AE"/>
    <w:rsid w:val="00F15FCC"/>
    <w:rsid w:val="00F21255"/>
    <w:rsid w:val="00F216BE"/>
    <w:rsid w:val="00F24ED0"/>
    <w:rsid w:val="00F37861"/>
    <w:rsid w:val="00F45BBD"/>
    <w:rsid w:val="00F4701D"/>
    <w:rsid w:val="00F510FD"/>
    <w:rsid w:val="00F52541"/>
    <w:rsid w:val="00F54EFD"/>
    <w:rsid w:val="00F5573C"/>
    <w:rsid w:val="00F615A4"/>
    <w:rsid w:val="00F63D84"/>
    <w:rsid w:val="00F64AC3"/>
    <w:rsid w:val="00F664FF"/>
    <w:rsid w:val="00F72284"/>
    <w:rsid w:val="00F75341"/>
    <w:rsid w:val="00F82376"/>
    <w:rsid w:val="00F82553"/>
    <w:rsid w:val="00FA2BC8"/>
    <w:rsid w:val="00FA3AD4"/>
    <w:rsid w:val="00FA7FA9"/>
    <w:rsid w:val="00FB3EB4"/>
    <w:rsid w:val="00FB450E"/>
    <w:rsid w:val="00FB5A17"/>
    <w:rsid w:val="00FC7D42"/>
    <w:rsid w:val="00FD4946"/>
    <w:rsid w:val="00FD590A"/>
    <w:rsid w:val="00FE01BE"/>
    <w:rsid w:val="00FE13C4"/>
    <w:rsid w:val="00FE33A7"/>
    <w:rsid w:val="00FF0075"/>
    <w:rsid w:val="00FF1B68"/>
    <w:rsid w:val="00FF3C1E"/>
    <w:rsid w:val="00FF4AC0"/>
    <w:rsid w:val="00FF75A2"/>
    <w:rsid w:val="383E170F"/>
    <w:rsid w:val="3B7C2DF9"/>
    <w:rsid w:val="3D6F1463"/>
    <w:rsid w:val="409AA0E8"/>
    <w:rsid w:val="574C15CB"/>
    <w:rsid w:val="63F9C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DF4A"/>
  <w15:chartTrackingRefBased/>
  <w15:docId w15:val="{B8221EF0-159D-4ECF-A31C-F784019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73C"/>
    <w:pPr>
      <w:spacing w:before="120" w:after="120" w:line="276" w:lineRule="auto"/>
    </w:pPr>
    <w:rPr>
      <w:rFonts w:ascii="Arial" w:hAnsi="Arial" w:cs="Arial"/>
    </w:rPr>
  </w:style>
  <w:style w:type="paragraph" w:styleId="Heading1">
    <w:name w:val="heading 1"/>
    <w:aliases w:val="Policy Heading"/>
    <w:basedOn w:val="Normal"/>
    <w:next w:val="Normal"/>
    <w:link w:val="Heading1Char"/>
    <w:uiPriority w:val="9"/>
    <w:qFormat/>
    <w:rsid w:val="00F04098"/>
    <w:pPr>
      <w:keepNext/>
      <w:keepLines/>
      <w:spacing w:before="240" w:after="80"/>
      <w:outlineLvl w:val="0"/>
    </w:pPr>
    <w:rPr>
      <w:rFonts w:eastAsiaTheme="majorEastAsia"/>
      <w:b/>
      <w:bCs/>
      <w:color w:val="222D69" w:themeColor="accent1"/>
      <w:sz w:val="36"/>
      <w:szCs w:val="36"/>
    </w:rPr>
  </w:style>
  <w:style w:type="paragraph" w:styleId="Heading2">
    <w:name w:val="heading 2"/>
    <w:basedOn w:val="Heading1"/>
    <w:next w:val="Normal"/>
    <w:link w:val="Heading2Char"/>
    <w:uiPriority w:val="9"/>
    <w:unhideWhenUsed/>
    <w:qFormat/>
    <w:rsid w:val="00AD4C2A"/>
    <w:pPr>
      <w:outlineLvl w:val="1"/>
    </w:pPr>
  </w:style>
  <w:style w:type="paragraph" w:styleId="Heading3">
    <w:name w:val="heading 3"/>
    <w:basedOn w:val="Heading2"/>
    <w:next w:val="Normal"/>
    <w:link w:val="Heading3Char"/>
    <w:uiPriority w:val="9"/>
    <w:unhideWhenUsed/>
    <w:qFormat/>
    <w:rsid w:val="00FA3AD4"/>
    <w:pPr>
      <w:numPr>
        <w:numId w:val="3"/>
      </w:numPr>
      <w:pBdr>
        <w:bottom w:val="single" w:sz="4" w:space="1" w:color="auto"/>
      </w:pBdr>
      <w:spacing w:before="120"/>
      <w:outlineLvl w:val="2"/>
    </w:pPr>
    <w:rPr>
      <w:color w:val="auto"/>
      <w:sz w:val="28"/>
      <w:szCs w:val="28"/>
    </w:rPr>
  </w:style>
  <w:style w:type="paragraph" w:styleId="Heading4">
    <w:name w:val="heading 4"/>
    <w:basedOn w:val="Normal"/>
    <w:next w:val="Normal"/>
    <w:link w:val="Heading4Char"/>
    <w:uiPriority w:val="9"/>
    <w:semiHidden/>
    <w:unhideWhenUsed/>
    <w:qFormat/>
    <w:rsid w:val="00B24E6C"/>
    <w:pPr>
      <w:keepNext/>
      <w:keepLines/>
      <w:spacing w:before="80" w:after="40"/>
      <w:outlineLvl w:val="3"/>
    </w:pPr>
    <w:rPr>
      <w:rFonts w:eastAsiaTheme="majorEastAsia" w:cstheme="majorBidi"/>
      <w:i/>
      <w:iCs/>
      <w:color w:val="19214E" w:themeColor="accent1" w:themeShade="BF"/>
    </w:rPr>
  </w:style>
  <w:style w:type="paragraph" w:styleId="Heading5">
    <w:name w:val="heading 5"/>
    <w:basedOn w:val="Normal"/>
    <w:next w:val="Normal"/>
    <w:link w:val="Heading5Char"/>
    <w:uiPriority w:val="9"/>
    <w:semiHidden/>
    <w:unhideWhenUsed/>
    <w:qFormat/>
    <w:rsid w:val="00B24E6C"/>
    <w:pPr>
      <w:keepNext/>
      <w:keepLines/>
      <w:spacing w:before="80" w:after="40"/>
      <w:outlineLvl w:val="4"/>
    </w:pPr>
    <w:rPr>
      <w:rFonts w:eastAsiaTheme="majorEastAsia" w:cstheme="majorBidi"/>
      <w:color w:val="19214E" w:themeColor="accent1" w:themeShade="BF"/>
    </w:rPr>
  </w:style>
  <w:style w:type="paragraph" w:styleId="Heading6">
    <w:name w:val="heading 6"/>
    <w:basedOn w:val="Normal"/>
    <w:next w:val="Normal"/>
    <w:link w:val="Heading6Char"/>
    <w:uiPriority w:val="9"/>
    <w:semiHidden/>
    <w:unhideWhenUsed/>
    <w:qFormat/>
    <w:rsid w:val="00B24E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E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E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E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licy Heading Char"/>
    <w:basedOn w:val="DefaultParagraphFont"/>
    <w:link w:val="Heading1"/>
    <w:uiPriority w:val="9"/>
    <w:rsid w:val="00F04098"/>
    <w:rPr>
      <w:rFonts w:ascii="Arial" w:eastAsiaTheme="majorEastAsia" w:hAnsi="Arial" w:cs="Arial"/>
      <w:b/>
      <w:bCs/>
      <w:color w:val="222D69" w:themeColor="accent1"/>
      <w:sz w:val="36"/>
      <w:szCs w:val="36"/>
    </w:rPr>
  </w:style>
  <w:style w:type="character" w:customStyle="1" w:styleId="Heading2Char">
    <w:name w:val="Heading 2 Char"/>
    <w:basedOn w:val="DefaultParagraphFont"/>
    <w:link w:val="Heading2"/>
    <w:uiPriority w:val="9"/>
    <w:rsid w:val="00AD4C2A"/>
    <w:rPr>
      <w:rFonts w:ascii="Arial" w:eastAsiaTheme="majorEastAsia" w:hAnsi="Arial" w:cs="Arial"/>
      <w:b/>
      <w:bCs/>
      <w:color w:val="222D69" w:themeColor="accent1"/>
      <w:sz w:val="36"/>
      <w:szCs w:val="36"/>
    </w:rPr>
  </w:style>
  <w:style w:type="character" w:customStyle="1" w:styleId="Heading3Char">
    <w:name w:val="Heading 3 Char"/>
    <w:basedOn w:val="DefaultParagraphFont"/>
    <w:link w:val="Heading3"/>
    <w:uiPriority w:val="9"/>
    <w:rsid w:val="00FA3AD4"/>
    <w:rPr>
      <w:rFonts w:ascii="Arial" w:eastAsiaTheme="majorEastAsia" w:hAnsi="Arial" w:cs="Arial"/>
      <w:b/>
      <w:bCs/>
      <w:sz w:val="28"/>
      <w:szCs w:val="28"/>
    </w:rPr>
  </w:style>
  <w:style w:type="character" w:customStyle="1" w:styleId="Heading4Char">
    <w:name w:val="Heading 4 Char"/>
    <w:basedOn w:val="DefaultParagraphFont"/>
    <w:link w:val="Heading4"/>
    <w:uiPriority w:val="9"/>
    <w:semiHidden/>
    <w:rsid w:val="00B24E6C"/>
    <w:rPr>
      <w:rFonts w:eastAsiaTheme="majorEastAsia" w:cstheme="majorBidi"/>
      <w:i/>
      <w:iCs/>
      <w:color w:val="19214E" w:themeColor="accent1" w:themeShade="BF"/>
    </w:rPr>
  </w:style>
  <w:style w:type="character" w:customStyle="1" w:styleId="Heading5Char">
    <w:name w:val="Heading 5 Char"/>
    <w:basedOn w:val="DefaultParagraphFont"/>
    <w:link w:val="Heading5"/>
    <w:uiPriority w:val="9"/>
    <w:semiHidden/>
    <w:rsid w:val="00B24E6C"/>
    <w:rPr>
      <w:rFonts w:eastAsiaTheme="majorEastAsia" w:cstheme="majorBidi"/>
      <w:color w:val="19214E" w:themeColor="accent1" w:themeShade="BF"/>
    </w:rPr>
  </w:style>
  <w:style w:type="character" w:customStyle="1" w:styleId="Heading6Char">
    <w:name w:val="Heading 6 Char"/>
    <w:basedOn w:val="DefaultParagraphFont"/>
    <w:link w:val="Heading6"/>
    <w:uiPriority w:val="9"/>
    <w:semiHidden/>
    <w:rsid w:val="00B2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4E6C"/>
    <w:rPr>
      <w:rFonts w:eastAsiaTheme="majorEastAsia" w:cstheme="majorBidi"/>
      <w:color w:val="272727" w:themeColor="text1" w:themeTint="D8"/>
    </w:rPr>
  </w:style>
  <w:style w:type="paragraph" w:styleId="Title">
    <w:name w:val="Title"/>
    <w:basedOn w:val="Normal"/>
    <w:next w:val="Normal"/>
    <w:link w:val="TitleChar"/>
    <w:uiPriority w:val="10"/>
    <w:qFormat/>
    <w:rsid w:val="00B24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E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E6C"/>
    <w:pPr>
      <w:spacing w:before="160"/>
      <w:jc w:val="center"/>
    </w:pPr>
    <w:rPr>
      <w:i/>
      <w:iCs/>
      <w:color w:val="404040" w:themeColor="text1" w:themeTint="BF"/>
    </w:rPr>
  </w:style>
  <w:style w:type="character" w:customStyle="1" w:styleId="QuoteChar">
    <w:name w:val="Quote Char"/>
    <w:basedOn w:val="DefaultParagraphFont"/>
    <w:link w:val="Quote"/>
    <w:uiPriority w:val="29"/>
    <w:rsid w:val="00B24E6C"/>
    <w:rPr>
      <w:i/>
      <w:iCs/>
      <w:color w:val="404040" w:themeColor="text1" w:themeTint="BF"/>
    </w:rPr>
  </w:style>
  <w:style w:type="paragraph" w:styleId="ListParagraph">
    <w:name w:val="List Paragraph"/>
    <w:basedOn w:val="Normal"/>
    <w:link w:val="ListParagraphChar"/>
    <w:uiPriority w:val="34"/>
    <w:qFormat/>
    <w:rsid w:val="001B3B8F"/>
    <w:pPr>
      <w:numPr>
        <w:numId w:val="4"/>
      </w:numPr>
      <w:spacing w:after="80"/>
    </w:pPr>
  </w:style>
  <w:style w:type="character" w:styleId="IntenseEmphasis">
    <w:name w:val="Intense Emphasis"/>
    <w:basedOn w:val="DefaultParagraphFont"/>
    <w:uiPriority w:val="21"/>
    <w:qFormat/>
    <w:rsid w:val="00B24E6C"/>
    <w:rPr>
      <w:i/>
      <w:iCs/>
      <w:color w:val="19214E" w:themeColor="accent1" w:themeShade="BF"/>
    </w:rPr>
  </w:style>
  <w:style w:type="paragraph" w:styleId="IntenseQuote">
    <w:name w:val="Intense Quote"/>
    <w:basedOn w:val="Normal"/>
    <w:next w:val="Normal"/>
    <w:link w:val="IntenseQuoteChar"/>
    <w:uiPriority w:val="30"/>
    <w:qFormat/>
    <w:rsid w:val="00B24E6C"/>
    <w:pPr>
      <w:pBdr>
        <w:top w:val="single" w:sz="4" w:space="10" w:color="19214E" w:themeColor="accent1" w:themeShade="BF"/>
        <w:bottom w:val="single" w:sz="4" w:space="10" w:color="19214E" w:themeColor="accent1" w:themeShade="BF"/>
      </w:pBdr>
      <w:spacing w:before="360" w:after="360"/>
      <w:ind w:left="864" w:right="864"/>
      <w:jc w:val="center"/>
    </w:pPr>
    <w:rPr>
      <w:i/>
      <w:iCs/>
      <w:color w:val="19214E" w:themeColor="accent1" w:themeShade="BF"/>
    </w:rPr>
  </w:style>
  <w:style w:type="character" w:customStyle="1" w:styleId="IntenseQuoteChar">
    <w:name w:val="Intense Quote Char"/>
    <w:basedOn w:val="DefaultParagraphFont"/>
    <w:link w:val="IntenseQuote"/>
    <w:uiPriority w:val="30"/>
    <w:rsid w:val="00B24E6C"/>
    <w:rPr>
      <w:i/>
      <w:iCs/>
      <w:color w:val="19214E" w:themeColor="accent1" w:themeShade="BF"/>
    </w:rPr>
  </w:style>
  <w:style w:type="character" w:styleId="IntenseReference">
    <w:name w:val="Intense Reference"/>
    <w:basedOn w:val="DefaultParagraphFont"/>
    <w:uiPriority w:val="32"/>
    <w:qFormat/>
    <w:rsid w:val="00B24E6C"/>
    <w:rPr>
      <w:b/>
      <w:bCs/>
      <w:smallCaps/>
      <w:color w:val="19214E" w:themeColor="accent1" w:themeShade="BF"/>
      <w:spacing w:val="5"/>
    </w:rPr>
  </w:style>
  <w:style w:type="paragraph" w:styleId="Header">
    <w:name w:val="header"/>
    <w:basedOn w:val="Normal"/>
    <w:link w:val="HeaderChar"/>
    <w:uiPriority w:val="99"/>
    <w:unhideWhenUsed/>
    <w:rsid w:val="00B24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E6C"/>
  </w:style>
  <w:style w:type="paragraph" w:styleId="Footer">
    <w:name w:val="footer"/>
    <w:basedOn w:val="Normal"/>
    <w:link w:val="FooterChar"/>
    <w:uiPriority w:val="99"/>
    <w:unhideWhenUsed/>
    <w:rsid w:val="00B24E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6C"/>
  </w:style>
  <w:style w:type="table" w:customStyle="1" w:styleId="TableGrid1">
    <w:name w:val="Table Grid1"/>
    <w:basedOn w:val="TableNormal"/>
    <w:next w:val="TableGrid"/>
    <w:uiPriority w:val="39"/>
    <w:rsid w:val="00B63DC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ed">
    <w:name w:val="List Bulleted"/>
    <w:basedOn w:val="ListParagraph"/>
    <w:link w:val="ListBulletedChar"/>
    <w:qFormat/>
    <w:rsid w:val="005B1174"/>
    <w:pPr>
      <w:numPr>
        <w:numId w:val="5"/>
      </w:numPr>
    </w:pPr>
  </w:style>
  <w:style w:type="character" w:customStyle="1" w:styleId="ListParagraphChar">
    <w:name w:val="List Paragraph Char"/>
    <w:basedOn w:val="DefaultParagraphFont"/>
    <w:link w:val="ListParagraph"/>
    <w:uiPriority w:val="34"/>
    <w:rsid w:val="001B3B8F"/>
    <w:rPr>
      <w:rFonts w:ascii="Arial" w:hAnsi="Arial" w:cs="Arial"/>
    </w:rPr>
  </w:style>
  <w:style w:type="character" w:customStyle="1" w:styleId="ListBulletedChar">
    <w:name w:val="List Bulleted Char"/>
    <w:basedOn w:val="ListParagraphChar"/>
    <w:link w:val="ListBulleted"/>
    <w:rsid w:val="005B1174"/>
    <w:rPr>
      <w:rFonts w:ascii="Arial" w:hAnsi="Arial" w:cs="Arial"/>
    </w:rPr>
  </w:style>
  <w:style w:type="table" w:customStyle="1" w:styleId="TableGrid2">
    <w:name w:val="Table Grid2"/>
    <w:basedOn w:val="TableNormal"/>
    <w:next w:val="TableGrid"/>
    <w:uiPriority w:val="39"/>
    <w:rsid w:val="00224B5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Combo">
    <w:name w:val="List Combo"/>
    <w:basedOn w:val="ListParagraph"/>
    <w:link w:val="ListComboChar"/>
    <w:rsid w:val="00E73894"/>
    <w:pPr>
      <w:numPr>
        <w:ilvl w:val="1"/>
        <w:numId w:val="1"/>
      </w:numPr>
    </w:pPr>
  </w:style>
  <w:style w:type="character" w:customStyle="1" w:styleId="ListComboChar">
    <w:name w:val="List Combo Char"/>
    <w:basedOn w:val="ListParagraphChar"/>
    <w:link w:val="ListCombo"/>
    <w:rsid w:val="00E73894"/>
    <w:rPr>
      <w:rFonts w:ascii="Arial" w:hAnsi="Arial" w:cs="Arial"/>
    </w:rPr>
  </w:style>
  <w:style w:type="paragraph" w:customStyle="1" w:styleId="THead">
    <w:name w:val="THead"/>
    <w:basedOn w:val="Normal"/>
    <w:link w:val="THeadChar"/>
    <w:autoRedefine/>
    <w:rsid w:val="001901F0"/>
    <w:pPr>
      <w:autoSpaceDE w:val="0"/>
      <w:autoSpaceDN w:val="0"/>
      <w:adjustRightInd w:val="0"/>
    </w:pPr>
    <w:rPr>
      <w:rFonts w:eastAsia="Times New Roman" w:cstheme="minorHAnsi"/>
      <w:b/>
      <w:color w:val="000000"/>
      <w:kern w:val="0"/>
      <w14:ligatures w14:val="none"/>
    </w:rPr>
  </w:style>
  <w:style w:type="character" w:customStyle="1" w:styleId="THeadChar">
    <w:name w:val="THead Char"/>
    <w:basedOn w:val="DefaultParagraphFont"/>
    <w:link w:val="THead"/>
    <w:rsid w:val="001901F0"/>
    <w:rPr>
      <w:rFonts w:ascii="Arial" w:eastAsia="Times New Roman" w:hAnsi="Arial" w:cstheme="minorHAnsi"/>
      <w:b/>
      <w:color w:val="000000"/>
      <w:kern w:val="0"/>
      <w14:ligatures w14:val="none"/>
    </w:rPr>
  </w:style>
  <w:style w:type="character" w:styleId="Hyperlink">
    <w:name w:val="Hyperlink"/>
    <w:basedOn w:val="DefaultParagraphFont"/>
    <w:uiPriority w:val="99"/>
    <w:unhideWhenUsed/>
    <w:rsid w:val="00EE61C8"/>
    <w:rPr>
      <w:color w:val="9F3223" w:themeColor="hyperlink"/>
      <w:u w:val="single"/>
    </w:rPr>
  </w:style>
  <w:style w:type="character" w:customStyle="1" w:styleId="ui-provider">
    <w:name w:val="ui-provider"/>
    <w:basedOn w:val="DefaultParagraphFont"/>
    <w:rsid w:val="0068218A"/>
  </w:style>
  <w:style w:type="paragraph" w:styleId="Revision">
    <w:name w:val="Revision"/>
    <w:hidden/>
    <w:uiPriority w:val="99"/>
    <w:semiHidden/>
    <w:rsid w:val="00DB040F"/>
    <w:pPr>
      <w:spacing w:after="0" w:line="240" w:lineRule="auto"/>
    </w:pPr>
    <w:rPr>
      <w:rFonts w:ascii="Arial" w:hAnsi="Arial" w:cs="Arial"/>
    </w:rPr>
  </w:style>
  <w:style w:type="character" w:styleId="CommentReference">
    <w:name w:val="annotation reference"/>
    <w:basedOn w:val="DefaultParagraphFont"/>
    <w:uiPriority w:val="99"/>
    <w:semiHidden/>
    <w:unhideWhenUsed/>
    <w:rsid w:val="004A68D5"/>
    <w:rPr>
      <w:sz w:val="16"/>
      <w:szCs w:val="16"/>
    </w:rPr>
  </w:style>
  <w:style w:type="paragraph" w:styleId="CommentText">
    <w:name w:val="annotation text"/>
    <w:basedOn w:val="Normal"/>
    <w:link w:val="CommentTextChar"/>
    <w:uiPriority w:val="99"/>
    <w:unhideWhenUsed/>
    <w:rsid w:val="004A68D5"/>
    <w:pPr>
      <w:spacing w:line="240" w:lineRule="auto"/>
    </w:pPr>
    <w:rPr>
      <w:sz w:val="20"/>
      <w:szCs w:val="20"/>
    </w:rPr>
  </w:style>
  <w:style w:type="character" w:customStyle="1" w:styleId="CommentTextChar">
    <w:name w:val="Comment Text Char"/>
    <w:basedOn w:val="DefaultParagraphFont"/>
    <w:link w:val="CommentText"/>
    <w:uiPriority w:val="99"/>
    <w:rsid w:val="004A68D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02320"/>
    <w:rPr>
      <w:b/>
      <w:bCs/>
    </w:rPr>
  </w:style>
  <w:style w:type="character" w:customStyle="1" w:styleId="CommentSubjectChar">
    <w:name w:val="Comment Subject Char"/>
    <w:basedOn w:val="CommentTextChar"/>
    <w:link w:val="CommentSubject"/>
    <w:uiPriority w:val="99"/>
    <w:semiHidden/>
    <w:rsid w:val="00102320"/>
    <w:rPr>
      <w:rFonts w:ascii="Arial" w:hAnsi="Arial" w:cs="Arial"/>
      <w:b/>
      <w:bCs/>
      <w:sz w:val="20"/>
      <w:szCs w:val="20"/>
    </w:rPr>
  </w:style>
  <w:style w:type="character" w:styleId="UnresolvedMention">
    <w:name w:val="Unresolved Mention"/>
    <w:basedOn w:val="DefaultParagraphFont"/>
    <w:uiPriority w:val="99"/>
    <w:semiHidden/>
    <w:unhideWhenUsed/>
    <w:rsid w:val="00411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0588">
      <w:bodyDiv w:val="1"/>
      <w:marLeft w:val="0"/>
      <w:marRight w:val="0"/>
      <w:marTop w:val="0"/>
      <w:marBottom w:val="0"/>
      <w:divBdr>
        <w:top w:val="none" w:sz="0" w:space="0" w:color="auto"/>
        <w:left w:val="none" w:sz="0" w:space="0" w:color="auto"/>
        <w:bottom w:val="none" w:sz="0" w:space="0" w:color="auto"/>
        <w:right w:val="none" w:sz="0" w:space="0" w:color="auto"/>
      </w:divBdr>
    </w:div>
    <w:div w:id="1218083757">
      <w:bodyDiv w:val="1"/>
      <w:marLeft w:val="0"/>
      <w:marRight w:val="0"/>
      <w:marTop w:val="0"/>
      <w:marBottom w:val="0"/>
      <w:divBdr>
        <w:top w:val="none" w:sz="0" w:space="0" w:color="auto"/>
        <w:left w:val="none" w:sz="0" w:space="0" w:color="auto"/>
        <w:bottom w:val="none" w:sz="0" w:space="0" w:color="auto"/>
        <w:right w:val="none" w:sz="0" w:space="0" w:color="auto"/>
      </w:divBdr>
    </w:div>
    <w:div w:id="1320114524">
      <w:bodyDiv w:val="1"/>
      <w:marLeft w:val="0"/>
      <w:marRight w:val="0"/>
      <w:marTop w:val="0"/>
      <w:marBottom w:val="0"/>
      <w:divBdr>
        <w:top w:val="none" w:sz="0" w:space="0" w:color="auto"/>
        <w:left w:val="none" w:sz="0" w:space="0" w:color="auto"/>
        <w:bottom w:val="none" w:sz="0" w:space="0" w:color="auto"/>
        <w:right w:val="none" w:sz="0" w:space="0" w:color="auto"/>
      </w:divBdr>
    </w:div>
    <w:div w:id="1456749342">
      <w:bodyDiv w:val="1"/>
      <w:marLeft w:val="0"/>
      <w:marRight w:val="0"/>
      <w:marTop w:val="0"/>
      <w:marBottom w:val="0"/>
      <w:divBdr>
        <w:top w:val="none" w:sz="0" w:space="0" w:color="auto"/>
        <w:left w:val="none" w:sz="0" w:space="0" w:color="auto"/>
        <w:bottom w:val="none" w:sz="0" w:space="0" w:color="auto"/>
        <w:right w:val="none" w:sz="0" w:space="0" w:color="auto"/>
      </w:divBdr>
    </w:div>
    <w:div w:id="1698852697">
      <w:bodyDiv w:val="1"/>
      <w:marLeft w:val="0"/>
      <w:marRight w:val="0"/>
      <w:marTop w:val="0"/>
      <w:marBottom w:val="0"/>
      <w:divBdr>
        <w:top w:val="none" w:sz="0" w:space="0" w:color="auto"/>
        <w:left w:val="none" w:sz="0" w:space="0" w:color="auto"/>
        <w:bottom w:val="none" w:sz="0" w:space="0" w:color="auto"/>
        <w:right w:val="none" w:sz="0" w:space="0" w:color="auto"/>
      </w:divBdr>
    </w:div>
    <w:div w:id="1861045739">
      <w:bodyDiv w:val="1"/>
      <w:marLeft w:val="0"/>
      <w:marRight w:val="0"/>
      <w:marTop w:val="0"/>
      <w:marBottom w:val="0"/>
      <w:divBdr>
        <w:top w:val="none" w:sz="0" w:space="0" w:color="auto"/>
        <w:left w:val="none" w:sz="0" w:space="0" w:color="auto"/>
        <w:bottom w:val="none" w:sz="0" w:space="0" w:color="auto"/>
        <w:right w:val="none" w:sz="0" w:space="0" w:color="auto"/>
      </w:divBdr>
    </w:div>
    <w:div w:id="194152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cfr.gov/current/title-2/subtitle-A/chapter-II/part-200/subpart-E/subject-group-ECFR1f52baf5ea70fff/section-200.400" TargetMode="External"/><Relationship Id="rId18" Type="http://schemas.openxmlformats.org/officeDocument/2006/relationships/hyperlink" Target="https://statutes.capitol.texas.gov/Docs/GV/htm/GV.2155.ht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cfr.gov/current/title-2/subtitle-A/chapter-II/part-200/subpart-D/section-200.302" TargetMode="External"/><Relationship Id="rId17" Type="http://schemas.openxmlformats.org/officeDocument/2006/relationships/hyperlink" Target="https://texreg.sos.state.tx.us/public/readtac$ext.ViewTAC?tac_view=4&amp;ti=34&amp;pt=1&amp;ch=2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urrent/title-2/subtitle-B/chapter-XXXIV/part-3474" TargetMode="External"/><Relationship Id="rId20" Type="http://schemas.openxmlformats.org/officeDocument/2006/relationships/hyperlink" Target="https://statutes.capitol.texas.gov/Docs/GV/htm/GV.2252.ht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ubtitle-A/chapter-II/part-200/subpart-D/subject-group-ECFR45ddd4419ad436d/section-200.317" TargetMode="Externa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ecfr.gov/current/title-2/subtitle-B/chapter-XXXIV/part-3485" TargetMode="External"/><Relationship Id="rId23" Type="http://schemas.openxmlformats.org/officeDocument/2006/relationships/fontTable" Target="fontTable.xml"/><Relationship Id="rId10" Type="http://schemas.openxmlformats.org/officeDocument/2006/relationships/hyperlink" Target="https://www.govinfo.gov/content/pkg/CFR-2022-title34-vol2/pdf/CFR-2022-title34-vol2-part361.pdf" TargetMode="External"/><Relationship Id="rId19" Type="http://schemas.openxmlformats.org/officeDocument/2006/relationships/hyperlink" Target="https://texreg.sos.state.tx.us/public/readtac$ext.TacPage?sl=R&amp;app=9&amp;p_dir=&amp;p_rloc=&amp;p_tloc=&amp;p_ploc=&amp;pg=1&amp;p_tac=&amp;ti=34&amp;pt=1&amp;ch=20&amp;rl=48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cfr.gov/current/title-34/subtitle-A"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WC24">
  <a:themeElements>
    <a:clrScheme name="Texas">
      <a:dk1>
        <a:sysClr val="windowText" lastClr="000000"/>
      </a:dk1>
      <a:lt1>
        <a:sysClr val="window" lastClr="FFFFFF"/>
      </a:lt1>
      <a:dk2>
        <a:srgbClr val="44546A"/>
      </a:dk2>
      <a:lt2>
        <a:srgbClr val="E7E6E6"/>
      </a:lt2>
      <a:accent1>
        <a:srgbClr val="222D69"/>
      </a:accent1>
      <a:accent2>
        <a:srgbClr val="9F3223"/>
      </a:accent2>
      <a:accent3>
        <a:srgbClr val="D7E5F5"/>
      </a:accent3>
      <a:accent4>
        <a:srgbClr val="F0F4FA"/>
      </a:accent4>
      <a:accent5>
        <a:srgbClr val="E07D50"/>
      </a:accent5>
      <a:accent6>
        <a:srgbClr val="7F7F7F"/>
      </a:accent6>
      <a:hlink>
        <a:srgbClr val="9F3223"/>
      </a:hlink>
      <a:folHlink>
        <a:srgbClr val="222D6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1984A3BD07E438BCF27F0A0E4CC59" ma:contentTypeVersion="16" ma:contentTypeDescription="Create a new document." ma:contentTypeScope="" ma:versionID="d9e11a3a1293357a458de44e2f1b25fc">
  <xsd:schema xmlns:xsd="http://www.w3.org/2001/XMLSchema" xmlns:xs="http://www.w3.org/2001/XMLSchema" xmlns:p="http://schemas.microsoft.com/office/2006/metadata/properties" xmlns:ns2="6bfde61a-94c1-42db-b4d1-79e5b3c6adc0" xmlns:ns3="58825e9e-cc90-40c0-979d-f08666619410" xmlns:ns4="041c5daf-9d3a-4e9a-b660-f4ef0b4e5805" targetNamespace="http://schemas.microsoft.com/office/2006/metadata/properties" ma:root="true" ma:fieldsID="68832a97d76245de4aa90c17116d8d6f" ns2:_="" ns3:_="" ns4:_="">
    <xsd:import namespace="6bfde61a-94c1-42db-b4d1-79e5b3c6adc0"/>
    <xsd:import namespace="58825e9e-cc90-40c0-979d-f08666619410"/>
    <xsd:import namespace="041c5daf-9d3a-4e9a-b660-f4ef0b4e5805"/>
    <xsd:element name="properties">
      <xsd:complexType>
        <xsd:sequence>
          <xsd:element name="documentManagement">
            <xsd:complexType>
              <xsd:all>
                <xsd:element ref="ns2:Comments" minOccurs="0"/>
                <xsd:element ref="ns2:MediaServiceMetadata" minOccurs="0"/>
                <xsd:element ref="ns2:MediaServiceFastMetadata" minOccurs="0"/>
                <xsd:element ref="ns2:Assignedto" minOccurs="0"/>
                <xsd:element ref="ns2:CheckedOut" minOccurs="0"/>
                <xsd:element ref="ns2:VerifiedPublication" minOccurs="0"/>
                <xsd:element ref="ns2:MediaServiceDateTaken" minOccurs="0"/>
                <xsd:element ref="ns2:MediaLengthInSeconds" minOccurs="0"/>
                <xsd:element ref="ns3:SharedWithUsers" minOccurs="0"/>
                <xsd:element ref="ns4: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de61a-94c1-42db-b4d1-79e5b3c6adc0" elementFormDefault="qualified">
    <xsd:import namespace="http://schemas.microsoft.com/office/2006/documentManagement/types"/>
    <xsd:import namespace="http://schemas.microsoft.com/office/infopath/2007/PartnerControls"/>
    <xsd:element name="Comments" ma:index="8" nillable="true" ma:displayName="Revision Desc" ma:format="Dropdown" ma:internalName="Comments">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Assignedto" ma:index="11"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Out" ma:index="12" nillable="true" ma:displayName="Checked Out" ma:format="Dropdown" ma:internalName="CheckedOut">
      <xsd:simpleType>
        <xsd:restriction base="dms:Text">
          <xsd:maxLength value="255"/>
        </xsd:restriction>
      </xsd:simpleType>
    </xsd:element>
    <xsd:element name="VerifiedPublication" ma:index="13" nillable="true" ma:displayName="Verified Publication" ma:default="0" ma:description="Verified Publication" ma:format="Dropdown" ma:internalName="VerifiedPublication">
      <xsd:simpleType>
        <xsd:restriction base="dms:Boolea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25e9e-cc90-40c0-979d-f0866661941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1c5daf-9d3a-4e9a-b660-f4ef0b4e5805"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ifiedPublication xmlns="6bfde61a-94c1-42db-b4d1-79e5b3c6adc0">false</VerifiedPublication>
    <CheckedOut xmlns="6bfde61a-94c1-42db-b4d1-79e5b3c6adc0" xsi:nil="true"/>
    <Assignedto xmlns="6bfde61a-94c1-42db-b4d1-79e5b3c6adc0">
      <UserInfo>
        <DisplayName/>
        <AccountId xsi:nil="true"/>
        <AccountType/>
      </UserInfo>
    </Assignedto>
    <Comments xmlns="6bfde61a-94c1-42db-b4d1-79e5b3c6adc0">Updated to add guidance around when maintenance can be utilized and clarified information</Comment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378472-F13B-4B96-AED7-5D6A717AFBAF}"/>
</file>

<file path=customXml/itemProps2.xml><?xml version="1.0" encoding="utf-8"?>
<ds:datastoreItem xmlns:ds="http://schemas.openxmlformats.org/officeDocument/2006/customXml" ds:itemID="{28554C2B-002B-4F39-94E1-843711ACDAC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402375D-C871-4DF1-AE12-8F8346EB2A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3463</Words>
  <Characters>19743</Characters>
  <Application>Microsoft Office Word</Application>
  <DocSecurity>0</DocSecurity>
  <Lines>164</Lines>
  <Paragraphs>46</Paragraphs>
  <ScaleCrop>false</ScaleCrop>
  <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VRSM - Part D, Chapter 3 - Purchasing Goods and Services</dc:title>
  <dc:subject/>
  <dc:creator>TWC-VR</dc:creator>
  <cp:keywords>Texas Workforce Commission Vocational Rehabilitation Services Manual (VRSM) policy</cp:keywords>
  <dc:description/>
  <cp:lastModifiedBy>Caillouet,Shelly</cp:lastModifiedBy>
  <cp:revision>22</cp:revision>
  <cp:lastPrinted>2025-07-10T00:13:00Z</cp:lastPrinted>
  <dcterms:created xsi:type="dcterms:W3CDTF">2026-02-23T22:03:00Z</dcterms:created>
  <dcterms:modified xsi:type="dcterms:W3CDTF">2026-02-23T22:24:00Z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0x0101000891984A3BD07E438BCF27F0A0E4CC59</vt:lpwstr>
  </property>
</Properties>
</file>