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EE8F1" w14:textId="77777777" w:rsidR="00AB7C77" w:rsidRDefault="00935AE2">
      <w:pPr>
        <w:pStyle w:val="Heading1"/>
      </w:pPr>
      <w:bookmarkStart w:id="0" w:name="Xb87d7e0b5e508d89bf80582a6b2b820beb4bc4d"/>
      <w:r>
        <w:t>“Personal relationship is really the backbone of everything”: Professionals’ perspectives on working with transition-age youth in foster care</w:t>
      </w:r>
    </w:p>
    <w:p w14:paraId="6C5EE8F2" w14:textId="77777777" w:rsidR="00AB7C77" w:rsidRDefault="00935AE2">
      <w:pPr>
        <w:pStyle w:val="FirstParagraph"/>
      </w:pPr>
      <w:r>
        <w:rPr>
          <w:b/>
          <w:bCs/>
        </w:rPr>
        <w:t>Presenter:</w:t>
      </w:r>
      <w:r>
        <w:t xml:space="preserve"> Yao Wang, PhD, MSW</w:t>
      </w:r>
    </w:p>
    <w:p w14:paraId="6C5EE8F3" w14:textId="77777777" w:rsidR="00AB7C77" w:rsidRDefault="00935AE2">
      <w:pPr>
        <w:pStyle w:val="Heading2"/>
      </w:pPr>
      <w:bookmarkStart w:id="1" w:name="slide-2-agenda"/>
      <w:r>
        <w:t>Slide 2: Agenda</w:t>
      </w:r>
    </w:p>
    <w:p w14:paraId="6C5EE8F4" w14:textId="77777777" w:rsidR="00AB7C77" w:rsidRDefault="00935AE2">
      <w:pPr>
        <w:pStyle w:val="Compact"/>
        <w:numPr>
          <w:ilvl w:val="0"/>
          <w:numId w:val="2"/>
        </w:numPr>
      </w:pPr>
      <w:r>
        <w:t>Prevalence of transition-age youth in foster care</w:t>
      </w:r>
    </w:p>
    <w:p w14:paraId="6C5EE8F5" w14:textId="77777777" w:rsidR="00AB7C77" w:rsidRDefault="00935AE2">
      <w:pPr>
        <w:pStyle w:val="Compact"/>
        <w:numPr>
          <w:ilvl w:val="0"/>
          <w:numId w:val="2"/>
        </w:numPr>
      </w:pPr>
      <w:r>
        <w:t>Emerging adulthood outcomes</w:t>
      </w:r>
    </w:p>
    <w:p w14:paraId="6C5EE8F6" w14:textId="77777777" w:rsidR="00AB7C77" w:rsidRDefault="00935AE2">
      <w:pPr>
        <w:pStyle w:val="Compact"/>
        <w:numPr>
          <w:ilvl w:val="0"/>
          <w:numId w:val="2"/>
        </w:numPr>
      </w:pPr>
      <w:r>
        <w:t>The roles of professionals during the transition out of care</w:t>
      </w:r>
    </w:p>
    <w:p w14:paraId="6C5EE8F7" w14:textId="77777777" w:rsidR="00AB7C77" w:rsidRDefault="00935AE2">
      <w:pPr>
        <w:pStyle w:val="Compact"/>
        <w:numPr>
          <w:ilvl w:val="0"/>
          <w:numId w:val="2"/>
        </w:numPr>
      </w:pPr>
      <w:r>
        <w:t>Method</w:t>
      </w:r>
    </w:p>
    <w:p w14:paraId="6C5EE8F8" w14:textId="77777777" w:rsidR="00AB7C77" w:rsidRDefault="00935AE2">
      <w:pPr>
        <w:pStyle w:val="Compact"/>
        <w:numPr>
          <w:ilvl w:val="0"/>
          <w:numId w:val="2"/>
        </w:numPr>
      </w:pPr>
      <w:r>
        <w:t>Results</w:t>
      </w:r>
    </w:p>
    <w:p w14:paraId="6C5EE8F9" w14:textId="77777777" w:rsidR="00AB7C77" w:rsidRDefault="00935AE2">
      <w:pPr>
        <w:pStyle w:val="Compact"/>
        <w:numPr>
          <w:ilvl w:val="0"/>
          <w:numId w:val="2"/>
        </w:numPr>
      </w:pPr>
      <w:r>
        <w:t>The importance of relational permanence</w:t>
      </w:r>
    </w:p>
    <w:p w14:paraId="6C5EE8FA" w14:textId="77777777" w:rsidR="00AB7C77" w:rsidRDefault="00935AE2">
      <w:pPr>
        <w:pStyle w:val="Compact"/>
        <w:numPr>
          <w:ilvl w:val="0"/>
          <w:numId w:val="2"/>
        </w:numPr>
      </w:pPr>
      <w:r>
        <w:t>Implications for future practice</w:t>
      </w:r>
    </w:p>
    <w:p w14:paraId="6C5EE8FB" w14:textId="77777777" w:rsidR="00AB7C77" w:rsidRDefault="00935AE2">
      <w:pPr>
        <w:pStyle w:val="Heading2"/>
      </w:pPr>
      <w:bookmarkStart w:id="2" w:name="X922fe44e2993032a172dcc3da1ef855b153ff66"/>
      <w:bookmarkEnd w:id="1"/>
      <w:r>
        <w:t>Slide 3: Prevalence of Transition-age Youth in Foster Care</w:t>
      </w:r>
    </w:p>
    <w:p w14:paraId="6C5EE8FC" w14:textId="1A82EFD5" w:rsidR="00AB7C77" w:rsidRDefault="00935AE2">
      <w:pPr>
        <w:pStyle w:val="FirstParagraph"/>
      </w:pPr>
      <w:r>
        <w:t xml:space="preserve">In FY 2024, over 368,000 children and youth were in foster care and 24% of them were over 14 years old and 5% children and youth had a case plan goal of </w:t>
      </w:r>
      <w:proofErr w:type="gramStart"/>
      <w:r>
        <w:t>emancipation.*</w:t>
      </w:r>
      <w:proofErr w:type="gramEnd"/>
      <w:r>
        <w:t xml:space="preserve"> “Abrupt” and ”instant” transition into adulthood* Lack of emotional and concrete guidance during the transition process</w:t>
      </w:r>
    </w:p>
    <w:p w14:paraId="6C5EE8FD" w14:textId="77777777" w:rsidR="00AB7C77" w:rsidRDefault="00935AE2">
      <w:pPr>
        <w:pStyle w:val="Heading2"/>
      </w:pPr>
      <w:bookmarkStart w:id="3" w:name="X271df1e82d405defb5a5370d6fc4932c25f7afe"/>
      <w:bookmarkEnd w:id="2"/>
      <w:r>
        <w:t>Slide 4: Emerging Adulthood Outcomes: Educational (High School)</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116"/>
        <w:gridCol w:w="3117"/>
        <w:gridCol w:w="3117"/>
      </w:tblGrid>
      <w:tr w:rsidR="00AB7C77" w14:paraId="6C5EE901" w14:textId="77777777" w:rsidTr="00211C9D">
        <w:trPr>
          <w:cnfStyle w:val="100000000000" w:firstRow="1" w:lastRow="0" w:firstColumn="0" w:lastColumn="0" w:oddVBand="0" w:evenVBand="0" w:oddHBand="0" w:evenHBand="0" w:firstRowFirstColumn="0" w:firstRowLastColumn="0" w:lastRowFirstColumn="0" w:lastRowLastColumn="0"/>
          <w:tblHeader/>
        </w:trPr>
        <w:tc>
          <w:tcPr>
            <w:tcW w:w="2640" w:type="dxa"/>
            <w:tcBorders>
              <w:bottom w:val="none" w:sz="0" w:space="0" w:color="auto"/>
            </w:tcBorders>
          </w:tcPr>
          <w:p w14:paraId="6C5EE8FE" w14:textId="77777777" w:rsidR="00AB7C77" w:rsidRDefault="00935AE2">
            <w:pPr>
              <w:pStyle w:val="Compact"/>
            </w:pPr>
            <w:r>
              <w:t>Group</w:t>
            </w:r>
          </w:p>
        </w:tc>
        <w:tc>
          <w:tcPr>
            <w:tcW w:w="2640" w:type="dxa"/>
            <w:tcBorders>
              <w:bottom w:val="none" w:sz="0" w:space="0" w:color="auto"/>
            </w:tcBorders>
          </w:tcPr>
          <w:p w14:paraId="6C5EE8FF" w14:textId="77777777" w:rsidR="00AB7C77" w:rsidRDefault="00935AE2">
            <w:pPr>
              <w:pStyle w:val="Compact"/>
            </w:pPr>
            <w:r>
              <w:t>Graduation Rate (On Time)</w:t>
            </w:r>
          </w:p>
        </w:tc>
        <w:tc>
          <w:tcPr>
            <w:tcW w:w="2640" w:type="dxa"/>
            <w:tcBorders>
              <w:bottom w:val="none" w:sz="0" w:space="0" w:color="auto"/>
            </w:tcBorders>
          </w:tcPr>
          <w:p w14:paraId="6C5EE900" w14:textId="77777777" w:rsidR="00AB7C77" w:rsidRDefault="00935AE2">
            <w:pPr>
              <w:pStyle w:val="Compact"/>
            </w:pPr>
            <w:r>
              <w:t>Graduation Rate (Including Late Completion/GED)</w:t>
            </w:r>
          </w:p>
        </w:tc>
      </w:tr>
      <w:tr w:rsidR="00AB7C77" w14:paraId="6C5EE905" w14:textId="77777777" w:rsidTr="00211C9D">
        <w:tc>
          <w:tcPr>
            <w:tcW w:w="2640" w:type="dxa"/>
          </w:tcPr>
          <w:p w14:paraId="6C5EE902" w14:textId="77777777" w:rsidR="00AB7C77" w:rsidRDefault="00935AE2">
            <w:pPr>
              <w:pStyle w:val="Compact"/>
            </w:pPr>
            <w:r>
              <w:rPr>
                <w:b/>
                <w:bCs/>
              </w:rPr>
              <w:t>Foster Youth</w:t>
            </w:r>
          </w:p>
        </w:tc>
        <w:tc>
          <w:tcPr>
            <w:tcW w:w="2640" w:type="dxa"/>
          </w:tcPr>
          <w:p w14:paraId="6C5EE903" w14:textId="592E70CA" w:rsidR="00AB7C77" w:rsidRDefault="00935AE2">
            <w:pPr>
              <w:pStyle w:val="Compact"/>
            </w:pPr>
            <w:r>
              <w:t>50%</w:t>
            </w:r>
            <w:r w:rsidR="0051646F" w:rsidRPr="0051646F">
              <w:t>–</w:t>
            </w:r>
            <w:r>
              <w:t>65%</w:t>
            </w:r>
          </w:p>
        </w:tc>
        <w:tc>
          <w:tcPr>
            <w:tcW w:w="2640" w:type="dxa"/>
          </w:tcPr>
          <w:p w14:paraId="6C5EE904" w14:textId="5DC2E111" w:rsidR="00AB7C77" w:rsidRDefault="00935AE2">
            <w:pPr>
              <w:pStyle w:val="Compact"/>
            </w:pPr>
            <w:r>
              <w:t>69%</w:t>
            </w:r>
            <w:r w:rsidR="0051646F" w:rsidRPr="0051646F">
              <w:t>–</w:t>
            </w:r>
            <w:r>
              <w:t>85%</w:t>
            </w:r>
          </w:p>
        </w:tc>
      </w:tr>
      <w:tr w:rsidR="00AB7C77" w14:paraId="6C5EE909" w14:textId="77777777" w:rsidTr="00211C9D">
        <w:tc>
          <w:tcPr>
            <w:tcW w:w="2640" w:type="dxa"/>
          </w:tcPr>
          <w:p w14:paraId="6C5EE906" w14:textId="77777777" w:rsidR="00AB7C77" w:rsidRDefault="00935AE2">
            <w:pPr>
              <w:pStyle w:val="Compact"/>
            </w:pPr>
            <w:r>
              <w:rPr>
                <w:b/>
                <w:bCs/>
              </w:rPr>
              <w:t>General Population</w:t>
            </w:r>
          </w:p>
        </w:tc>
        <w:tc>
          <w:tcPr>
            <w:tcW w:w="2640" w:type="dxa"/>
          </w:tcPr>
          <w:p w14:paraId="6C5EE907" w14:textId="77777777" w:rsidR="00AB7C77" w:rsidRDefault="00935AE2">
            <w:pPr>
              <w:pStyle w:val="Compact"/>
            </w:pPr>
            <w:r>
              <w:t>~87% (within four years)</w:t>
            </w:r>
          </w:p>
        </w:tc>
        <w:tc>
          <w:tcPr>
            <w:tcW w:w="2640" w:type="dxa"/>
          </w:tcPr>
          <w:p w14:paraId="6C5EE908" w14:textId="77777777" w:rsidR="00AB7C77" w:rsidRDefault="00935AE2">
            <w:pPr>
              <w:pStyle w:val="Compact"/>
            </w:pPr>
            <w:r>
              <w:t>N/A</w:t>
            </w:r>
          </w:p>
        </w:tc>
      </w:tr>
      <w:tr w:rsidR="00AB7C77" w14:paraId="6C5EE90D" w14:textId="77777777" w:rsidTr="00211C9D">
        <w:tc>
          <w:tcPr>
            <w:tcW w:w="2640" w:type="dxa"/>
          </w:tcPr>
          <w:p w14:paraId="6C5EE90A" w14:textId="77777777" w:rsidR="00AB7C77" w:rsidRDefault="00935AE2">
            <w:pPr>
              <w:pStyle w:val="Compact"/>
            </w:pPr>
            <w:r>
              <w:rPr>
                <w:b/>
                <w:bCs/>
              </w:rPr>
              <w:t>Low-income Youth</w:t>
            </w:r>
          </w:p>
        </w:tc>
        <w:tc>
          <w:tcPr>
            <w:tcW w:w="2640" w:type="dxa"/>
          </w:tcPr>
          <w:p w14:paraId="6C5EE90B" w14:textId="77777777" w:rsidR="00AB7C77" w:rsidRDefault="00935AE2">
            <w:pPr>
              <w:pStyle w:val="Compact"/>
            </w:pPr>
            <w:r>
              <w:t>~75%-80%</w:t>
            </w:r>
          </w:p>
        </w:tc>
        <w:tc>
          <w:tcPr>
            <w:tcW w:w="2640" w:type="dxa"/>
          </w:tcPr>
          <w:p w14:paraId="6C5EE90C" w14:textId="77777777" w:rsidR="00AB7C77" w:rsidRDefault="00935AE2">
            <w:pPr>
              <w:pStyle w:val="Compact"/>
            </w:pPr>
            <w:r>
              <w:t>N/A</w:t>
            </w:r>
          </w:p>
        </w:tc>
      </w:tr>
    </w:tbl>
    <w:p w14:paraId="6C5EE90E" w14:textId="77777777" w:rsidR="00AB7C77" w:rsidRDefault="00935AE2">
      <w:pPr>
        <w:pStyle w:val="Heading2"/>
      </w:pPr>
      <w:bookmarkStart w:id="4" w:name="X326a85e8caf8d6dd1ddbfd7c5f6fbeadba7359b"/>
      <w:bookmarkEnd w:id="3"/>
      <w:r>
        <w:t>Slide 5: Emerging Adulthood Outcomes: Educational (Postsecondary)</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116"/>
        <w:gridCol w:w="3117"/>
        <w:gridCol w:w="3117"/>
      </w:tblGrid>
      <w:tr w:rsidR="00AB7C77" w14:paraId="6C5EE912" w14:textId="77777777" w:rsidTr="00211C9D">
        <w:trPr>
          <w:cnfStyle w:val="100000000000" w:firstRow="1" w:lastRow="0" w:firstColumn="0" w:lastColumn="0" w:oddVBand="0" w:evenVBand="0" w:oddHBand="0" w:evenHBand="0" w:firstRowFirstColumn="0" w:firstRowLastColumn="0" w:lastRowFirstColumn="0" w:lastRowLastColumn="0"/>
          <w:tblHeader/>
        </w:trPr>
        <w:tc>
          <w:tcPr>
            <w:tcW w:w="2640" w:type="dxa"/>
            <w:tcBorders>
              <w:bottom w:val="none" w:sz="0" w:space="0" w:color="auto"/>
            </w:tcBorders>
          </w:tcPr>
          <w:p w14:paraId="6C5EE90F" w14:textId="77777777" w:rsidR="00AB7C77" w:rsidRDefault="00935AE2">
            <w:pPr>
              <w:pStyle w:val="Compact"/>
            </w:pPr>
            <w:r>
              <w:t>Group</w:t>
            </w:r>
          </w:p>
        </w:tc>
        <w:tc>
          <w:tcPr>
            <w:tcW w:w="2640" w:type="dxa"/>
            <w:tcBorders>
              <w:bottom w:val="none" w:sz="0" w:space="0" w:color="auto"/>
            </w:tcBorders>
          </w:tcPr>
          <w:p w14:paraId="6C5EE910" w14:textId="77777777" w:rsidR="00AB7C77" w:rsidRDefault="00935AE2">
            <w:pPr>
              <w:pStyle w:val="Compact"/>
            </w:pPr>
            <w:r>
              <w:t>Postsecondary Enrollment</w:t>
            </w:r>
          </w:p>
        </w:tc>
        <w:tc>
          <w:tcPr>
            <w:tcW w:w="2640" w:type="dxa"/>
            <w:tcBorders>
              <w:bottom w:val="none" w:sz="0" w:space="0" w:color="auto"/>
            </w:tcBorders>
          </w:tcPr>
          <w:p w14:paraId="6C5EE911" w14:textId="77777777" w:rsidR="00AB7C77" w:rsidRDefault="00935AE2">
            <w:pPr>
              <w:pStyle w:val="Compact"/>
            </w:pPr>
            <w:r>
              <w:t>Degree Attainment (2 or 4-year, by mid-late 20s)</w:t>
            </w:r>
          </w:p>
        </w:tc>
      </w:tr>
      <w:tr w:rsidR="00AB7C77" w14:paraId="6C5EE916" w14:textId="77777777" w:rsidTr="00211C9D">
        <w:tc>
          <w:tcPr>
            <w:tcW w:w="2640" w:type="dxa"/>
          </w:tcPr>
          <w:p w14:paraId="6C5EE913" w14:textId="77777777" w:rsidR="00AB7C77" w:rsidRDefault="00935AE2">
            <w:pPr>
              <w:pStyle w:val="Compact"/>
            </w:pPr>
            <w:r>
              <w:rPr>
                <w:b/>
                <w:bCs/>
              </w:rPr>
              <w:t>Foster Youth</w:t>
            </w:r>
          </w:p>
        </w:tc>
        <w:tc>
          <w:tcPr>
            <w:tcW w:w="2640" w:type="dxa"/>
          </w:tcPr>
          <w:p w14:paraId="6C5EE914" w14:textId="1A7DD5C3" w:rsidR="00AB7C77" w:rsidRDefault="00935AE2">
            <w:pPr>
              <w:pStyle w:val="Compact"/>
            </w:pPr>
            <w:r>
              <w:t>20%</w:t>
            </w:r>
            <w:r w:rsidR="0051646F" w:rsidRPr="0051646F">
              <w:t>–</w:t>
            </w:r>
            <w:r>
              <w:t>64%</w:t>
            </w:r>
          </w:p>
        </w:tc>
        <w:tc>
          <w:tcPr>
            <w:tcW w:w="2640" w:type="dxa"/>
          </w:tcPr>
          <w:p w14:paraId="6C5EE915" w14:textId="4995EC40" w:rsidR="00AB7C77" w:rsidRDefault="00935AE2">
            <w:pPr>
              <w:pStyle w:val="Compact"/>
            </w:pPr>
            <w:r>
              <w:t>8%</w:t>
            </w:r>
            <w:r w:rsidR="0051646F" w:rsidRPr="0051646F">
              <w:t>–</w:t>
            </w:r>
            <w:r>
              <w:t>12%</w:t>
            </w:r>
          </w:p>
        </w:tc>
      </w:tr>
      <w:tr w:rsidR="00AB7C77" w14:paraId="6C5EE91A" w14:textId="77777777" w:rsidTr="00211C9D">
        <w:tc>
          <w:tcPr>
            <w:tcW w:w="2640" w:type="dxa"/>
          </w:tcPr>
          <w:p w14:paraId="6C5EE917" w14:textId="77777777" w:rsidR="00AB7C77" w:rsidRDefault="00935AE2">
            <w:pPr>
              <w:pStyle w:val="Compact"/>
            </w:pPr>
            <w:r>
              <w:rPr>
                <w:b/>
                <w:bCs/>
              </w:rPr>
              <w:t>General Population</w:t>
            </w:r>
          </w:p>
        </w:tc>
        <w:tc>
          <w:tcPr>
            <w:tcW w:w="2640" w:type="dxa"/>
          </w:tcPr>
          <w:p w14:paraId="6C5EE918" w14:textId="77777777" w:rsidR="00AB7C77" w:rsidRDefault="00935AE2">
            <w:pPr>
              <w:pStyle w:val="Compact"/>
            </w:pPr>
            <w:r>
              <w:t>N/A</w:t>
            </w:r>
          </w:p>
        </w:tc>
        <w:tc>
          <w:tcPr>
            <w:tcW w:w="2640" w:type="dxa"/>
          </w:tcPr>
          <w:p w14:paraId="6C5EE919" w14:textId="77777777" w:rsidR="00AB7C77" w:rsidRDefault="00935AE2">
            <w:pPr>
              <w:pStyle w:val="Compact"/>
            </w:pPr>
            <w:r>
              <w:t>~49%</w:t>
            </w:r>
          </w:p>
        </w:tc>
      </w:tr>
    </w:tbl>
    <w:p w14:paraId="6C5EE91B" w14:textId="77777777" w:rsidR="00AB7C77" w:rsidRDefault="00935AE2">
      <w:pPr>
        <w:pStyle w:val="Heading2"/>
      </w:pPr>
      <w:bookmarkStart w:id="5" w:name="X767dcfd1d6bcbcc0c29460ad3bd2e8b1192d5ad"/>
      <w:bookmarkEnd w:id="4"/>
      <w:r>
        <w:lastRenderedPageBreak/>
        <w:t>Slide 6: Emerging Adulthood Outcomes: Employment</w:t>
      </w:r>
    </w:p>
    <w:p w14:paraId="6C5EE91C" w14:textId="77777777" w:rsidR="00AB7C77" w:rsidRDefault="00935AE2">
      <w:pPr>
        <w:pStyle w:val="Compact"/>
        <w:numPr>
          <w:ilvl w:val="0"/>
          <w:numId w:val="3"/>
        </w:numPr>
      </w:pPr>
      <w:r>
        <w:rPr>
          <w:b/>
          <w:bCs/>
        </w:rPr>
        <w:t>Employment rates:</w:t>
      </w:r>
      <w:r>
        <w:t xml:space="preserve"> Approximately 45% to 60% of former foster youth are employed in their early to mid-20s.</w:t>
      </w:r>
    </w:p>
    <w:p w14:paraId="6C5EE91D" w14:textId="77777777" w:rsidR="00AB7C77" w:rsidRDefault="00935AE2">
      <w:pPr>
        <w:pStyle w:val="Compact"/>
        <w:numPr>
          <w:ilvl w:val="0"/>
          <w:numId w:val="3"/>
        </w:numPr>
      </w:pPr>
      <w:r>
        <w:rPr>
          <w:b/>
          <w:bCs/>
        </w:rPr>
        <w:t>Job stability:</w:t>
      </w:r>
      <w:r>
        <w:t xml:space="preserve"> More likely to experience job instability and frequent job changes.</w:t>
      </w:r>
    </w:p>
    <w:p w14:paraId="6C5EE91E" w14:textId="77777777" w:rsidR="00AB7C77" w:rsidRDefault="00935AE2">
      <w:pPr>
        <w:pStyle w:val="Compact"/>
        <w:numPr>
          <w:ilvl w:val="0"/>
          <w:numId w:val="3"/>
        </w:numPr>
      </w:pPr>
      <w:r>
        <w:rPr>
          <w:b/>
          <w:bCs/>
        </w:rPr>
        <w:t>Earnings:</w:t>
      </w:r>
      <w:r>
        <w:t xml:space="preserve"> More likely to have lower wages compared to peers in the general population.</w:t>
      </w:r>
    </w:p>
    <w:p w14:paraId="6C5EE91F" w14:textId="77777777" w:rsidR="00AB7C77" w:rsidRDefault="00935AE2">
      <w:pPr>
        <w:pStyle w:val="Compact"/>
        <w:numPr>
          <w:ilvl w:val="0"/>
          <w:numId w:val="3"/>
        </w:numPr>
      </w:pPr>
      <w:r>
        <w:rPr>
          <w:b/>
          <w:bCs/>
        </w:rPr>
        <w:t>Workforce readiness:</w:t>
      </w:r>
      <w:r>
        <w:t xml:space="preserve"> Face multiple barriers such as limited job skills, education gaps, and lack of support networks.</w:t>
      </w:r>
    </w:p>
    <w:p w14:paraId="6C5EE920" w14:textId="77777777" w:rsidR="00AB7C77" w:rsidRDefault="00935AE2">
      <w:pPr>
        <w:pStyle w:val="Heading2"/>
      </w:pPr>
      <w:bookmarkStart w:id="6" w:name="X8964ec9c90f5adb13852648eeaba6adeed4a8f3"/>
      <w:bookmarkEnd w:id="5"/>
      <w:r>
        <w:t>Slide 7: Emerging Adulthood Outcomes: Health Outcomes</w:t>
      </w:r>
    </w:p>
    <w:p w14:paraId="6C5EE921" w14:textId="77777777" w:rsidR="00AB7C77" w:rsidRDefault="00935AE2">
      <w:pPr>
        <w:pStyle w:val="Compact"/>
        <w:numPr>
          <w:ilvl w:val="0"/>
          <w:numId w:val="4"/>
        </w:numPr>
      </w:pPr>
      <w:r>
        <w:rPr>
          <w:b/>
          <w:bCs/>
        </w:rPr>
        <w:t>Higher prevalence of mental health conditions:</w:t>
      </w:r>
    </w:p>
    <w:p w14:paraId="6C5EE922" w14:textId="77777777" w:rsidR="00AB7C77" w:rsidRDefault="00935AE2">
      <w:pPr>
        <w:pStyle w:val="Compact"/>
        <w:numPr>
          <w:ilvl w:val="1"/>
          <w:numId w:val="5"/>
        </w:numPr>
      </w:pPr>
      <w:r>
        <w:t>Many have histories of abuse, neglect, and placement instability.</w:t>
      </w:r>
    </w:p>
    <w:p w14:paraId="6C5EE923" w14:textId="77777777" w:rsidR="00AB7C77" w:rsidRDefault="00935AE2">
      <w:pPr>
        <w:pStyle w:val="Compact"/>
        <w:numPr>
          <w:ilvl w:val="1"/>
          <w:numId w:val="5"/>
        </w:numPr>
      </w:pPr>
      <w:r>
        <w:t>Elevated rates of experiencing depression, anxiety, and PTSD.</w:t>
      </w:r>
    </w:p>
    <w:p w14:paraId="6C5EE924" w14:textId="77777777" w:rsidR="00AB7C77" w:rsidRDefault="00935AE2">
      <w:pPr>
        <w:pStyle w:val="Compact"/>
        <w:numPr>
          <w:ilvl w:val="1"/>
          <w:numId w:val="5"/>
        </w:numPr>
      </w:pPr>
      <w:r>
        <w:t>Experience ongoing unmet needs after leaving care.</w:t>
      </w:r>
    </w:p>
    <w:p w14:paraId="6C5EE925" w14:textId="77777777" w:rsidR="00AB7C77" w:rsidRDefault="00935AE2">
      <w:pPr>
        <w:pStyle w:val="Compact"/>
        <w:numPr>
          <w:ilvl w:val="0"/>
          <w:numId w:val="4"/>
        </w:numPr>
      </w:pPr>
      <w:r>
        <w:rPr>
          <w:b/>
          <w:bCs/>
        </w:rPr>
        <w:t xml:space="preserve">Increased risk of substance </w:t>
      </w:r>
      <w:proofErr w:type="gramStart"/>
      <w:r>
        <w:rPr>
          <w:b/>
          <w:bCs/>
        </w:rPr>
        <w:t>use</w:t>
      </w:r>
      <w:proofErr w:type="gramEnd"/>
      <w:r>
        <w:rPr>
          <w:b/>
          <w:bCs/>
        </w:rPr>
        <w:t xml:space="preserve"> and related disorders.</w:t>
      </w:r>
    </w:p>
    <w:p w14:paraId="6C5EE926" w14:textId="77777777" w:rsidR="00AB7C77" w:rsidRDefault="00935AE2">
      <w:pPr>
        <w:pStyle w:val="Compact"/>
        <w:numPr>
          <w:ilvl w:val="0"/>
          <w:numId w:val="4"/>
        </w:numPr>
      </w:pPr>
      <w:r>
        <w:rPr>
          <w:b/>
          <w:bCs/>
        </w:rPr>
        <w:t>Chronic health conditions:</w:t>
      </w:r>
    </w:p>
    <w:p w14:paraId="6C5EE927" w14:textId="77777777" w:rsidR="00AB7C77" w:rsidRDefault="00935AE2">
      <w:pPr>
        <w:pStyle w:val="Compact"/>
        <w:numPr>
          <w:ilvl w:val="1"/>
          <w:numId w:val="6"/>
        </w:numPr>
      </w:pPr>
      <w:r>
        <w:t>Higher likelihood of chronic illnesses and overall poorer health status.</w:t>
      </w:r>
    </w:p>
    <w:p w14:paraId="6C5EE928" w14:textId="77777777" w:rsidR="00AB7C77" w:rsidRDefault="00935AE2">
      <w:pPr>
        <w:pStyle w:val="Compact"/>
        <w:numPr>
          <w:ilvl w:val="1"/>
          <w:numId w:val="6"/>
        </w:numPr>
      </w:pPr>
      <w:r>
        <w:t>Gaps in health insurance and continuity of care after leaving care.</w:t>
      </w:r>
    </w:p>
    <w:p w14:paraId="6C5EE929" w14:textId="77777777" w:rsidR="00AB7C77" w:rsidRDefault="00935AE2">
      <w:pPr>
        <w:pStyle w:val="Compact"/>
        <w:numPr>
          <w:ilvl w:val="1"/>
          <w:numId w:val="6"/>
        </w:numPr>
      </w:pPr>
      <w:r>
        <w:t>Lack of clear transition plan to adult healthcare services.</w:t>
      </w:r>
    </w:p>
    <w:p w14:paraId="6C5EE92A" w14:textId="77777777" w:rsidR="00AB7C77" w:rsidRDefault="00935AE2">
      <w:pPr>
        <w:pStyle w:val="Heading2"/>
      </w:pPr>
      <w:bookmarkStart w:id="7" w:name="Xffe665030dd28b541000ef3e6bce15465029c03"/>
      <w:bookmarkEnd w:id="6"/>
      <w:r>
        <w:t>Slide 8: The Roles of Professionals During the Transition Out of Care</w:t>
      </w:r>
    </w:p>
    <w:p w14:paraId="6C5EE92B" w14:textId="77777777" w:rsidR="00AB7C77" w:rsidRDefault="00935AE2">
      <w:pPr>
        <w:pStyle w:val="Compact"/>
        <w:numPr>
          <w:ilvl w:val="0"/>
          <w:numId w:val="7"/>
        </w:numPr>
      </w:pPr>
      <w:r>
        <w:rPr>
          <w:b/>
          <w:bCs/>
        </w:rPr>
        <w:t>Critical stakeholders</w:t>
      </w:r>
    </w:p>
    <w:p w14:paraId="6C5EE92C" w14:textId="77777777" w:rsidR="00AB7C77" w:rsidRDefault="00935AE2">
      <w:pPr>
        <w:pStyle w:val="Compact"/>
        <w:numPr>
          <w:ilvl w:val="0"/>
          <w:numId w:val="7"/>
        </w:numPr>
      </w:pPr>
      <w:r>
        <w:rPr>
          <w:b/>
          <w:bCs/>
        </w:rPr>
        <w:t>Transition planning:</w:t>
      </w:r>
      <w:r>
        <w:t xml:space="preserve"> Develop plans addressing housing, employment, education, and mentoring.</w:t>
      </w:r>
    </w:p>
    <w:p w14:paraId="6C5EE92D" w14:textId="77777777" w:rsidR="00AB7C77" w:rsidRDefault="00935AE2">
      <w:pPr>
        <w:pStyle w:val="Compact"/>
        <w:numPr>
          <w:ilvl w:val="0"/>
          <w:numId w:val="7"/>
        </w:numPr>
      </w:pPr>
      <w:r>
        <w:rPr>
          <w:b/>
          <w:bCs/>
        </w:rPr>
        <w:t>Service coordination:</w:t>
      </w:r>
      <w:r>
        <w:t xml:space="preserve"> Connect youth to mental health services, independent living programs, and other supports.</w:t>
      </w:r>
    </w:p>
    <w:p w14:paraId="6C5EE92E" w14:textId="77777777" w:rsidR="00AB7C77" w:rsidRDefault="00935AE2">
      <w:pPr>
        <w:pStyle w:val="FirstParagraph"/>
      </w:pPr>
      <w:r>
        <w:t>This study was designed to explore the experiences and perspectives of child welfare professionals and service providers who have worked with TAY during the transition out of care.</w:t>
      </w:r>
    </w:p>
    <w:p w14:paraId="6C5EE92F" w14:textId="77777777" w:rsidR="00AB7C77" w:rsidRDefault="00935AE2">
      <w:pPr>
        <w:pStyle w:val="Heading2"/>
      </w:pPr>
      <w:bookmarkStart w:id="8" w:name="slide-9-method"/>
      <w:bookmarkEnd w:id="7"/>
      <w:r>
        <w:t>Slide 9: Method</w:t>
      </w:r>
    </w:p>
    <w:p w14:paraId="6C5EE930" w14:textId="77777777" w:rsidR="00AB7C77" w:rsidRDefault="00935AE2">
      <w:pPr>
        <w:pStyle w:val="FirstParagraph"/>
      </w:pPr>
      <w:r>
        <w:t xml:space="preserve">This was a qualitative study using semi-structured interviews. Participants are child welfare workers and other professionals who (1) had worked with </w:t>
      </w:r>
      <w:proofErr w:type="gramStart"/>
      <w:r>
        <w:t>youth</w:t>
      </w:r>
      <w:proofErr w:type="gramEnd"/>
      <w:r>
        <w:t xml:space="preserve"> in foster care aged 14 years and older, and (2) had worked in this field for over 1 year. A total of 19 participants completed online interviews.</w:t>
      </w:r>
    </w:p>
    <w:p w14:paraId="6C5EE931" w14:textId="77777777" w:rsidR="00AB7C77" w:rsidRDefault="00935AE2">
      <w:pPr>
        <w:pStyle w:val="Heading2"/>
      </w:pPr>
      <w:bookmarkStart w:id="9" w:name="slide-10-profiles-of-participants"/>
      <w:bookmarkEnd w:id="8"/>
      <w:r>
        <w:t>Slide 10: Profiles of Participants</w:t>
      </w:r>
    </w:p>
    <w:tbl>
      <w:tblPr>
        <w:tblStyle w:val="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93"/>
        <w:gridCol w:w="3051"/>
        <w:gridCol w:w="1394"/>
      </w:tblGrid>
      <w:tr w:rsidR="00AB7C77" w14:paraId="6C5EE935" w14:textId="77777777" w:rsidTr="00211C9D">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6C5EE932" w14:textId="77777777" w:rsidR="00AB7C77" w:rsidRDefault="00935AE2">
            <w:pPr>
              <w:pStyle w:val="Compact"/>
            </w:pPr>
            <w:r>
              <w:t>Category</w:t>
            </w:r>
          </w:p>
        </w:tc>
        <w:tc>
          <w:tcPr>
            <w:tcW w:w="0" w:type="auto"/>
            <w:tcBorders>
              <w:bottom w:val="none" w:sz="0" w:space="0" w:color="auto"/>
            </w:tcBorders>
          </w:tcPr>
          <w:p w14:paraId="6C5EE933" w14:textId="77777777" w:rsidR="00AB7C77" w:rsidRDefault="00935AE2">
            <w:pPr>
              <w:pStyle w:val="Compact"/>
            </w:pPr>
            <w:r>
              <w:t>Sub-Group</w:t>
            </w:r>
          </w:p>
        </w:tc>
        <w:tc>
          <w:tcPr>
            <w:tcW w:w="0" w:type="auto"/>
            <w:tcBorders>
              <w:bottom w:val="none" w:sz="0" w:space="0" w:color="auto"/>
            </w:tcBorders>
          </w:tcPr>
          <w:p w14:paraId="6C5EE934" w14:textId="77777777" w:rsidR="00AB7C77" w:rsidRDefault="00935AE2">
            <w:pPr>
              <w:pStyle w:val="Compact"/>
            </w:pPr>
            <w:r>
              <w:t>Percentage</w:t>
            </w:r>
          </w:p>
        </w:tc>
      </w:tr>
      <w:tr w:rsidR="00AB7C77" w14:paraId="6C5EE939" w14:textId="77777777" w:rsidTr="00211C9D">
        <w:tc>
          <w:tcPr>
            <w:tcW w:w="0" w:type="auto"/>
          </w:tcPr>
          <w:p w14:paraId="6C5EE936" w14:textId="77777777" w:rsidR="00AB7C77" w:rsidRDefault="00935AE2">
            <w:pPr>
              <w:pStyle w:val="Compact"/>
            </w:pPr>
            <w:r>
              <w:rPr>
                <w:b/>
                <w:bCs/>
              </w:rPr>
              <w:t>Years of working with TAY</w:t>
            </w:r>
          </w:p>
        </w:tc>
        <w:tc>
          <w:tcPr>
            <w:tcW w:w="0" w:type="auto"/>
          </w:tcPr>
          <w:p w14:paraId="6C5EE937" w14:textId="77777777" w:rsidR="00AB7C77" w:rsidRDefault="00935AE2">
            <w:pPr>
              <w:pStyle w:val="Compact"/>
            </w:pPr>
            <w:r>
              <w:t>More than 5 years</w:t>
            </w:r>
          </w:p>
        </w:tc>
        <w:tc>
          <w:tcPr>
            <w:tcW w:w="0" w:type="auto"/>
          </w:tcPr>
          <w:p w14:paraId="6C5EE938" w14:textId="77777777" w:rsidR="00AB7C77" w:rsidRDefault="00935AE2">
            <w:pPr>
              <w:pStyle w:val="Compact"/>
            </w:pPr>
            <w:r>
              <w:t>53%</w:t>
            </w:r>
          </w:p>
        </w:tc>
      </w:tr>
      <w:tr w:rsidR="00AB7C77" w14:paraId="6C5EE93D" w14:textId="77777777" w:rsidTr="00211C9D">
        <w:tc>
          <w:tcPr>
            <w:tcW w:w="0" w:type="auto"/>
          </w:tcPr>
          <w:p w14:paraId="6C5EE93A" w14:textId="77777777" w:rsidR="00AB7C77" w:rsidRDefault="00AB7C77">
            <w:pPr>
              <w:pStyle w:val="Compact"/>
            </w:pPr>
          </w:p>
        </w:tc>
        <w:tc>
          <w:tcPr>
            <w:tcW w:w="0" w:type="auto"/>
          </w:tcPr>
          <w:p w14:paraId="6C5EE93B" w14:textId="464C5B85" w:rsidR="00AB7C77" w:rsidRDefault="00935AE2">
            <w:pPr>
              <w:pStyle w:val="Compact"/>
            </w:pPr>
            <w:r>
              <w:t>3</w:t>
            </w:r>
            <w:r w:rsidR="00D00136" w:rsidRPr="00D00136">
              <w:t>–</w:t>
            </w:r>
            <w:r>
              <w:t>5 years</w:t>
            </w:r>
          </w:p>
        </w:tc>
        <w:tc>
          <w:tcPr>
            <w:tcW w:w="0" w:type="auto"/>
          </w:tcPr>
          <w:p w14:paraId="6C5EE93C" w14:textId="77777777" w:rsidR="00AB7C77" w:rsidRDefault="00935AE2">
            <w:pPr>
              <w:pStyle w:val="Compact"/>
            </w:pPr>
            <w:r>
              <w:t>26%</w:t>
            </w:r>
          </w:p>
        </w:tc>
      </w:tr>
      <w:tr w:rsidR="00AB7C77" w14:paraId="6C5EE941" w14:textId="77777777" w:rsidTr="00211C9D">
        <w:tc>
          <w:tcPr>
            <w:tcW w:w="0" w:type="auto"/>
          </w:tcPr>
          <w:p w14:paraId="6C5EE93E" w14:textId="77777777" w:rsidR="00AB7C77" w:rsidRDefault="00AB7C77">
            <w:pPr>
              <w:pStyle w:val="Compact"/>
            </w:pPr>
          </w:p>
        </w:tc>
        <w:tc>
          <w:tcPr>
            <w:tcW w:w="0" w:type="auto"/>
          </w:tcPr>
          <w:p w14:paraId="6C5EE93F" w14:textId="77777777" w:rsidR="00AB7C77" w:rsidRDefault="00935AE2">
            <w:pPr>
              <w:pStyle w:val="Compact"/>
            </w:pPr>
            <w:r>
              <w:t>Three years or less</w:t>
            </w:r>
          </w:p>
        </w:tc>
        <w:tc>
          <w:tcPr>
            <w:tcW w:w="0" w:type="auto"/>
          </w:tcPr>
          <w:p w14:paraId="6C5EE940" w14:textId="77777777" w:rsidR="00AB7C77" w:rsidRDefault="00935AE2">
            <w:pPr>
              <w:pStyle w:val="Compact"/>
            </w:pPr>
            <w:r>
              <w:t>21%</w:t>
            </w:r>
          </w:p>
        </w:tc>
      </w:tr>
      <w:tr w:rsidR="00AB7C77" w14:paraId="6C5EE945" w14:textId="77777777" w:rsidTr="00211C9D">
        <w:tc>
          <w:tcPr>
            <w:tcW w:w="0" w:type="auto"/>
          </w:tcPr>
          <w:p w14:paraId="6C5EE942" w14:textId="77777777" w:rsidR="00AB7C77" w:rsidRDefault="00935AE2">
            <w:pPr>
              <w:pStyle w:val="Compact"/>
            </w:pPr>
            <w:r>
              <w:rPr>
                <w:b/>
                <w:bCs/>
              </w:rPr>
              <w:t>Types of programs</w:t>
            </w:r>
          </w:p>
        </w:tc>
        <w:tc>
          <w:tcPr>
            <w:tcW w:w="0" w:type="auto"/>
          </w:tcPr>
          <w:p w14:paraId="6C5EE943" w14:textId="77777777" w:rsidR="00AB7C77" w:rsidRDefault="00935AE2">
            <w:pPr>
              <w:pStyle w:val="Compact"/>
            </w:pPr>
            <w:r>
              <w:t>TAY focused programs</w:t>
            </w:r>
          </w:p>
        </w:tc>
        <w:tc>
          <w:tcPr>
            <w:tcW w:w="0" w:type="auto"/>
          </w:tcPr>
          <w:p w14:paraId="6C5EE944" w14:textId="77777777" w:rsidR="00AB7C77" w:rsidRDefault="00935AE2">
            <w:pPr>
              <w:pStyle w:val="Compact"/>
            </w:pPr>
            <w:r>
              <w:t>53%</w:t>
            </w:r>
          </w:p>
        </w:tc>
      </w:tr>
      <w:tr w:rsidR="00AB7C77" w14:paraId="6C5EE949" w14:textId="77777777" w:rsidTr="00211C9D">
        <w:tc>
          <w:tcPr>
            <w:tcW w:w="0" w:type="auto"/>
          </w:tcPr>
          <w:p w14:paraId="6C5EE946" w14:textId="77777777" w:rsidR="00AB7C77" w:rsidRDefault="00AB7C77">
            <w:pPr>
              <w:pStyle w:val="Compact"/>
            </w:pPr>
          </w:p>
        </w:tc>
        <w:tc>
          <w:tcPr>
            <w:tcW w:w="0" w:type="auto"/>
          </w:tcPr>
          <w:p w14:paraId="6C5EE947" w14:textId="77777777" w:rsidR="00AB7C77" w:rsidRDefault="00935AE2">
            <w:pPr>
              <w:pStyle w:val="Compact"/>
            </w:pPr>
            <w:r>
              <w:t>Non-TAY focused programs</w:t>
            </w:r>
          </w:p>
        </w:tc>
        <w:tc>
          <w:tcPr>
            <w:tcW w:w="0" w:type="auto"/>
          </w:tcPr>
          <w:p w14:paraId="6C5EE948" w14:textId="77777777" w:rsidR="00AB7C77" w:rsidRDefault="00935AE2">
            <w:pPr>
              <w:pStyle w:val="Compact"/>
            </w:pPr>
            <w:r>
              <w:t>47%</w:t>
            </w:r>
          </w:p>
        </w:tc>
      </w:tr>
      <w:tr w:rsidR="00AB7C77" w14:paraId="6C5EE94D" w14:textId="77777777" w:rsidTr="00211C9D">
        <w:tc>
          <w:tcPr>
            <w:tcW w:w="0" w:type="auto"/>
          </w:tcPr>
          <w:p w14:paraId="6C5EE94A" w14:textId="77777777" w:rsidR="00AB7C77" w:rsidRDefault="00935AE2">
            <w:pPr>
              <w:pStyle w:val="Compact"/>
            </w:pPr>
            <w:r>
              <w:rPr>
                <w:b/>
                <w:bCs/>
              </w:rPr>
              <w:t>Gender</w:t>
            </w:r>
          </w:p>
        </w:tc>
        <w:tc>
          <w:tcPr>
            <w:tcW w:w="0" w:type="auto"/>
          </w:tcPr>
          <w:p w14:paraId="6C5EE94B" w14:textId="77777777" w:rsidR="00AB7C77" w:rsidRDefault="00935AE2">
            <w:pPr>
              <w:pStyle w:val="Compact"/>
            </w:pPr>
            <w:r>
              <w:t>Female</w:t>
            </w:r>
          </w:p>
        </w:tc>
        <w:tc>
          <w:tcPr>
            <w:tcW w:w="0" w:type="auto"/>
          </w:tcPr>
          <w:p w14:paraId="6C5EE94C" w14:textId="77777777" w:rsidR="00AB7C77" w:rsidRDefault="00935AE2">
            <w:pPr>
              <w:pStyle w:val="Compact"/>
            </w:pPr>
            <w:r>
              <w:t>74%</w:t>
            </w:r>
          </w:p>
        </w:tc>
      </w:tr>
      <w:tr w:rsidR="00AB7C77" w14:paraId="6C5EE951" w14:textId="77777777" w:rsidTr="00211C9D">
        <w:tc>
          <w:tcPr>
            <w:tcW w:w="0" w:type="auto"/>
          </w:tcPr>
          <w:p w14:paraId="6C5EE94E" w14:textId="77777777" w:rsidR="00AB7C77" w:rsidRDefault="00AB7C77">
            <w:pPr>
              <w:pStyle w:val="Compact"/>
            </w:pPr>
          </w:p>
        </w:tc>
        <w:tc>
          <w:tcPr>
            <w:tcW w:w="0" w:type="auto"/>
          </w:tcPr>
          <w:p w14:paraId="6C5EE94F" w14:textId="77777777" w:rsidR="00AB7C77" w:rsidRDefault="00935AE2">
            <w:pPr>
              <w:pStyle w:val="Compact"/>
            </w:pPr>
            <w:r>
              <w:t>Male</w:t>
            </w:r>
          </w:p>
        </w:tc>
        <w:tc>
          <w:tcPr>
            <w:tcW w:w="0" w:type="auto"/>
          </w:tcPr>
          <w:p w14:paraId="6C5EE950" w14:textId="77777777" w:rsidR="00AB7C77" w:rsidRDefault="00935AE2">
            <w:pPr>
              <w:pStyle w:val="Compact"/>
            </w:pPr>
            <w:r>
              <w:t>26%</w:t>
            </w:r>
          </w:p>
        </w:tc>
      </w:tr>
    </w:tbl>
    <w:p w14:paraId="6C5EE952" w14:textId="77777777" w:rsidR="00AB7C77" w:rsidRDefault="00935AE2">
      <w:pPr>
        <w:pStyle w:val="Heading2"/>
      </w:pPr>
      <w:bookmarkStart w:id="10" w:name="slide-11-data-analysis"/>
      <w:bookmarkEnd w:id="9"/>
      <w:r>
        <w:t>Slide 11: Data Analysis</w:t>
      </w:r>
    </w:p>
    <w:p w14:paraId="6C5EE953" w14:textId="77777777" w:rsidR="00AB7C77" w:rsidRDefault="00935AE2">
      <w:pPr>
        <w:pStyle w:val="FirstParagraph"/>
      </w:pPr>
      <w:r>
        <w:t>Thematic analysis was used to analyze all transcripts by coding line-by-line. Four steps were taken: 1. Reviewing interview notes and being familiar with transcripts. 2. Generating initial codes aligned with the priori categories and extracting exemplary quotes. 3. Creating a table to classify the initial codes into emergent themes with exemplary quotes. 4. Reviewing and defining the themes in alignment with the original research questions.</w:t>
      </w:r>
    </w:p>
    <w:p w14:paraId="6C5EE954" w14:textId="77777777" w:rsidR="00AB7C77" w:rsidRDefault="00935AE2">
      <w:pPr>
        <w:pStyle w:val="Heading2"/>
      </w:pPr>
      <w:bookmarkStart w:id="11" w:name="slide-12-results"/>
      <w:bookmarkEnd w:id="10"/>
      <w:r>
        <w:t>Slide 12: Results</w:t>
      </w:r>
    </w:p>
    <w:p w14:paraId="6C5EE955" w14:textId="77777777" w:rsidR="00AB7C77" w:rsidRDefault="00935AE2">
      <w:pPr>
        <w:pStyle w:val="Compact"/>
        <w:numPr>
          <w:ilvl w:val="0"/>
          <w:numId w:val="8"/>
        </w:numPr>
      </w:pPr>
      <w:r>
        <w:rPr>
          <w:b/>
          <w:bCs/>
        </w:rPr>
        <w:t>Theme 1:</w:t>
      </w:r>
      <w:r>
        <w:t xml:space="preserve"> The Characteristics of Emerging Adulthood of TAY with Foster Care Experience</w:t>
      </w:r>
    </w:p>
    <w:p w14:paraId="6C5EE956" w14:textId="77777777" w:rsidR="00AB7C77" w:rsidRDefault="00935AE2">
      <w:pPr>
        <w:pStyle w:val="Compact"/>
        <w:numPr>
          <w:ilvl w:val="0"/>
          <w:numId w:val="8"/>
        </w:numPr>
      </w:pPr>
      <w:r>
        <w:rPr>
          <w:b/>
          <w:bCs/>
        </w:rPr>
        <w:t>Theme 2:</w:t>
      </w:r>
      <w:r>
        <w:t xml:space="preserve"> Navigating social and personal relationships during the transition out of foster care</w:t>
      </w:r>
    </w:p>
    <w:p w14:paraId="6C5EE957" w14:textId="77777777" w:rsidR="00AB7C77" w:rsidRDefault="00935AE2">
      <w:pPr>
        <w:pStyle w:val="Compact"/>
        <w:numPr>
          <w:ilvl w:val="0"/>
          <w:numId w:val="8"/>
        </w:numPr>
      </w:pPr>
      <w:r>
        <w:rPr>
          <w:b/>
          <w:bCs/>
        </w:rPr>
        <w:t>Theme 3:</w:t>
      </w:r>
      <w:r>
        <w:t xml:space="preserve"> Things did not go as hoped as TAY reconnected with family of origin</w:t>
      </w:r>
    </w:p>
    <w:p w14:paraId="6C5EE958" w14:textId="77777777" w:rsidR="00AB7C77" w:rsidRDefault="00935AE2">
      <w:pPr>
        <w:pStyle w:val="Compact"/>
        <w:numPr>
          <w:ilvl w:val="0"/>
          <w:numId w:val="8"/>
        </w:numPr>
      </w:pPr>
      <w:r>
        <w:rPr>
          <w:b/>
          <w:bCs/>
        </w:rPr>
        <w:t>Theme 4:</w:t>
      </w:r>
      <w:r>
        <w:t xml:space="preserve"> The roles of supportive relationships on TAY’s mental health</w:t>
      </w:r>
    </w:p>
    <w:p w14:paraId="6C5EE959" w14:textId="77777777" w:rsidR="00AB7C77" w:rsidRDefault="00935AE2">
      <w:pPr>
        <w:pStyle w:val="Compact"/>
        <w:numPr>
          <w:ilvl w:val="0"/>
          <w:numId w:val="8"/>
        </w:numPr>
      </w:pPr>
      <w:r>
        <w:rPr>
          <w:b/>
          <w:bCs/>
        </w:rPr>
        <w:t>Theme 5:</w:t>
      </w:r>
      <w:r>
        <w:t xml:space="preserve"> Limitation of and Recommendations for TAY Related Policies and Services</w:t>
      </w:r>
    </w:p>
    <w:p w14:paraId="6C5EE95A" w14:textId="77777777" w:rsidR="00AB7C77" w:rsidRDefault="00935AE2">
      <w:pPr>
        <w:pStyle w:val="Heading3"/>
      </w:pPr>
      <w:bookmarkStart w:id="12" w:name="X02f3cfda215bdb2e03def23b9449510ebfe7699"/>
      <w:r>
        <w:t>Theme 1: The characteristics of emerging adulthood of TAY with foster care experience</w:t>
      </w:r>
    </w:p>
    <w:p w14:paraId="6C5EE95B" w14:textId="77777777" w:rsidR="00AB7C77" w:rsidRDefault="00935AE2">
      <w:pPr>
        <w:pStyle w:val="Heading4"/>
      </w:pPr>
      <w:bookmarkStart w:id="13" w:name="sub-theme-1.1-its-a-bit-of-dancing"/>
      <w:r>
        <w:t>Sub-theme 1.1: “It’s a bit of dancing”</w:t>
      </w:r>
    </w:p>
    <w:p w14:paraId="6C5EE95C" w14:textId="77777777" w:rsidR="00AB7C77" w:rsidRDefault="00935AE2">
      <w:pPr>
        <w:pStyle w:val="BlockText"/>
      </w:pPr>
      <w:r>
        <w:t>Most of the time, I found that, especially with the older ones, the more autonomy you give them, the more they mess up, but also the better they become at their decision-making.</w:t>
      </w:r>
      <w:r>
        <w:br/>
      </w:r>
      <w:r>
        <w:rPr>
          <w:i/>
          <w:iCs/>
        </w:rPr>
        <w:t>(David, Clinical coordinator)</w:t>
      </w:r>
    </w:p>
    <w:p w14:paraId="6C5EE95D" w14:textId="77777777" w:rsidR="00AB7C77" w:rsidRDefault="00935AE2">
      <w:pPr>
        <w:pStyle w:val="BlockText"/>
      </w:pPr>
      <w:r>
        <w:t>Coming from a caseworker background, my mindset is “how do I fix the problem?” when that’s not always the most helpful for them at this age. Yes, they need solutions, but they also need that space to come up with those solutions on their own and figure out how they can use those skills to come up with solutions for further problems.</w:t>
      </w:r>
      <w:r>
        <w:br/>
      </w:r>
      <w:r>
        <w:rPr>
          <w:i/>
          <w:iCs/>
        </w:rPr>
        <w:t>(Mia, Independent living program coordinator)</w:t>
      </w:r>
    </w:p>
    <w:p w14:paraId="6C5EE95E" w14:textId="77777777" w:rsidR="00AB7C77" w:rsidRDefault="00935AE2">
      <w:pPr>
        <w:pStyle w:val="Heading4"/>
      </w:pPr>
      <w:bookmarkStart w:id="14" w:name="sub-theme-1.2-forced-to-grow-up"/>
      <w:bookmarkEnd w:id="13"/>
      <w:r>
        <w:lastRenderedPageBreak/>
        <w:t>Sub-theme 1.2: Forced to grow up</w:t>
      </w:r>
    </w:p>
    <w:p w14:paraId="6C5EE95F" w14:textId="77777777" w:rsidR="00AB7C77" w:rsidRDefault="00935AE2">
      <w:pPr>
        <w:pStyle w:val="BlockText"/>
      </w:pPr>
      <w:r>
        <w:t>We want to try to uphold that sense of normalcy because while being in foster care isn’t normal and it shouldn’t be the norm at all, for those young people who have to be in foster care for whatever reason, trying to make sure that they feel like they can be normal kids is important. Making sure they can go to sleepovers, making sure they can do extracurricular activities like sports and clubs and stuff, like it’s really important.</w:t>
      </w:r>
      <w:r>
        <w:br/>
      </w:r>
      <w:r>
        <w:rPr>
          <w:i/>
          <w:iCs/>
        </w:rPr>
        <w:t>(Jennifer, Youth advocate)</w:t>
      </w:r>
    </w:p>
    <w:p w14:paraId="6C5EE960" w14:textId="77777777" w:rsidR="00AB7C77" w:rsidRDefault="00935AE2">
      <w:pPr>
        <w:pStyle w:val="Heading4"/>
      </w:pPr>
      <w:bookmarkStart w:id="15" w:name="Xd5f5794fb67ac70baf0e0121419d9b27740002f"/>
      <w:bookmarkEnd w:id="14"/>
      <w:r>
        <w:t xml:space="preserve">Sub-theme 1.3: Lack of continuity and stability in all </w:t>
      </w:r>
      <w:proofErr w:type="gramStart"/>
      <w:r>
        <w:t>aspect</w:t>
      </w:r>
      <w:proofErr w:type="gramEnd"/>
      <w:r>
        <w:t xml:space="preserve"> of life</w:t>
      </w:r>
    </w:p>
    <w:p w14:paraId="6C5EE961" w14:textId="59FBE3A3" w:rsidR="00AB7C77" w:rsidRDefault="00935AE2">
      <w:pPr>
        <w:pStyle w:val="BlockText"/>
      </w:pPr>
      <w:r>
        <w:t xml:space="preserve">A lot of the young people who are leaving the facility [group home], who are in it when they’re 14 or older and they don’t get to go </w:t>
      </w:r>
      <w:proofErr w:type="gramStart"/>
      <w:r>
        <w:t>anywhere else,</w:t>
      </w:r>
      <w:proofErr w:type="gramEnd"/>
      <w:r>
        <w:t xml:space="preserve"> they just stay in there till they’re 18, they’re not well-prepared to get a job. They’re not well-prepared to do college. They’re institutionalized, so they’re lacking in their social</w:t>
      </w:r>
      <w:r w:rsidR="00F55F12">
        <w:t>—</w:t>
      </w:r>
      <w:r>
        <w:t>It’s hard for them to get back into society. Then also showing that they have a lot more mental health needs as they come out of there and their physical health and their relationship with food specifically is not always the best.</w:t>
      </w:r>
      <w:r>
        <w:br/>
      </w:r>
      <w:r>
        <w:rPr>
          <w:i/>
          <w:iCs/>
        </w:rPr>
        <w:t>(Emma, Youth advocate)</w:t>
      </w:r>
    </w:p>
    <w:p w14:paraId="6C5EE962" w14:textId="77777777" w:rsidR="00AB7C77" w:rsidRDefault="00935AE2">
      <w:pPr>
        <w:pStyle w:val="Heading3"/>
      </w:pPr>
      <w:bookmarkStart w:id="16" w:name="Xef4a8ec50f103c45b73236a79cb0d6bb4fd60b6"/>
      <w:bookmarkEnd w:id="15"/>
      <w:bookmarkEnd w:id="12"/>
      <w:r>
        <w:t>Theme 2: Navigating social and personal relationships during the transition out of foster care</w:t>
      </w:r>
    </w:p>
    <w:p w14:paraId="6C5EE963" w14:textId="77777777" w:rsidR="00AB7C77" w:rsidRDefault="00935AE2">
      <w:pPr>
        <w:pStyle w:val="Heading4"/>
      </w:pPr>
      <w:bookmarkStart w:id="17" w:name="X137e677dc218c764df440b48f1971ad42d36aca"/>
      <w:r>
        <w:t>Sub-theme 2.1: The importance of relational permanence.</w:t>
      </w:r>
    </w:p>
    <w:p w14:paraId="6C5EE964" w14:textId="77777777" w:rsidR="00AB7C77" w:rsidRDefault="00935AE2">
      <w:pPr>
        <w:pStyle w:val="BlockText"/>
      </w:pPr>
      <w:r>
        <w:t xml:space="preserve">I would say the most important are the natural </w:t>
      </w:r>
      <w:proofErr w:type="gramStart"/>
      <w:r>
        <w:t>supports</w:t>
      </w:r>
      <w:proofErr w:type="gramEnd"/>
      <w:r>
        <w:t xml:space="preserve">, the ones who aren’t professionals and aren’t going to leave at a certain time. The resource parent I think can be a great long-term support for them for sure, but I think if they can build up peer </w:t>
      </w:r>
      <w:proofErr w:type="gramStart"/>
      <w:r>
        <w:t>supports</w:t>
      </w:r>
      <w:proofErr w:type="gramEnd"/>
      <w:r>
        <w:t xml:space="preserve"> or other natural supports that aren’t professionals, I think those are the ones that are going to be the most beneficial long term.</w:t>
      </w:r>
      <w:r>
        <w:br/>
      </w:r>
      <w:r>
        <w:rPr>
          <w:i/>
          <w:iCs/>
        </w:rPr>
        <w:t>(Maggie, an independent living program manager)</w:t>
      </w:r>
    </w:p>
    <w:p w14:paraId="6C5EE965" w14:textId="77777777" w:rsidR="00AB7C77" w:rsidRDefault="00935AE2">
      <w:pPr>
        <w:pStyle w:val="Heading4"/>
      </w:pPr>
      <w:bookmarkStart w:id="18" w:name="X187bf93af26e6e9605786d2079db4bf479f531f"/>
      <w:bookmarkEnd w:id="17"/>
      <w:r>
        <w:t>Sub-theme 2.2: “You just don’t stop needing family just because you turn 18.”</w:t>
      </w:r>
    </w:p>
    <w:p w14:paraId="6C5EE966" w14:textId="77777777" w:rsidR="00AB7C77" w:rsidRDefault="00935AE2">
      <w:pPr>
        <w:pStyle w:val="BlockText"/>
      </w:pPr>
      <w:r>
        <w:t xml:space="preserve">I think they need to still have connections to bio siblings and extended family members because I’m seeing that makes a huge difference for the youth as they’re transitioning and maintaining those relationships if they can maintain healthy boundaries…You just don’t stop needing family just because you turn 18. They still need somewhere to call if they’re having a bad day, or if there’s an emergency, or somewhere to go for holidays, or someone who’s going to call them on their birthday. I think they need that permanent connection as they’re going out on their own. Personal </w:t>
      </w:r>
      <w:proofErr w:type="gramStart"/>
      <w:r>
        <w:t>relationship is</w:t>
      </w:r>
      <w:proofErr w:type="gramEnd"/>
      <w:r>
        <w:t xml:space="preserve"> really the backbone of everything.</w:t>
      </w:r>
      <w:r>
        <w:br/>
      </w:r>
      <w:r>
        <w:rPr>
          <w:i/>
          <w:iCs/>
        </w:rPr>
        <w:t>(Chloe, Youth Advisory Council)</w:t>
      </w:r>
    </w:p>
    <w:p w14:paraId="6C5EE967" w14:textId="77777777" w:rsidR="00AB7C77" w:rsidRDefault="00935AE2">
      <w:pPr>
        <w:pStyle w:val="Heading4"/>
      </w:pPr>
      <w:bookmarkStart w:id="19" w:name="Xd2ae9e3f550a1187562d1fde71b53cd94b334d8"/>
      <w:bookmarkEnd w:id="18"/>
      <w:r>
        <w:t>Sub-theme 2.3: “Friends become family for our young people.”</w:t>
      </w:r>
    </w:p>
    <w:p w14:paraId="6C5EE968" w14:textId="77777777" w:rsidR="00AB7C77" w:rsidRDefault="00935AE2">
      <w:pPr>
        <w:pStyle w:val="BlockText"/>
      </w:pPr>
      <w:r>
        <w:t xml:space="preserve">A lot of times I think that our young people will be a bit more receptive to support if it comes from someone else that’s walked in their shoes before. Especially </w:t>
      </w:r>
      <w:proofErr w:type="gramStart"/>
      <w:r>
        <w:t>a young person</w:t>
      </w:r>
      <w:proofErr w:type="gramEnd"/>
      <w:r>
        <w:t xml:space="preserve">. We’ve talked about figuring out some approach that incorporates </w:t>
      </w:r>
      <w:r>
        <w:lastRenderedPageBreak/>
        <w:t>mentoring through other young people with lived experience in the foster care system. They don’t have to be the same age. I guess if they were a little bit older, that’d be okay, but someone else with lived experience. I think giving advice and encouraging young people makes a huge difference. Especially when they can see that person has had success.</w:t>
      </w:r>
      <w:r>
        <w:br/>
      </w:r>
      <w:r>
        <w:rPr>
          <w:i/>
          <w:iCs/>
        </w:rPr>
        <w:t>(Mia, an independent living program coordinator)</w:t>
      </w:r>
    </w:p>
    <w:p w14:paraId="6C5EE969" w14:textId="77777777" w:rsidR="00AB7C77" w:rsidRDefault="00935AE2">
      <w:pPr>
        <w:pStyle w:val="Heading4"/>
      </w:pPr>
      <w:bookmarkStart w:id="20" w:name="Xb4d146f377d5274079d78ac3da37a59fba4ec74"/>
      <w:bookmarkEnd w:id="19"/>
      <w:r>
        <w:t>Sub-theme 2.4: Loss of connections with professionals after 18.</w:t>
      </w:r>
    </w:p>
    <w:p w14:paraId="6C5EE96A" w14:textId="77777777" w:rsidR="00AB7C77" w:rsidRDefault="00935AE2">
      <w:pPr>
        <w:pStyle w:val="BlockText"/>
      </w:pPr>
      <w:r>
        <w:t xml:space="preserve">A lot of times when our young people turn 18 and they’re “adults” who are transitioning out of the system. A lot of these service providers do step away. The social workers, the </w:t>
      </w:r>
      <w:proofErr w:type="gramStart"/>
      <w:r>
        <w:t>guardians</w:t>
      </w:r>
      <w:proofErr w:type="gramEnd"/>
      <w:r>
        <w:t xml:space="preserve"> ad litem, everyone who is part of the child welfare system structure, </w:t>
      </w:r>
      <w:proofErr w:type="gramStart"/>
      <w:r>
        <w:t>they do</w:t>
      </w:r>
      <w:proofErr w:type="gramEnd"/>
      <w:r>
        <w:t xml:space="preserve"> step aside. That’s why a lot of times those who are 18 and over don’t have those natural supports in place unless they do have family or maybe they do have ongoing case management.</w:t>
      </w:r>
      <w:r>
        <w:br/>
      </w:r>
      <w:r>
        <w:rPr>
          <w:i/>
          <w:iCs/>
        </w:rPr>
        <w:t>(Derek)</w:t>
      </w:r>
    </w:p>
    <w:p w14:paraId="6C5EE96B" w14:textId="77777777" w:rsidR="00AB7C77" w:rsidRDefault="00935AE2">
      <w:pPr>
        <w:pStyle w:val="Heading3"/>
      </w:pPr>
      <w:bookmarkStart w:id="21" w:name="Xe2eb0f78456383143bf8456634f9cebcdf00ad4"/>
      <w:bookmarkEnd w:id="20"/>
      <w:bookmarkEnd w:id="16"/>
      <w:r>
        <w:t>Theme 3: Things did not go as hoped as TAY reconnected with family of origin</w:t>
      </w:r>
    </w:p>
    <w:p w14:paraId="6C5EE96C" w14:textId="77777777" w:rsidR="00AB7C77" w:rsidRDefault="00935AE2">
      <w:pPr>
        <w:pStyle w:val="BlockText"/>
      </w:pPr>
      <w:r>
        <w:t>They [TAY] started working with the jobs program. And a few months later, I’ll check in with them, “Oh, how’s it going with the jobs program?” And they’re like, “Well, my case manager left, and I never heard anything again. And we did not do anything”.</w:t>
      </w:r>
      <w:r>
        <w:br/>
      </w:r>
      <w:r>
        <w:rPr>
          <w:i/>
          <w:iCs/>
        </w:rPr>
        <w:t>(Marssella, an independent living program coordinator)</w:t>
      </w:r>
    </w:p>
    <w:p w14:paraId="6C5EE96D" w14:textId="0952AE7F" w:rsidR="00AB7C77" w:rsidRDefault="00935AE2">
      <w:pPr>
        <w:pStyle w:val="BlockText"/>
      </w:pPr>
      <w:r>
        <w:t>I would say the most common thing, and this is kind of a sad one, is most youth that when they hit 18</w:t>
      </w:r>
      <w:r w:rsidR="00F55F12" w:rsidRPr="00F55F12">
        <w:t>—</w:t>
      </w:r>
      <w:r>
        <w:t xml:space="preserve">if their parents either weren’t involved or were involved but didn’t really try to get them back—they [TAY] run back to them [birth parents], they go there, and it never ends well. They [TAY] usually end up finding out, you know, the </w:t>
      </w:r>
      <w:proofErr w:type="gramStart"/>
      <w:r>
        <w:t>parent</w:t>
      </w:r>
      <w:proofErr w:type="gramEnd"/>
      <w:r>
        <w:t xml:space="preserve"> never wanted them. They [TAY] find out that the parent was just not capable of taking care of them. They’re not able to give them what they [TAY] want in that relationship.</w:t>
      </w:r>
      <w:r>
        <w:br/>
      </w:r>
      <w:r>
        <w:rPr>
          <w:i/>
          <w:iCs/>
        </w:rPr>
        <w:t>(David, a clinical coordinator)</w:t>
      </w:r>
    </w:p>
    <w:p w14:paraId="6C5EE96E" w14:textId="739B091F" w:rsidR="00AB7C77" w:rsidRDefault="00935AE2">
      <w:pPr>
        <w:pStyle w:val="BlockText"/>
      </w:pPr>
      <w:r>
        <w:t xml:space="preserve">I’ve had a situation where a young adult went back to a father that did horrible things to her, but she went back, and that relationship picked up where it left off years ago when she was younger unfortunately. She thought that was a great support at the time because she had somewhere to go. She hadn’t seen her father in years, but he had terrible intentions for her to come be with him … I think dad </w:t>
      </w:r>
      <w:proofErr w:type="gramStart"/>
      <w:r>
        <w:t>just</w:t>
      </w:r>
      <w:r w:rsidR="00037C39" w:rsidRPr="00037C39">
        <w:t>—</w:t>
      </w:r>
      <w:r>
        <w:t>he</w:t>
      </w:r>
      <w:proofErr w:type="gramEnd"/>
      <w:r>
        <w:t xml:space="preserve"> wasn’t in the right place. He took advantage of where she was mentally.</w:t>
      </w:r>
      <w:r>
        <w:br/>
      </w:r>
      <w:r>
        <w:rPr>
          <w:i/>
          <w:iCs/>
        </w:rPr>
        <w:t>(Debbie, Child welfare worker)</w:t>
      </w:r>
    </w:p>
    <w:p w14:paraId="6C5EE96F" w14:textId="77777777" w:rsidR="00AB7C77" w:rsidRDefault="00935AE2">
      <w:pPr>
        <w:pStyle w:val="Heading3"/>
      </w:pPr>
      <w:bookmarkStart w:id="22" w:name="X2688935ab0c9a8d98b6db7120cbb439a5da06df"/>
      <w:bookmarkEnd w:id="21"/>
      <w:r>
        <w:t>Theme 4: The roles of supportive relationships on TAY’s overall mental health</w:t>
      </w:r>
    </w:p>
    <w:p w14:paraId="6C5EE970" w14:textId="77777777" w:rsidR="00AB7C77" w:rsidRDefault="00935AE2">
      <w:pPr>
        <w:pStyle w:val="BlockText"/>
      </w:pPr>
      <w:r>
        <w:t xml:space="preserve">The confidence that comes from knowing that people are there for you to know </w:t>
      </w:r>
      <w:proofErr w:type="gramStart"/>
      <w:r>
        <w:t>you’re</w:t>
      </w:r>
      <w:proofErr w:type="gramEnd"/>
      <w:r>
        <w:t xml:space="preserve"> part of a community, that raises all of the outcome levels … They wake up feeling better about their day. I used to say in the apartment-based program, </w:t>
      </w:r>
      <w:r>
        <w:lastRenderedPageBreak/>
        <w:t>there’s nothing worse than waking up and staring at white walls in your apartment with nowhere to go and nobody who cares about you. It’s a recipe for depression. It’s really a threat, not just to their livelihood but to their life in general. It can be quite dire.</w:t>
      </w:r>
      <w:r>
        <w:br/>
      </w:r>
      <w:r>
        <w:rPr>
          <w:i/>
          <w:iCs/>
        </w:rPr>
        <w:t>(Matthew, independent living program manager)</w:t>
      </w:r>
    </w:p>
    <w:p w14:paraId="6C5EE971" w14:textId="77777777" w:rsidR="00AB7C77" w:rsidRDefault="00935AE2">
      <w:pPr>
        <w:pStyle w:val="Heading4"/>
      </w:pPr>
      <w:bookmarkStart w:id="23" w:name="X0b8f9dabf348bc2c02ff90262a968455e980d9a"/>
      <w:r>
        <w:t>Sub-theme 4.1: Supporting accountability to mental health service use</w:t>
      </w:r>
    </w:p>
    <w:p w14:paraId="6C5EE972" w14:textId="77777777" w:rsidR="00AB7C77" w:rsidRDefault="00935AE2">
      <w:pPr>
        <w:pStyle w:val="BlockText"/>
      </w:pPr>
      <w:r>
        <w:t xml:space="preserve">A lot of times the foster parents still schedule therapy and </w:t>
      </w:r>
      <w:proofErr w:type="gramStart"/>
      <w:r>
        <w:t>requires</w:t>
      </w:r>
      <w:proofErr w:type="gramEnd"/>
      <w:r>
        <w:t xml:space="preserve"> them [TAY] to do that [therapy] while they’re living there. That’s probably another reason why they’re [TAY] more successful is because they are continuing treatment. Whereas when they move on their own, a lot of times they cut all that out and they stop going. They stop taking meds, they stop going to therapy, all that kind of stuff.</w:t>
      </w:r>
      <w:r>
        <w:br/>
      </w:r>
      <w:r>
        <w:rPr>
          <w:i/>
          <w:iCs/>
        </w:rPr>
        <w:t>(Shawna, independent living program coordinator)</w:t>
      </w:r>
    </w:p>
    <w:p w14:paraId="6C5EE973" w14:textId="77777777" w:rsidR="00AB7C77" w:rsidRDefault="00935AE2">
      <w:pPr>
        <w:pStyle w:val="Heading4"/>
      </w:pPr>
      <w:bookmarkStart w:id="24" w:name="X1b8eabbd749d2e6980747029933b21cf9a2c205"/>
      <w:bookmarkEnd w:id="23"/>
      <w:r>
        <w:t>Sub-theme 4.2: Going through crises with a safety net.</w:t>
      </w:r>
    </w:p>
    <w:p w14:paraId="6C5EE974" w14:textId="77777777" w:rsidR="00AB7C77" w:rsidRDefault="00935AE2">
      <w:pPr>
        <w:pStyle w:val="BlockText"/>
      </w:pPr>
      <w:r>
        <w:t>She [TAY] asks people to walk her through [crisis] a lot, too. She’s not the one that I can just send her a number for a mental health provider to call. She wants me on the phone with her to call them with her even though she’ll do all the talking. She’ll advocate for herself, but she wants a support person there to be there if she stumbles or to debrief even sometimes afterwards.</w:t>
      </w:r>
      <w:r>
        <w:br/>
      </w:r>
      <w:r>
        <w:rPr>
          <w:i/>
          <w:iCs/>
        </w:rPr>
        <w:t>(Mia, a program coordinator)</w:t>
      </w:r>
    </w:p>
    <w:p w14:paraId="6C5EE975" w14:textId="77777777" w:rsidR="00AB7C77" w:rsidRDefault="00935AE2">
      <w:pPr>
        <w:pStyle w:val="Heading3"/>
      </w:pPr>
      <w:bookmarkStart w:id="25" w:name="X1289e632b820b5b69fe20fc6e1f3ebe8fa24fc9"/>
      <w:bookmarkEnd w:id="24"/>
      <w:bookmarkEnd w:id="22"/>
      <w:r>
        <w:t>Theme 5: Limitation of and Recommendations for TAY Related Policies and Services</w:t>
      </w:r>
    </w:p>
    <w:p w14:paraId="6C5EE976" w14:textId="77777777" w:rsidR="00AB7C77" w:rsidRDefault="00935AE2">
      <w:pPr>
        <w:pStyle w:val="Heading4"/>
      </w:pPr>
      <w:bookmarkStart w:id="26" w:name="X7a3338c21ec2c4492c6210d1db1b07e0a5909ea"/>
      <w:r>
        <w:t>Sub-theme 5.1: “18 to 21 years old are screw-up years”</w:t>
      </w:r>
    </w:p>
    <w:p w14:paraId="6C5EE977" w14:textId="0254165B" w:rsidR="00AB7C77" w:rsidRDefault="00935AE2">
      <w:pPr>
        <w:pStyle w:val="BlockText"/>
      </w:pPr>
      <w:r>
        <w:t>I wish they would just make the court dates for them. A lot of the court dates were being made at 18 for them to age out on their 18th birthday, and I feel like that is so unfair because for the most part, they can’t even go into an application. They can’t fill out an application for an apartment because they’re not 18, so they can’t go into any bind or agreement because they’re not of age</w:t>
      </w:r>
      <w:r w:rsidR="00A4350C">
        <w:t xml:space="preserve"> </w:t>
      </w:r>
      <w:r>
        <w:t>… I pushed for the caseworker, the guardian ad litem, I pushed for them to request additional time to be able to secure affordable housing after their 18th birthday. I think it’s just too soon to say</w:t>
      </w:r>
      <w:r w:rsidR="00A4350C" w:rsidRPr="00A4350C">
        <w:t>—</w:t>
      </w:r>
      <w:r>
        <w:t>Unless there is a for-sure plan like they’re going to go to a relative’s house or something like that. If there’s a for-sure plan, then that’s fine, but for a lot of them, there isn’t.</w:t>
      </w:r>
      <w:r>
        <w:br/>
      </w:r>
      <w:r>
        <w:rPr>
          <w:i/>
          <w:iCs/>
        </w:rPr>
        <w:t>(Debbie, Caseworker)</w:t>
      </w:r>
    </w:p>
    <w:p w14:paraId="6C5EE978" w14:textId="77777777" w:rsidR="00AB7C77" w:rsidRDefault="00935AE2">
      <w:pPr>
        <w:pStyle w:val="Heading4"/>
      </w:pPr>
      <w:bookmarkStart w:id="27" w:name="Xf08917ad6a3e861d713b1d2c511173893d02ce7"/>
      <w:bookmarkEnd w:id="26"/>
      <w:r>
        <w:t>Sub-theme 5.2: Incompatibility between policies designed to support TAY and the market</w:t>
      </w:r>
    </w:p>
    <w:p w14:paraId="6C5EE979" w14:textId="77777777" w:rsidR="00AB7C77" w:rsidRDefault="00935AE2">
      <w:pPr>
        <w:pStyle w:val="BlockText"/>
      </w:pPr>
      <w:r>
        <w:t xml:space="preserve">The availability of housing is ridiculous. Then </w:t>
      </w:r>
      <w:proofErr w:type="gramStart"/>
      <w:r>
        <w:t>the pricing, the</w:t>
      </w:r>
      <w:proofErr w:type="gramEnd"/>
      <w:r>
        <w:t xml:space="preserve"> prices have skyrocketed over the last couple of years. I have a lot of youth who can’t afford housing. There are apartments available. Even if they have housing vouchers, we can’t find any places that take the housing voucher for them to be able to move into the places.</w:t>
      </w:r>
      <w:r>
        <w:br/>
      </w:r>
      <w:r>
        <w:rPr>
          <w:i/>
          <w:iCs/>
        </w:rPr>
        <w:t>(Shawna, Independent living program coordinator)</w:t>
      </w:r>
    </w:p>
    <w:p w14:paraId="6C5EE97A" w14:textId="77777777" w:rsidR="00AB7C77" w:rsidRDefault="00935AE2">
      <w:pPr>
        <w:pStyle w:val="Heading4"/>
      </w:pPr>
      <w:bookmarkStart w:id="28" w:name="X845fde7e27743f15fdded1633a53d63b6bebd5b"/>
      <w:bookmarkEnd w:id="27"/>
      <w:r>
        <w:lastRenderedPageBreak/>
        <w:t>Sub-theme 5.3: Fostering autonomy: Youth-led models in TAY programs</w:t>
      </w:r>
    </w:p>
    <w:p w14:paraId="6C5EE97B" w14:textId="6EEA4E76" w:rsidR="00AB7C77" w:rsidRDefault="00935AE2">
      <w:pPr>
        <w:pStyle w:val="BlockText"/>
      </w:pPr>
      <w:r>
        <w:t>I come across so many young people who want to improve the child welfare system in our state because they don’t want someone else to go through the same things that they went through. I’m always just really impressed by that, their desire to not only look for how they can improve things for themselves, but look into the future for other people, and try to make a difference</w:t>
      </w:r>
      <w:r w:rsidR="00A4350C">
        <w:t xml:space="preserve"> </w:t>
      </w:r>
      <w:r>
        <w:t>… so they can improve the system that failed them. I think that that’s pretty incredible.</w:t>
      </w:r>
      <w:r>
        <w:br/>
      </w:r>
      <w:r>
        <w:rPr>
          <w:i/>
          <w:iCs/>
        </w:rPr>
        <w:t>(Mia, Independent living program coordinator)</w:t>
      </w:r>
    </w:p>
    <w:p w14:paraId="6C5EE97C" w14:textId="77777777" w:rsidR="00AB7C77" w:rsidRDefault="00935AE2">
      <w:pPr>
        <w:pStyle w:val="BlockText"/>
      </w:pPr>
      <w:r>
        <w:t>A lot of times I think that our young people will be a bit more receptive to support if it comes from someone else that’s walked in their shoes before. Especially a young person.</w:t>
      </w:r>
      <w:r>
        <w:br/>
      </w:r>
      <w:r>
        <w:rPr>
          <w:i/>
          <w:iCs/>
        </w:rPr>
        <w:t>(Blue, Caseworker)</w:t>
      </w:r>
    </w:p>
    <w:p w14:paraId="6C5EE97D" w14:textId="77777777" w:rsidR="00AB7C77" w:rsidRDefault="00935AE2">
      <w:pPr>
        <w:pStyle w:val="Heading4"/>
      </w:pPr>
      <w:bookmarkStart w:id="29" w:name="X914cd83ae9e2bc859b75cb8f503a194c37b8a13"/>
      <w:bookmarkEnd w:id="28"/>
      <w:r>
        <w:t>Sub-theme 5.4: The flexibility in program design and service delivery for TAY</w:t>
      </w:r>
    </w:p>
    <w:p w14:paraId="6C5EE97E" w14:textId="77777777" w:rsidR="00AB7C77" w:rsidRDefault="00935AE2">
      <w:pPr>
        <w:pStyle w:val="BlockText"/>
      </w:pPr>
      <w:r>
        <w:t xml:space="preserve">Some programs have had restrictions on their practice, you [the provider] can’t be in a car when you’re billing, or you have to be in a certain environment when you’re billing. Those things don’t work when working with transition-age youth because you really need to be able to get in the car and go to the workforce center. You get in the car, and you go to the vocational rehab center, or you go into the </w:t>
      </w:r>
      <w:proofErr w:type="gramStart"/>
      <w:r>
        <w:t>garage</w:t>
      </w:r>
      <w:proofErr w:type="gramEnd"/>
      <w:r>
        <w:t xml:space="preserve"> and you build something, or you walk to the food pantry together or something like that. The activities that you do with youth while you’re talking about the counseling is probably as important as the counseling itself.</w:t>
      </w:r>
      <w:r>
        <w:br/>
      </w:r>
      <w:r>
        <w:rPr>
          <w:i/>
          <w:iCs/>
        </w:rPr>
        <w:t>(Jennifer, Youth advocate)</w:t>
      </w:r>
    </w:p>
    <w:p w14:paraId="6C5EE97F" w14:textId="77777777" w:rsidR="00AB7C77" w:rsidRDefault="00935AE2">
      <w:pPr>
        <w:pStyle w:val="Heading2"/>
      </w:pPr>
      <w:bookmarkStart w:id="30" w:name="X1923859c534b046d6f8ced54933241eaa17908b"/>
      <w:bookmarkEnd w:id="29"/>
      <w:bookmarkEnd w:id="25"/>
      <w:bookmarkEnd w:id="11"/>
      <w:r>
        <w:t>Slide 30: The Importance of Relational Permanence</w:t>
      </w:r>
    </w:p>
    <w:p w14:paraId="6C5EE980" w14:textId="77777777" w:rsidR="00AB7C77" w:rsidRDefault="00935AE2">
      <w:pPr>
        <w:pStyle w:val="Compact"/>
        <w:numPr>
          <w:ilvl w:val="0"/>
          <w:numId w:val="9"/>
        </w:numPr>
      </w:pPr>
      <w:r>
        <w:t>Legal permanent arrangements, such as reunification, adoption, guardianship, do not always last as desired.</w:t>
      </w:r>
    </w:p>
    <w:p w14:paraId="6C5EE981" w14:textId="77777777" w:rsidR="00AB7C77" w:rsidRDefault="00935AE2">
      <w:pPr>
        <w:pStyle w:val="Compact"/>
        <w:numPr>
          <w:ilvl w:val="0"/>
          <w:numId w:val="9"/>
        </w:numPr>
      </w:pPr>
      <w:r>
        <w:t>Relational permanency is as important a measure as legal permanence to ensure youth are connected with life-long and supportive adults.</w:t>
      </w:r>
    </w:p>
    <w:p w14:paraId="6C5EE982" w14:textId="77777777" w:rsidR="00AB7C77" w:rsidRDefault="00935AE2">
      <w:pPr>
        <w:pStyle w:val="Compact"/>
        <w:numPr>
          <w:ilvl w:val="0"/>
          <w:numId w:val="9"/>
        </w:numPr>
      </w:pPr>
      <w:r>
        <w:t>Young people with long-lasting relationships were at lower risk of experiencing food insecurity, economic hardships, and homelessness.</w:t>
      </w:r>
    </w:p>
    <w:p w14:paraId="6C5EE983" w14:textId="77777777" w:rsidR="00AB7C77" w:rsidRDefault="00935AE2">
      <w:pPr>
        <w:pStyle w:val="Heading2"/>
      </w:pPr>
      <w:bookmarkStart w:id="31" w:name="X6ffb34349034350e381e0c23b4429c54e5236b0"/>
      <w:bookmarkEnd w:id="30"/>
      <w:r>
        <w:t>Slide 31: Implications for Future Practice</w:t>
      </w:r>
    </w:p>
    <w:p w14:paraId="6C5EE984" w14:textId="77777777" w:rsidR="00AB7C77" w:rsidRDefault="00935AE2">
      <w:pPr>
        <w:pStyle w:val="Compact"/>
        <w:numPr>
          <w:ilvl w:val="0"/>
          <w:numId w:val="10"/>
        </w:numPr>
      </w:pPr>
      <w:r>
        <w:t>Cultivate and enhance supportive relationships of TAY with foster care experience.</w:t>
      </w:r>
    </w:p>
    <w:p w14:paraId="6C5EE985" w14:textId="77777777" w:rsidR="00AB7C77" w:rsidRDefault="00935AE2">
      <w:pPr>
        <w:pStyle w:val="Compact"/>
        <w:numPr>
          <w:ilvl w:val="0"/>
          <w:numId w:val="10"/>
        </w:numPr>
      </w:pPr>
      <w:r>
        <w:t>The impact of previous child welfare involvement.</w:t>
      </w:r>
    </w:p>
    <w:p w14:paraId="6C5EE986" w14:textId="77777777" w:rsidR="00AB7C77" w:rsidRDefault="00935AE2">
      <w:pPr>
        <w:pStyle w:val="Compact"/>
        <w:numPr>
          <w:ilvl w:val="0"/>
          <w:numId w:val="10"/>
        </w:numPr>
      </w:pPr>
      <w:r>
        <w:t xml:space="preserve">Provide opportunities to take the lead and </w:t>
      </w:r>
      <w:proofErr w:type="gramStart"/>
      <w:r>
        <w:t>fostering</w:t>
      </w:r>
      <w:proofErr w:type="gramEnd"/>
      <w:r>
        <w:t xml:space="preserve"> sense of agency, ownership, and practice critical life skills.</w:t>
      </w:r>
    </w:p>
    <w:p w14:paraId="6C5EE987" w14:textId="77777777" w:rsidR="00AB7C77" w:rsidRDefault="00935AE2">
      <w:pPr>
        <w:pStyle w:val="Compact"/>
        <w:numPr>
          <w:ilvl w:val="0"/>
          <w:numId w:val="10"/>
        </w:numPr>
      </w:pPr>
      <w:r>
        <w:t>Facilitate and strengthen the connections with family of origin even though permanence with family of origin is not the primary goal.</w:t>
      </w:r>
    </w:p>
    <w:p w14:paraId="6C5EE988" w14:textId="77777777" w:rsidR="00AB7C77" w:rsidRDefault="00935AE2">
      <w:pPr>
        <w:pStyle w:val="Compact"/>
        <w:numPr>
          <w:ilvl w:val="0"/>
          <w:numId w:val="10"/>
        </w:numPr>
      </w:pPr>
      <w:r>
        <w:t>Build cross-system collaborations between child welfare system and workforce development programs.</w:t>
      </w:r>
    </w:p>
    <w:p w14:paraId="6C5EE989" w14:textId="77777777" w:rsidR="00AB7C77" w:rsidRDefault="00935AE2">
      <w:pPr>
        <w:pStyle w:val="Heading2"/>
      </w:pPr>
      <w:bookmarkStart w:id="32" w:name="slide-32-thank-you"/>
      <w:bookmarkEnd w:id="31"/>
      <w:r>
        <w:lastRenderedPageBreak/>
        <w:t>Slide 32: Thank You!</w:t>
      </w:r>
    </w:p>
    <w:p w14:paraId="6C5EE98A" w14:textId="77777777" w:rsidR="00AB7C77" w:rsidRDefault="00935AE2">
      <w:pPr>
        <w:pStyle w:val="FirstParagraph"/>
      </w:pPr>
      <w:r>
        <w:t xml:space="preserve">Contact: </w:t>
      </w:r>
      <w:hyperlink r:id="rId8">
        <w:r>
          <w:rPr>
            <w:rStyle w:val="Hyperlink"/>
          </w:rPr>
          <w:t>yao.wang@uta.edu</w:t>
        </w:r>
      </w:hyperlink>
    </w:p>
    <w:bookmarkEnd w:id="32"/>
    <w:bookmarkEnd w:id="0"/>
    <w:sectPr w:rsidR="00AB7C77">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03602A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DDF49D9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7C7412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589121816">
    <w:abstractNumId w:val="0"/>
  </w:num>
  <w:num w:numId="2" w16cid:durableId="1515652573">
    <w:abstractNumId w:val="1"/>
  </w:num>
  <w:num w:numId="3" w16cid:durableId="1695229606">
    <w:abstractNumId w:val="1"/>
  </w:num>
  <w:num w:numId="4" w16cid:durableId="2144956231">
    <w:abstractNumId w:val="1"/>
  </w:num>
  <w:num w:numId="5" w16cid:durableId="690448113">
    <w:abstractNumId w:val="1"/>
  </w:num>
  <w:num w:numId="6" w16cid:durableId="112214334">
    <w:abstractNumId w:val="1"/>
  </w:num>
  <w:num w:numId="7" w16cid:durableId="1097406341">
    <w:abstractNumId w:val="1"/>
  </w:num>
  <w:num w:numId="8" w16cid:durableId="16463985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427316">
    <w:abstractNumId w:val="1"/>
  </w:num>
  <w:num w:numId="10" w16cid:durableId="797264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C77"/>
    <w:rsid w:val="00037C39"/>
    <w:rsid w:val="00145866"/>
    <w:rsid w:val="00211C9D"/>
    <w:rsid w:val="002D7183"/>
    <w:rsid w:val="004C78DA"/>
    <w:rsid w:val="0051646F"/>
    <w:rsid w:val="00935AE2"/>
    <w:rsid w:val="00A4350C"/>
    <w:rsid w:val="00AB7C77"/>
    <w:rsid w:val="00C05BA5"/>
    <w:rsid w:val="00C57CC5"/>
    <w:rsid w:val="00D00136"/>
    <w:rsid w:val="00F55F12"/>
    <w:rsid w:val="67F39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EE8F1"/>
  <w15:docId w15:val="{5A8586A8-5FC6-4A03-983D-755A0DAA0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o.wang@uta.ed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8f8b17c-a8da-4642-bd33-c31e19750012">
      <Terms xmlns="http://schemas.microsoft.com/office/infopath/2007/PartnerControls"/>
    </lcf76f155ced4ddcb4097134ff3c332f>
    <Comments xmlns="68f8b17c-a8da-4642-bd33-c31e19750012" xsi:nil="true"/>
    <_ip_UnifiedCompliancePolicyProperties xmlns="http://schemas.microsoft.com/sharepoint/v3" xsi:nil="true"/>
    <TaxCatchAll xmlns="baf464a5-443c-4111-9af5-10917cd50c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5D5B2E3381B24EBC67A7B6343EB3CD" ma:contentTypeVersion="18" ma:contentTypeDescription="Create a new document." ma:contentTypeScope="" ma:versionID="dfddf50aa0ecd32cd61f6e2e4fd52a95">
  <xsd:schema xmlns:xsd="http://www.w3.org/2001/XMLSchema" xmlns:xs="http://www.w3.org/2001/XMLSchema" xmlns:p="http://schemas.microsoft.com/office/2006/metadata/properties" xmlns:ns1="http://schemas.microsoft.com/sharepoint/v3" xmlns:ns2="68f8b17c-a8da-4642-bd33-c31e19750012" xmlns:ns3="6aa59d50-dacc-45a1-8c79-5bdfd2f48623" xmlns:ns4="baf464a5-443c-4111-9af5-10917cd50cf0" targetNamespace="http://schemas.microsoft.com/office/2006/metadata/properties" ma:root="true" ma:fieldsID="a98eeefe230f61f4d243e7fe0b20f60b" ns1:_="" ns2:_="" ns3:_="" ns4:_="">
    <xsd:import namespace="http://schemas.microsoft.com/sharepoint/v3"/>
    <xsd:import namespace="68f8b17c-a8da-4642-bd33-c31e19750012"/>
    <xsd:import namespace="6aa59d50-dacc-45a1-8c79-5bdfd2f48623"/>
    <xsd:import namespace="baf464a5-443c-4111-9af5-10917cd50c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OCR" minOccurs="0"/>
                <xsd:element ref="ns1:_ip_UnifiedCompliancePolicyProperties" minOccurs="0"/>
                <xsd:element ref="ns1:_ip_UnifiedCompliancePolicyUIAction"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f8b17c-a8da-4642-bd33-c31e19750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2870f7a-ebce-4420-99c3-1cd72abed08e"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Comments" ma:index="25"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a59d50-dacc-45a1-8c79-5bdfd2f486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f464a5-443c-4111-9af5-10917cd50cf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43b680-da4e-45a5-8372-5afb948bc79c}" ma:internalName="TaxCatchAll" ma:showField="CatchAllData" ma:web="baf464a5-443c-4111-9af5-10917cd50c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88138A-F918-44A9-8295-72D7908EB2BA}">
  <ds:schemaRefs>
    <ds:schemaRef ds:uri="http://schemas.microsoft.com/office/2006/metadata/properties"/>
    <ds:schemaRef ds:uri="http://schemas.microsoft.com/office/infopath/2007/PartnerControls"/>
    <ds:schemaRef ds:uri="http://schemas.microsoft.com/sharepoint/v3"/>
    <ds:schemaRef ds:uri="68f8b17c-a8da-4642-bd33-c31e19750012"/>
    <ds:schemaRef ds:uri="baf464a5-443c-4111-9af5-10917cd50cf0"/>
  </ds:schemaRefs>
</ds:datastoreItem>
</file>

<file path=customXml/itemProps2.xml><?xml version="1.0" encoding="utf-8"?>
<ds:datastoreItem xmlns:ds="http://schemas.openxmlformats.org/officeDocument/2006/customXml" ds:itemID="{A9FD6B37-CAA4-430B-A9C8-453667DF1CBB}">
  <ds:schemaRefs>
    <ds:schemaRef ds:uri="http://schemas.microsoft.com/sharepoint/v3/contenttype/forms"/>
  </ds:schemaRefs>
</ds:datastoreItem>
</file>

<file path=customXml/itemProps3.xml><?xml version="1.0" encoding="utf-8"?>
<ds:datastoreItem xmlns:ds="http://schemas.openxmlformats.org/officeDocument/2006/customXml" ds:itemID="{8E9360A9-5901-4C7A-8F3C-A70ACB3EA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f8b17c-a8da-4642-bd33-c31e19750012"/>
    <ds:schemaRef ds:uri="6aa59d50-dacc-45a1-8c79-5bdfd2f48623"/>
    <ds:schemaRef ds:uri="baf464a5-443c-4111-9af5-10917cd50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2334</Words>
  <Characters>13307</Characters>
  <Application>Microsoft Office Word</Application>
  <DocSecurity>0</DocSecurity>
  <Lines>110</Lines>
  <Paragraphs>31</Paragraphs>
  <ScaleCrop>false</ScaleCrop>
  <Company/>
  <LinksUpToDate>false</LinksUpToDate>
  <CharactersWithSpaces>15610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Belz,William</dc:creator>
  <cp:keywords/>
  <cp:lastModifiedBy>Salinas-McCord,Danylle</cp:lastModifiedBy>
  <cp:revision>9</cp:revision>
  <dcterms:created xsi:type="dcterms:W3CDTF">2026-05-07T18:11:00Z</dcterms:created>
  <dcterms:modified xsi:type="dcterms:W3CDTF">2026-06-01T21:54:00Z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0x0101005D5D5B2E3381B24EBC67A7B6343EB3CD</vt:lpwstr>
  </property>
  <property fmtid="{D5CDD505-2E9C-101B-9397-08002B2CF9AE}" pid="3" name="MediaServiceImageTags">
    <vt:lpwstr/>
  </property>
</Properties>
</file>