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A79E3" w14:textId="77777777" w:rsidR="008B7577" w:rsidRDefault="00CA2375">
      <w:pPr>
        <w:pStyle w:val="Heading1"/>
      </w:pPr>
      <w:bookmarkStart w:id="0" w:name="work-opportunity-tax-credit"/>
      <w:r>
        <w:t>Work Opportunity Tax Credit</w:t>
      </w:r>
    </w:p>
    <w:p w14:paraId="2FCA79E4" w14:textId="77777777" w:rsidR="008B7577" w:rsidRDefault="00CA2375">
      <w:pPr>
        <w:pStyle w:val="Heading2"/>
      </w:pPr>
      <w:bookmarkStart w:id="1" w:name="learning-objectives"/>
      <w:r>
        <w:t>Learning Objectives</w:t>
      </w:r>
    </w:p>
    <w:p w14:paraId="2FCA79E5" w14:textId="77777777" w:rsidR="008B7577" w:rsidRDefault="00CA2375">
      <w:pPr>
        <w:pStyle w:val="Compact"/>
        <w:numPr>
          <w:ilvl w:val="0"/>
          <w:numId w:val="2"/>
        </w:numPr>
      </w:pPr>
      <w:r>
        <w:t>Define the Work Opportunity Tax Credit (WOTC) and its purpose.</w:t>
      </w:r>
    </w:p>
    <w:p w14:paraId="2FCA79E6" w14:textId="77777777" w:rsidR="008B7577" w:rsidRDefault="00CA2375">
      <w:pPr>
        <w:pStyle w:val="Compact"/>
        <w:numPr>
          <w:ilvl w:val="0"/>
          <w:numId w:val="2"/>
        </w:numPr>
      </w:pPr>
      <w:r>
        <w:t>Identify key WOTC target groups relevant to foster youth.</w:t>
      </w:r>
    </w:p>
    <w:p w14:paraId="2FCA79E7" w14:textId="77777777" w:rsidR="008B7577" w:rsidRDefault="00CA2375">
      <w:pPr>
        <w:pStyle w:val="Compact"/>
        <w:numPr>
          <w:ilvl w:val="0"/>
          <w:numId w:val="2"/>
        </w:numPr>
      </w:pPr>
      <w:r>
        <w:t>Understand the specific eligibility criteria that enable foster youth to qualify for WOTC.</w:t>
      </w:r>
    </w:p>
    <w:p w14:paraId="2FCA79E8" w14:textId="77777777" w:rsidR="008B7577" w:rsidRDefault="00CA2375">
      <w:pPr>
        <w:pStyle w:val="Compact"/>
        <w:numPr>
          <w:ilvl w:val="0"/>
          <w:numId w:val="2"/>
        </w:numPr>
      </w:pPr>
      <w:r>
        <w:t>Outline the employer’s process for applying for and claiming WOTC.</w:t>
      </w:r>
    </w:p>
    <w:p w14:paraId="2FCA79E9" w14:textId="77777777" w:rsidR="008B7577" w:rsidRDefault="00CA2375">
      <w:pPr>
        <w:pStyle w:val="Compact"/>
        <w:numPr>
          <w:ilvl w:val="0"/>
          <w:numId w:val="2"/>
        </w:numPr>
      </w:pPr>
      <w:r>
        <w:t>Learn best practices for integrating WOTC into hiring strategies for foster youth.</w:t>
      </w:r>
    </w:p>
    <w:p w14:paraId="2FCA79EA" w14:textId="77777777" w:rsidR="008B7577" w:rsidRDefault="00CA2375">
      <w:pPr>
        <w:pStyle w:val="Heading2"/>
      </w:pPr>
      <w:bookmarkStart w:id="2" w:name="agenda"/>
      <w:bookmarkEnd w:id="1"/>
      <w:r>
        <w:t>Agenda</w:t>
      </w:r>
    </w:p>
    <w:p w14:paraId="2FCA79EB" w14:textId="77777777" w:rsidR="008B7577" w:rsidRDefault="00CA2375">
      <w:pPr>
        <w:pStyle w:val="Compact"/>
        <w:numPr>
          <w:ilvl w:val="0"/>
          <w:numId w:val="3"/>
        </w:numPr>
      </w:pPr>
      <w:r>
        <w:t>WOTC Fundamentals</w:t>
      </w:r>
    </w:p>
    <w:p w14:paraId="2FCA79EC" w14:textId="77777777" w:rsidR="008B7577" w:rsidRDefault="00CA2375">
      <w:pPr>
        <w:pStyle w:val="Compact"/>
        <w:numPr>
          <w:ilvl w:val="0"/>
          <w:numId w:val="3"/>
        </w:numPr>
      </w:pPr>
      <w:r>
        <w:t>Target Groups &amp; Foster Youth Connections</w:t>
      </w:r>
    </w:p>
    <w:p w14:paraId="2FCA79ED" w14:textId="77777777" w:rsidR="008B7577" w:rsidRDefault="00CA2375">
      <w:pPr>
        <w:pStyle w:val="Compact"/>
        <w:numPr>
          <w:ilvl w:val="0"/>
          <w:numId w:val="3"/>
        </w:numPr>
      </w:pPr>
      <w:r>
        <w:t>The WOTC Process</w:t>
      </w:r>
    </w:p>
    <w:p w14:paraId="2FCA79EE" w14:textId="77777777" w:rsidR="008B7577" w:rsidRDefault="00CA2375">
      <w:pPr>
        <w:pStyle w:val="Compact"/>
        <w:numPr>
          <w:ilvl w:val="0"/>
          <w:numId w:val="3"/>
        </w:numPr>
      </w:pPr>
      <w:r>
        <w:t>Best Practices &amp; Resources</w:t>
      </w:r>
    </w:p>
    <w:p w14:paraId="2FCA79EF" w14:textId="77777777" w:rsidR="008B7577" w:rsidRDefault="00CA2375">
      <w:pPr>
        <w:pStyle w:val="Compact"/>
        <w:numPr>
          <w:ilvl w:val="0"/>
          <w:numId w:val="3"/>
        </w:numPr>
      </w:pPr>
      <w:r>
        <w:t>Q&amp;A</w:t>
      </w:r>
    </w:p>
    <w:p w14:paraId="2FCA79F0" w14:textId="77777777" w:rsidR="008B7577" w:rsidRDefault="00CA2375">
      <w:pPr>
        <w:pStyle w:val="Heading2"/>
      </w:pPr>
      <w:bookmarkStart w:id="3" w:name="understanding-wotc---fundamentals"/>
      <w:bookmarkEnd w:id="2"/>
      <w:r>
        <w:t>Understanding WOTC - Fundamentals</w:t>
      </w:r>
    </w:p>
    <w:p w14:paraId="2FCA79F1" w14:textId="77777777" w:rsidR="008B7577" w:rsidRDefault="00CA2375">
      <w:pPr>
        <w:pStyle w:val="Compact"/>
        <w:numPr>
          <w:ilvl w:val="0"/>
          <w:numId w:val="4"/>
        </w:numPr>
      </w:pPr>
      <w:r>
        <w:t>WOTC is a federal tax credit available to employers who hire individuals from certain target groups facing significant barriers to employment.</w:t>
      </w:r>
    </w:p>
    <w:p w14:paraId="2FCA79F2" w14:textId="77777777" w:rsidR="008B7577" w:rsidRDefault="00CA2375">
      <w:pPr>
        <w:pStyle w:val="Compact"/>
        <w:numPr>
          <w:ilvl w:val="0"/>
          <w:numId w:val="4"/>
        </w:numPr>
      </w:pPr>
      <w:r>
        <w:rPr>
          <w:b/>
          <w:bCs/>
        </w:rPr>
        <w:t>Purpose:</w:t>
      </w:r>
      <w:r>
        <w:t xml:space="preserve"> Incentivize businesses to hire these individuals, fostering economic opportunity and reducing reliance on public assistance.</w:t>
      </w:r>
    </w:p>
    <w:p w14:paraId="2FCA79F3" w14:textId="77777777" w:rsidR="008B7577" w:rsidRDefault="00CA2375">
      <w:pPr>
        <w:pStyle w:val="Compact"/>
        <w:numPr>
          <w:ilvl w:val="0"/>
          <w:numId w:val="4"/>
        </w:numPr>
      </w:pPr>
      <w:r>
        <w:rPr>
          <w:b/>
          <w:bCs/>
        </w:rPr>
        <w:t>Administered by:</w:t>
      </w:r>
      <w:r>
        <w:t xml:space="preserve"> U.S. Department of Labor (DOL) and the Internal Revenue Service (IRS).</w:t>
      </w:r>
    </w:p>
    <w:p w14:paraId="2FCA79F4" w14:textId="77777777" w:rsidR="008B7577" w:rsidRDefault="00CA2375">
      <w:pPr>
        <w:pStyle w:val="Compact"/>
        <w:numPr>
          <w:ilvl w:val="0"/>
          <w:numId w:val="4"/>
        </w:numPr>
      </w:pPr>
      <w:r>
        <w:rPr>
          <w:b/>
          <w:bCs/>
        </w:rPr>
        <w:t>Not a Grant:</w:t>
      </w:r>
      <w:r>
        <w:t xml:space="preserve"> It’s a tax credit – reduces a company’s federal tax liability, dollar-for-dollar.</w:t>
      </w:r>
    </w:p>
    <w:p w14:paraId="2FCA79F5" w14:textId="77777777" w:rsidR="008B7577" w:rsidRDefault="00CA2375">
      <w:pPr>
        <w:pStyle w:val="Heading2"/>
      </w:pPr>
      <w:bookmarkStart w:id="4" w:name="why-does-it-matter-key-benefits"/>
      <w:bookmarkEnd w:id="3"/>
      <w:r>
        <w:t>Why Does it Matter? Key Benefits</w:t>
      </w:r>
    </w:p>
    <w:p w14:paraId="2FCA79F6" w14:textId="77777777" w:rsidR="008B7577" w:rsidRDefault="00CA2375">
      <w:pPr>
        <w:pStyle w:val="Compact"/>
        <w:numPr>
          <w:ilvl w:val="0"/>
          <w:numId w:val="5"/>
        </w:numPr>
      </w:pPr>
      <w:r>
        <w:rPr>
          <w:b/>
          <w:bCs/>
        </w:rPr>
        <w:t>Significant Tax Savings:</w:t>
      </w:r>
      <w:r>
        <w:t xml:space="preserve"> Credits can range from $2,400 to $9,600 per qualified hire.</w:t>
      </w:r>
    </w:p>
    <w:p w14:paraId="2FCA79F7" w14:textId="77777777" w:rsidR="008B7577" w:rsidRDefault="00CA2375">
      <w:pPr>
        <w:pStyle w:val="Compact"/>
        <w:numPr>
          <w:ilvl w:val="0"/>
          <w:numId w:val="5"/>
        </w:numPr>
      </w:pPr>
      <w:r>
        <w:rPr>
          <w:b/>
          <w:bCs/>
        </w:rPr>
        <w:t>Reduces Tax Liability:</w:t>
      </w:r>
      <w:r>
        <w:t xml:space="preserve"> Directly offsets federal income tax (or alternative minimum tax for C corporations).</w:t>
      </w:r>
    </w:p>
    <w:p w14:paraId="2FCA79F8" w14:textId="77777777" w:rsidR="008B7577" w:rsidRDefault="00CA2375">
      <w:pPr>
        <w:pStyle w:val="Compact"/>
        <w:numPr>
          <w:ilvl w:val="0"/>
          <w:numId w:val="5"/>
        </w:numPr>
      </w:pPr>
      <w:r>
        <w:rPr>
          <w:b/>
          <w:bCs/>
        </w:rPr>
        <w:t>Enhances Corporate Social Responsibility (CSR):</w:t>
      </w:r>
      <w:r>
        <w:t xml:space="preserve"> Demonstrates commitment to diversity, inclusion, and community support.</w:t>
      </w:r>
    </w:p>
    <w:p w14:paraId="2FCA79F9" w14:textId="77777777" w:rsidR="008B7577" w:rsidRDefault="00CA2375">
      <w:pPr>
        <w:pStyle w:val="Compact"/>
        <w:numPr>
          <w:ilvl w:val="0"/>
          <w:numId w:val="5"/>
        </w:numPr>
      </w:pPr>
      <w:r>
        <w:rPr>
          <w:b/>
          <w:bCs/>
        </w:rPr>
        <w:t>Access to a Motivated Talent Pool:</w:t>
      </w:r>
      <w:r>
        <w:t xml:space="preserve"> Individuals from target groups are often highly motivated to succeed.</w:t>
      </w:r>
    </w:p>
    <w:p w14:paraId="2FCA79FA" w14:textId="77777777" w:rsidR="008B7577" w:rsidRDefault="00CA2375">
      <w:pPr>
        <w:pStyle w:val="Compact"/>
        <w:numPr>
          <w:ilvl w:val="0"/>
          <w:numId w:val="5"/>
        </w:numPr>
      </w:pPr>
      <w:r>
        <w:rPr>
          <w:b/>
          <w:bCs/>
        </w:rPr>
        <w:t>Low Cost to Implement:</w:t>
      </w:r>
      <w:r>
        <w:t xml:space="preserve"> Primarily involves process adjustments rather than direct financial outlay.</w:t>
      </w:r>
    </w:p>
    <w:p w14:paraId="2FCA79FB" w14:textId="77777777" w:rsidR="008B7577" w:rsidRDefault="00CA2375">
      <w:pPr>
        <w:pStyle w:val="Heading2"/>
      </w:pPr>
      <w:bookmarkStart w:id="5" w:name="wotc-target-groups---overview"/>
      <w:bookmarkEnd w:id="4"/>
      <w:r>
        <w:lastRenderedPageBreak/>
        <w:t>WOTC Target Groups - Overview</w:t>
      </w:r>
    </w:p>
    <w:p w14:paraId="2FCA79FC" w14:textId="77777777" w:rsidR="008B7577" w:rsidRDefault="00CA2375">
      <w:pPr>
        <w:pStyle w:val="Compact"/>
        <w:numPr>
          <w:ilvl w:val="0"/>
          <w:numId w:val="6"/>
        </w:numPr>
      </w:pPr>
      <w:r>
        <w:t>Temporary Assistance for Needy Families (TANF) Recipients</w:t>
      </w:r>
    </w:p>
    <w:p w14:paraId="2FCA79FD" w14:textId="77777777" w:rsidR="008B7577" w:rsidRDefault="00CA2375">
      <w:pPr>
        <w:pStyle w:val="Compact"/>
        <w:numPr>
          <w:ilvl w:val="0"/>
          <w:numId w:val="6"/>
        </w:numPr>
      </w:pPr>
      <w:r>
        <w:t>Veterans (various categories)</w:t>
      </w:r>
    </w:p>
    <w:p w14:paraId="2FCA79FE" w14:textId="77777777" w:rsidR="008B7577" w:rsidRDefault="00CA2375">
      <w:pPr>
        <w:pStyle w:val="Compact"/>
        <w:numPr>
          <w:ilvl w:val="0"/>
          <w:numId w:val="6"/>
        </w:numPr>
      </w:pPr>
      <w:r>
        <w:t>Ex-felons</w:t>
      </w:r>
    </w:p>
    <w:p w14:paraId="2FCA79FF" w14:textId="77777777" w:rsidR="008B7577" w:rsidRDefault="00CA2375">
      <w:pPr>
        <w:pStyle w:val="Compact"/>
        <w:numPr>
          <w:ilvl w:val="0"/>
          <w:numId w:val="6"/>
        </w:numPr>
      </w:pPr>
      <w:r>
        <w:t>Designated Community Residents (DCRs)</w:t>
      </w:r>
    </w:p>
    <w:p w14:paraId="2FCA7A00" w14:textId="77777777" w:rsidR="008B7577" w:rsidRDefault="00CA2375">
      <w:pPr>
        <w:pStyle w:val="Compact"/>
        <w:numPr>
          <w:ilvl w:val="0"/>
          <w:numId w:val="6"/>
        </w:numPr>
      </w:pPr>
      <w:r>
        <w:t>Vocational Rehabilitation Referrals</w:t>
      </w:r>
    </w:p>
    <w:p w14:paraId="2FCA7A01" w14:textId="77777777" w:rsidR="008B7577" w:rsidRDefault="00CA2375">
      <w:pPr>
        <w:pStyle w:val="Compact"/>
        <w:numPr>
          <w:ilvl w:val="0"/>
          <w:numId w:val="6"/>
        </w:numPr>
      </w:pPr>
      <w:r>
        <w:t>Summer Youth Employees (living in empowerment zones)</w:t>
      </w:r>
    </w:p>
    <w:p w14:paraId="2FCA7A02" w14:textId="77777777" w:rsidR="008B7577" w:rsidRDefault="00CA2375">
      <w:pPr>
        <w:pStyle w:val="Compact"/>
        <w:numPr>
          <w:ilvl w:val="0"/>
          <w:numId w:val="6"/>
        </w:numPr>
      </w:pPr>
      <w:r>
        <w:t>Supplemental Nutrition Assistance Program (SNAP) Recipients</w:t>
      </w:r>
    </w:p>
    <w:p w14:paraId="2FCA7A03" w14:textId="77777777" w:rsidR="008B7577" w:rsidRDefault="00CA2375">
      <w:pPr>
        <w:pStyle w:val="Compact"/>
        <w:numPr>
          <w:ilvl w:val="0"/>
          <w:numId w:val="6"/>
        </w:numPr>
      </w:pPr>
      <w:r>
        <w:t>Supplemental Security Income (SSI) Recipients</w:t>
      </w:r>
    </w:p>
    <w:p w14:paraId="2FCA7A04" w14:textId="77777777" w:rsidR="008B7577" w:rsidRDefault="00CA2375">
      <w:pPr>
        <w:pStyle w:val="Compact"/>
        <w:numPr>
          <w:ilvl w:val="0"/>
          <w:numId w:val="6"/>
        </w:numPr>
      </w:pPr>
      <w:r>
        <w:t>Long-Term Unemployment Recipients</w:t>
      </w:r>
    </w:p>
    <w:p w14:paraId="2FCA7A05" w14:textId="77777777" w:rsidR="008B7577" w:rsidRDefault="00CA2375">
      <w:pPr>
        <w:pStyle w:val="Compact"/>
        <w:numPr>
          <w:ilvl w:val="0"/>
          <w:numId w:val="6"/>
        </w:numPr>
      </w:pPr>
      <w:r>
        <w:t>Qualified Long-Term Unemployment Recipients</w:t>
      </w:r>
    </w:p>
    <w:p w14:paraId="2FCA7A06" w14:textId="77777777" w:rsidR="008B7577" w:rsidRDefault="00CA2375">
      <w:pPr>
        <w:pStyle w:val="Heading2"/>
      </w:pPr>
      <w:bookmarkStart w:id="6" w:name="wotc-target-groups---key-characteristics"/>
      <w:bookmarkEnd w:id="5"/>
      <w:r>
        <w:t>WOTC Target Groups - Key Characteristics</w:t>
      </w:r>
    </w:p>
    <w:p w14:paraId="2FCA7A07" w14:textId="77777777" w:rsidR="008B7577" w:rsidRDefault="00CA2375">
      <w:pPr>
        <w:pStyle w:val="Compact"/>
        <w:numPr>
          <w:ilvl w:val="0"/>
          <w:numId w:val="7"/>
        </w:numPr>
      </w:pPr>
      <w:r>
        <w:rPr>
          <w:b/>
          <w:bCs/>
        </w:rPr>
        <w:t>Focus on Disadvantage:</w:t>
      </w:r>
      <w:r>
        <w:t xml:space="preserve"> Each group addresses a specific barrier to employment (e.g., poverty, disability, lack of job history, previous incarceration).</w:t>
      </w:r>
    </w:p>
    <w:p w14:paraId="2FCA7A08" w14:textId="77777777" w:rsidR="008B7577" w:rsidRDefault="00CA2375">
      <w:pPr>
        <w:pStyle w:val="Compact"/>
        <w:numPr>
          <w:ilvl w:val="0"/>
          <w:numId w:val="7"/>
        </w:numPr>
      </w:pPr>
      <w:r>
        <w:rPr>
          <w:b/>
          <w:bCs/>
        </w:rPr>
        <w:t>Documentation Required:</w:t>
      </w:r>
      <w:r>
        <w:t xml:space="preserve"> Eligibility is proven through specific federal or state agency documentation (e.g., proof of SNAP benefits, vocational rehab referral letters).</w:t>
      </w:r>
    </w:p>
    <w:p w14:paraId="2FCA7A09" w14:textId="77777777" w:rsidR="008B7577" w:rsidRDefault="00CA2375">
      <w:pPr>
        <w:pStyle w:val="Compact"/>
        <w:numPr>
          <w:ilvl w:val="0"/>
          <w:numId w:val="7"/>
        </w:numPr>
      </w:pPr>
      <w:r>
        <w:rPr>
          <w:b/>
          <w:bCs/>
        </w:rPr>
        <w:t>Varies by Credit Amount:</w:t>
      </w:r>
      <w:r>
        <w:t xml:space="preserve"> The potential credit amount can differ based on the target group and hours worked.</w:t>
      </w:r>
    </w:p>
    <w:p w14:paraId="2FCA7A0A" w14:textId="77777777" w:rsidR="008B7577" w:rsidRDefault="00CA2375">
      <w:pPr>
        <w:pStyle w:val="Compact"/>
        <w:numPr>
          <w:ilvl w:val="0"/>
          <w:numId w:val="7"/>
        </w:numPr>
      </w:pPr>
      <w:r>
        <w:rPr>
          <w:b/>
          <w:bCs/>
        </w:rPr>
        <w:t>Employee Disclosure is Key:</w:t>
      </w:r>
      <w:r>
        <w:t xml:space="preserve"> The employer relies on the potential hire to disclose their status, often through a pre-screening questionnaire.</w:t>
      </w:r>
    </w:p>
    <w:p w14:paraId="2FCA7A0B" w14:textId="77777777" w:rsidR="008B7577" w:rsidRDefault="00CA2375">
      <w:pPr>
        <w:pStyle w:val="Heading2"/>
      </w:pPr>
      <w:bookmarkStart w:id="7" w:name="wotc-foster-youth-making-the-connection"/>
      <w:bookmarkEnd w:id="6"/>
      <w:r>
        <w:t>WOTC &amp; Foster Youth: Making the Connection</w:t>
      </w:r>
    </w:p>
    <w:p w14:paraId="2FCA7A0C" w14:textId="77777777" w:rsidR="008B7577" w:rsidRDefault="00CA2375">
      <w:pPr>
        <w:pStyle w:val="Compact"/>
        <w:numPr>
          <w:ilvl w:val="0"/>
          <w:numId w:val="8"/>
        </w:numPr>
      </w:pPr>
      <w:r>
        <w:t xml:space="preserve">There is </w:t>
      </w:r>
      <w:r>
        <w:rPr>
          <w:b/>
          <w:bCs/>
        </w:rPr>
        <w:t>NO</w:t>
      </w:r>
      <w:r>
        <w:t xml:space="preserve"> direct WOTC target group explicitly named “Foster Youth.”</w:t>
      </w:r>
    </w:p>
    <w:p w14:paraId="2FCA7A0D" w14:textId="77777777" w:rsidR="008B7577" w:rsidRDefault="00CA2375">
      <w:pPr>
        <w:pStyle w:val="Compact"/>
        <w:numPr>
          <w:ilvl w:val="0"/>
          <w:numId w:val="8"/>
        </w:numPr>
      </w:pPr>
      <w:r>
        <w:t>However, many foster youth, due to their life circumstances, often qualify under existing WOTC target groups.</w:t>
      </w:r>
    </w:p>
    <w:p w14:paraId="2FCA7A0E" w14:textId="77777777" w:rsidR="008B7577" w:rsidRDefault="00CA2375">
      <w:pPr>
        <w:pStyle w:val="Compact"/>
        <w:numPr>
          <w:ilvl w:val="0"/>
          <w:numId w:val="8"/>
        </w:numPr>
      </w:pPr>
      <w:r>
        <w:t>The key is understanding which categories are most applicable and how to identify them.</w:t>
      </w:r>
    </w:p>
    <w:p w14:paraId="2FCA7A0F" w14:textId="77777777" w:rsidR="008B7577" w:rsidRDefault="00CA2375">
      <w:pPr>
        <w:pStyle w:val="Heading2"/>
      </w:pPr>
      <w:bookmarkStart w:id="8" w:name="most-common-wotc-avenue-for-foster-youth"/>
      <w:bookmarkEnd w:id="7"/>
      <w:r>
        <w:t>Most Common WOTC Avenue for Foster Youth</w:t>
      </w:r>
    </w:p>
    <w:p w14:paraId="2FCA7A10" w14:textId="77777777" w:rsidR="008B7577" w:rsidRDefault="00CA2375">
      <w:pPr>
        <w:pStyle w:val="Compact"/>
        <w:numPr>
          <w:ilvl w:val="0"/>
          <w:numId w:val="9"/>
        </w:numPr>
      </w:pPr>
      <w:r>
        <w:rPr>
          <w:b/>
          <w:bCs/>
        </w:rPr>
        <w:t>Vocational Rehabilitation Referrals</w:t>
      </w:r>
    </w:p>
    <w:p w14:paraId="2FCA7A11" w14:textId="77777777" w:rsidR="008B7577" w:rsidRDefault="00CA2375">
      <w:pPr>
        <w:pStyle w:val="Compact"/>
        <w:numPr>
          <w:ilvl w:val="1"/>
          <w:numId w:val="10"/>
        </w:numPr>
      </w:pPr>
      <w:r>
        <w:rPr>
          <w:b/>
          <w:bCs/>
        </w:rPr>
        <w:t>Definition:</w:t>
      </w:r>
      <w:r>
        <w:t xml:space="preserve"> Individuals referred to the employer by a state vocational rehabilitation agency, the Department of Veterans Affairs, or an employment network under the Ticket to Work program, who have a physical or mental disability that constitutes a substantial barrier to employment.</w:t>
      </w:r>
    </w:p>
    <w:p w14:paraId="2FCA7A12" w14:textId="77777777" w:rsidR="008B7577" w:rsidRDefault="00CA2375">
      <w:pPr>
        <w:pStyle w:val="Compact"/>
        <w:numPr>
          <w:ilvl w:val="1"/>
          <w:numId w:val="10"/>
        </w:numPr>
      </w:pPr>
      <w:r>
        <w:rPr>
          <w:b/>
          <w:bCs/>
        </w:rPr>
        <w:t>Why it applies to Foster Youth:</w:t>
      </w:r>
    </w:p>
    <w:p w14:paraId="2FCA7A13" w14:textId="77777777" w:rsidR="008B7577" w:rsidRDefault="00CA2375">
      <w:pPr>
        <w:pStyle w:val="Compact"/>
        <w:numPr>
          <w:ilvl w:val="2"/>
          <w:numId w:val="11"/>
        </w:numPr>
      </w:pPr>
      <w:r>
        <w:t>Many foster youth receive services from state agencies (e.g., Child Protective Services, local Workforce Development Boards) that can be considered vocational rehabilitation or job readiness programs.</w:t>
      </w:r>
    </w:p>
    <w:p w14:paraId="2FCA7A14" w14:textId="77777777" w:rsidR="008B7577" w:rsidRDefault="00CA2375">
      <w:pPr>
        <w:pStyle w:val="Compact"/>
        <w:numPr>
          <w:ilvl w:val="2"/>
          <w:numId w:val="11"/>
        </w:numPr>
      </w:pPr>
      <w:r>
        <w:lastRenderedPageBreak/>
        <w:t>They may also have documented learning disabilities, mental health challenges, or other conditions that qualify as disabilities and warrant vocational rehab services.</w:t>
      </w:r>
    </w:p>
    <w:p w14:paraId="2FCA7A15" w14:textId="77777777" w:rsidR="008B7577" w:rsidRDefault="00CA2375">
      <w:pPr>
        <w:pStyle w:val="Compact"/>
        <w:numPr>
          <w:ilvl w:val="2"/>
          <w:numId w:val="11"/>
        </w:numPr>
      </w:pPr>
      <w:r>
        <w:t>Often, these agencies have formal referral processes in place.</w:t>
      </w:r>
    </w:p>
    <w:p w14:paraId="2FCA7A16" w14:textId="77777777" w:rsidR="008B7577" w:rsidRDefault="00CA2375">
      <w:pPr>
        <w:pStyle w:val="Heading2"/>
      </w:pPr>
      <w:bookmarkStart w:id="9" w:name="common-wotc-avenues-for-foster-youth-1"/>
      <w:bookmarkEnd w:id="8"/>
      <w:r>
        <w:t>Common WOTC Avenues for Foster Youth (1)</w:t>
      </w:r>
    </w:p>
    <w:p w14:paraId="2FCA7A17" w14:textId="77777777" w:rsidR="008B7577" w:rsidRDefault="00CA2375">
      <w:pPr>
        <w:pStyle w:val="Compact"/>
        <w:numPr>
          <w:ilvl w:val="0"/>
          <w:numId w:val="12"/>
        </w:numPr>
      </w:pPr>
      <w:r>
        <w:rPr>
          <w:b/>
          <w:bCs/>
        </w:rPr>
        <w:t>Supplemental Nutrition Assistance Program (SNAP) Recipients</w:t>
      </w:r>
    </w:p>
    <w:p w14:paraId="2FCA7A18" w14:textId="77777777" w:rsidR="008B7577" w:rsidRDefault="00CA2375">
      <w:pPr>
        <w:pStyle w:val="Compact"/>
        <w:numPr>
          <w:ilvl w:val="1"/>
          <w:numId w:val="13"/>
        </w:numPr>
      </w:pPr>
      <w:r>
        <w:rPr>
          <w:b/>
          <w:bCs/>
        </w:rPr>
        <w:t>Definition:</w:t>
      </w:r>
      <w:r>
        <w:t xml:space="preserve"> Individuals ages 18-39 who are members of a family that received SNAP (Food Stamps) benefits for at least 3 months during the 5-month period ending on the hiring date.</w:t>
      </w:r>
    </w:p>
    <w:p w14:paraId="2FCA7A19" w14:textId="77777777" w:rsidR="008B7577" w:rsidRDefault="00CA2375">
      <w:pPr>
        <w:pStyle w:val="Compact"/>
        <w:numPr>
          <w:ilvl w:val="1"/>
          <w:numId w:val="13"/>
        </w:numPr>
      </w:pPr>
      <w:r>
        <w:rPr>
          <w:b/>
          <w:bCs/>
        </w:rPr>
        <w:t>Why it applies:</w:t>
      </w:r>
      <w:r>
        <w:t xml:space="preserve"> Many foster youth, especially those aging out of care, face economic hardship and qualify for SNAP benefits. This is a very common qualifying category.</w:t>
      </w:r>
    </w:p>
    <w:p w14:paraId="2FCA7A1A" w14:textId="77777777" w:rsidR="008B7577" w:rsidRDefault="00CA2375">
      <w:pPr>
        <w:pStyle w:val="Heading2"/>
      </w:pPr>
      <w:bookmarkStart w:id="10" w:name="common-wotc-avenues-for-foster-youth-2"/>
      <w:bookmarkEnd w:id="9"/>
      <w:r>
        <w:t>Common WOTC Avenues for Foster Youth (2)</w:t>
      </w:r>
    </w:p>
    <w:p w14:paraId="2FCA7A1B" w14:textId="77777777" w:rsidR="008B7577" w:rsidRDefault="00CA2375">
      <w:pPr>
        <w:pStyle w:val="Compact"/>
        <w:numPr>
          <w:ilvl w:val="0"/>
          <w:numId w:val="14"/>
        </w:numPr>
      </w:pPr>
      <w:r>
        <w:rPr>
          <w:b/>
          <w:bCs/>
        </w:rPr>
        <w:t>Qualified Long-Term Unemployment Recipients</w:t>
      </w:r>
    </w:p>
    <w:p w14:paraId="2FCA7A1C" w14:textId="77777777" w:rsidR="008B7577" w:rsidRDefault="00CA2375">
      <w:pPr>
        <w:pStyle w:val="Compact"/>
        <w:numPr>
          <w:ilvl w:val="1"/>
          <w:numId w:val="15"/>
        </w:numPr>
      </w:pPr>
      <w:r>
        <w:rPr>
          <w:b/>
          <w:bCs/>
        </w:rPr>
        <w:t>Definition:</w:t>
      </w:r>
      <w:r>
        <w:t xml:space="preserve"> An individual who has been unemployed for 27 or more consecutive weeks AND received unemployment compensation during some portion of the unemployment period.</w:t>
      </w:r>
    </w:p>
    <w:p w14:paraId="2FCA7A1D" w14:textId="77777777" w:rsidR="008B7577" w:rsidRDefault="00CA2375">
      <w:pPr>
        <w:pStyle w:val="Compact"/>
        <w:numPr>
          <w:ilvl w:val="1"/>
          <w:numId w:val="15"/>
        </w:numPr>
      </w:pPr>
      <w:r>
        <w:rPr>
          <w:b/>
          <w:bCs/>
        </w:rPr>
        <w:t>Why it applies:</w:t>
      </w:r>
      <w:r>
        <w:t xml:space="preserve"> Older foster youth (18+) who have struggled to find stable employment after aging out of care may fit this. The credit here is higher – up to $9,600.</w:t>
      </w:r>
    </w:p>
    <w:p w14:paraId="2FCA7A1E" w14:textId="77777777" w:rsidR="008B7577" w:rsidRDefault="00CA2375">
      <w:pPr>
        <w:pStyle w:val="Heading2"/>
      </w:pPr>
      <w:bookmarkStart w:id="11" w:name="secondary-wotc-avenues-for-foster-youth"/>
      <w:bookmarkEnd w:id="10"/>
      <w:r>
        <w:t>Secondary WOTC Avenues for Foster Youth</w:t>
      </w:r>
    </w:p>
    <w:p w14:paraId="2FCA7A1F" w14:textId="77777777" w:rsidR="008B7577" w:rsidRDefault="00CA2375">
      <w:pPr>
        <w:pStyle w:val="Compact"/>
        <w:numPr>
          <w:ilvl w:val="0"/>
          <w:numId w:val="16"/>
        </w:numPr>
      </w:pPr>
      <w:r>
        <w:rPr>
          <w:b/>
          <w:bCs/>
        </w:rPr>
        <w:t>Designated Community Residents (DCRs)</w:t>
      </w:r>
    </w:p>
    <w:p w14:paraId="2FCA7A20" w14:textId="77777777" w:rsidR="008B7577" w:rsidRDefault="00CA2375">
      <w:pPr>
        <w:pStyle w:val="Compact"/>
        <w:numPr>
          <w:ilvl w:val="1"/>
          <w:numId w:val="17"/>
        </w:numPr>
      </w:pPr>
      <w:r>
        <w:rPr>
          <w:b/>
          <w:bCs/>
        </w:rPr>
        <w:t>Definition:</w:t>
      </w:r>
      <w:r>
        <w:t xml:space="preserve"> Individuals ages 18-39 who live within an Empowerment Zone, Enterprise Community, or Renewal Community.</w:t>
      </w:r>
    </w:p>
    <w:p w14:paraId="2FCA7A21" w14:textId="77777777" w:rsidR="008B7577" w:rsidRDefault="00CA2375">
      <w:pPr>
        <w:pStyle w:val="Compact"/>
        <w:numPr>
          <w:ilvl w:val="1"/>
          <w:numId w:val="17"/>
        </w:numPr>
      </w:pPr>
      <w:r>
        <w:rPr>
          <w:b/>
          <w:bCs/>
        </w:rPr>
        <w:t>Why it applies:</w:t>
      </w:r>
      <w:r>
        <w:t xml:space="preserve"> While not universal, some foster youth may reside in these specific geographic areas designated by the government. Requires verification of address.</w:t>
      </w:r>
    </w:p>
    <w:p w14:paraId="2FCA7A22" w14:textId="77777777" w:rsidR="008B7577" w:rsidRDefault="00CA2375">
      <w:pPr>
        <w:pStyle w:val="Compact"/>
        <w:numPr>
          <w:ilvl w:val="0"/>
          <w:numId w:val="16"/>
        </w:numPr>
      </w:pPr>
      <w:r>
        <w:rPr>
          <w:b/>
          <w:bCs/>
        </w:rPr>
        <w:t>Other Potential Avenue</w:t>
      </w:r>
    </w:p>
    <w:p w14:paraId="2FCA7A23" w14:textId="77777777" w:rsidR="008B7577" w:rsidRDefault="00CA2375">
      <w:pPr>
        <w:pStyle w:val="Compact"/>
        <w:numPr>
          <w:ilvl w:val="1"/>
          <w:numId w:val="18"/>
        </w:numPr>
      </w:pPr>
      <w:r>
        <w:rPr>
          <w:b/>
          <w:bCs/>
        </w:rPr>
        <w:t>SSI Recipients:</w:t>
      </w:r>
      <w:r>
        <w:t xml:space="preserve"> If they have a qualifying disability leading to Supplemental Security Income.</w:t>
      </w:r>
    </w:p>
    <w:p w14:paraId="2FCA7A24" w14:textId="77777777" w:rsidR="008B7577" w:rsidRDefault="00CA2375">
      <w:pPr>
        <w:pStyle w:val="Compact"/>
        <w:numPr>
          <w:ilvl w:val="0"/>
          <w:numId w:val="16"/>
        </w:numPr>
      </w:pPr>
      <w:r>
        <w:rPr>
          <w:b/>
          <w:bCs/>
        </w:rPr>
        <w:t>The Power of Asking:</w:t>
      </w:r>
    </w:p>
    <w:p w14:paraId="2FCA7A25" w14:textId="77777777" w:rsidR="008B7577" w:rsidRDefault="00CA2375">
      <w:pPr>
        <w:pStyle w:val="Compact"/>
        <w:numPr>
          <w:ilvl w:val="1"/>
          <w:numId w:val="19"/>
        </w:numPr>
      </w:pPr>
      <w:r>
        <w:t>A comprehensive pre-screening process allows individuals to self-identify potential eligibility across ALL categories.</w:t>
      </w:r>
    </w:p>
    <w:p w14:paraId="2FCA7A26" w14:textId="77777777" w:rsidR="008B7577" w:rsidRDefault="00CA2375">
      <w:pPr>
        <w:pStyle w:val="Heading2"/>
      </w:pPr>
      <w:bookmarkStart w:id="12" w:name="employers---step-1-pre-screening"/>
      <w:bookmarkEnd w:id="11"/>
      <w:r>
        <w:t>Employers - Step 1: Pre-Screening</w:t>
      </w:r>
    </w:p>
    <w:p w14:paraId="2FCA7A27" w14:textId="77777777" w:rsidR="008B7577" w:rsidRDefault="00CA2375">
      <w:pPr>
        <w:pStyle w:val="Compact"/>
        <w:numPr>
          <w:ilvl w:val="0"/>
          <w:numId w:val="20"/>
        </w:numPr>
      </w:pPr>
      <w:r>
        <w:rPr>
          <w:b/>
          <w:bCs/>
        </w:rPr>
        <w:t>Job Offer:</w:t>
      </w:r>
      <w:r>
        <w:t xml:space="preserve"> Extend a conditional job offer to the applicant.</w:t>
      </w:r>
    </w:p>
    <w:p w14:paraId="2FCA7A28" w14:textId="77777777" w:rsidR="008B7577" w:rsidRDefault="00CA2375">
      <w:pPr>
        <w:pStyle w:val="Compact"/>
        <w:numPr>
          <w:ilvl w:val="0"/>
          <w:numId w:val="20"/>
        </w:numPr>
      </w:pPr>
      <w:r>
        <w:rPr>
          <w:b/>
          <w:bCs/>
        </w:rPr>
        <w:t>Form 8850:</w:t>
      </w:r>
      <w:r>
        <w:t xml:space="preserve"> Present the applicant with IRS Form 8850, “Pre-Screening Notice and Certification Request for the Work Opportunity Credit.”</w:t>
      </w:r>
    </w:p>
    <w:p w14:paraId="2FCA7A29" w14:textId="77777777" w:rsidR="008B7577" w:rsidRDefault="00CA2375">
      <w:pPr>
        <w:pStyle w:val="Compact"/>
        <w:numPr>
          <w:ilvl w:val="1"/>
          <w:numId w:val="21"/>
        </w:numPr>
      </w:pPr>
      <w:r>
        <w:rPr>
          <w:b/>
          <w:bCs/>
        </w:rPr>
        <w:lastRenderedPageBreak/>
        <w:t>Timing is CRITICAL:</w:t>
      </w:r>
      <w:r>
        <w:t xml:space="preserve"> Must be completed and signed by both employer and employee on or before the job offer date OR the day the job offer is made. (Technically, the earlier of the job offer date or the day the job offer is made.)</w:t>
      </w:r>
    </w:p>
    <w:p w14:paraId="2FCA7A2A" w14:textId="77777777" w:rsidR="008B7577" w:rsidRDefault="00CA2375">
      <w:pPr>
        <w:pStyle w:val="Compact"/>
        <w:numPr>
          <w:ilvl w:val="1"/>
          <w:numId w:val="21"/>
        </w:numPr>
      </w:pPr>
      <w:r>
        <w:t>Applicant self-identifies potential eligibility by checking boxes.</w:t>
      </w:r>
    </w:p>
    <w:p w14:paraId="2FCA7A2B" w14:textId="77777777" w:rsidR="008B7577" w:rsidRDefault="00CA2375">
      <w:pPr>
        <w:pStyle w:val="Compact"/>
        <w:numPr>
          <w:ilvl w:val="0"/>
          <w:numId w:val="20"/>
        </w:numPr>
      </w:pPr>
      <w:r>
        <w:rPr>
          <w:b/>
          <w:bCs/>
        </w:rPr>
        <w:t>Collection of Supporting Documentation:</w:t>
      </w:r>
      <w:r>
        <w:t xml:space="preserve"> If the applicant indicates potential eligibility, begin collecting the necessary proof (e.g., SNAP benefit letters, vocational rehab referral, proof of unemployment).</w:t>
      </w:r>
    </w:p>
    <w:p w14:paraId="2FCA7A2C" w14:textId="77777777" w:rsidR="008B7577" w:rsidRDefault="00CA2375">
      <w:pPr>
        <w:pStyle w:val="Heading2"/>
      </w:pPr>
      <w:bookmarkStart w:id="13" w:name="employers---step-2-certification-request"/>
      <w:bookmarkEnd w:id="12"/>
      <w:r>
        <w:t>Employers - Step 2: Certification Request</w:t>
      </w:r>
    </w:p>
    <w:p w14:paraId="2FCA7A2D" w14:textId="77777777" w:rsidR="008B7577" w:rsidRDefault="00CA2375">
      <w:pPr>
        <w:pStyle w:val="Compact"/>
        <w:numPr>
          <w:ilvl w:val="0"/>
          <w:numId w:val="22"/>
        </w:numPr>
      </w:pPr>
      <w:r>
        <w:rPr>
          <w:b/>
          <w:bCs/>
        </w:rPr>
        <w:t>Certification Request to State Workforce Agency (SWA)</w:t>
      </w:r>
    </w:p>
    <w:p w14:paraId="2FCA7A2E" w14:textId="77777777" w:rsidR="008B7577" w:rsidRDefault="00CA2375">
      <w:pPr>
        <w:pStyle w:val="Compact"/>
        <w:numPr>
          <w:ilvl w:val="1"/>
          <w:numId w:val="23"/>
        </w:numPr>
      </w:pPr>
      <w:r>
        <w:rPr>
          <w:b/>
          <w:bCs/>
        </w:rPr>
        <w:t>ETA Forms:</w:t>
      </w:r>
      <w:r>
        <w:t xml:space="preserve"> Complete ETA Form 9061 or ETA Form 9062 (if using a third-party designated agent).</w:t>
      </w:r>
    </w:p>
    <w:p w14:paraId="2FCA7A2F" w14:textId="77777777" w:rsidR="008B7577" w:rsidRDefault="00CA2375">
      <w:pPr>
        <w:pStyle w:val="Compact"/>
        <w:numPr>
          <w:ilvl w:val="1"/>
          <w:numId w:val="23"/>
        </w:numPr>
      </w:pPr>
      <w:r>
        <w:rPr>
          <w:b/>
          <w:bCs/>
        </w:rPr>
        <w:t>Submit to SWA:</w:t>
      </w:r>
      <w:r>
        <w:t xml:space="preserve"> Send Form 8850, ETA 9061/9062, and all supporting documentation to your state’s Workforce Agency (SWA) within 28 days of the employee’s start date.</w:t>
      </w:r>
    </w:p>
    <w:p w14:paraId="2FCA7A30" w14:textId="77777777" w:rsidR="008B7577" w:rsidRDefault="00CA2375">
      <w:pPr>
        <w:pStyle w:val="Compact"/>
        <w:numPr>
          <w:ilvl w:val="1"/>
          <w:numId w:val="23"/>
        </w:numPr>
      </w:pPr>
      <w:r>
        <w:rPr>
          <w:b/>
          <w:bCs/>
        </w:rPr>
        <w:t>SWA Review:</w:t>
      </w:r>
      <w:r>
        <w:t xml:space="preserve"> The SWA reviews the application and documentation to determine if the individual meets WOTC eligibility criteria.</w:t>
      </w:r>
    </w:p>
    <w:p w14:paraId="2FCA7A31" w14:textId="77777777" w:rsidR="008B7577" w:rsidRDefault="00CA2375">
      <w:pPr>
        <w:pStyle w:val="Compact"/>
        <w:numPr>
          <w:ilvl w:val="1"/>
          <w:numId w:val="23"/>
        </w:numPr>
      </w:pPr>
      <w:r>
        <w:rPr>
          <w:b/>
          <w:bCs/>
        </w:rPr>
        <w:t>Certification:</w:t>
      </w:r>
      <w:r>
        <w:t xml:space="preserve"> If approved, the SWA issues a certification letter to the employer.</w:t>
      </w:r>
    </w:p>
    <w:p w14:paraId="2FCA7A32" w14:textId="77777777" w:rsidR="008B7577" w:rsidRDefault="00CA2375">
      <w:pPr>
        <w:pStyle w:val="Heading2"/>
      </w:pPr>
      <w:bookmarkStart w:id="14" w:name="employers---step-3-hiring"/>
      <w:bookmarkEnd w:id="13"/>
      <w:r>
        <w:t>Employers - Step 3: Hiring</w:t>
      </w:r>
    </w:p>
    <w:p w14:paraId="2FCA7A33" w14:textId="77777777" w:rsidR="008B7577" w:rsidRDefault="00CA2375">
      <w:pPr>
        <w:pStyle w:val="Compact"/>
        <w:numPr>
          <w:ilvl w:val="0"/>
          <w:numId w:val="24"/>
        </w:numPr>
      </w:pPr>
      <w:r>
        <w:rPr>
          <w:b/>
          <w:bCs/>
        </w:rPr>
        <w:t>Hiring &amp; Credit Calculation</w:t>
      </w:r>
    </w:p>
    <w:p w14:paraId="2FCA7A34" w14:textId="77777777" w:rsidR="008B7577" w:rsidRDefault="00CA2375">
      <w:pPr>
        <w:pStyle w:val="Compact"/>
        <w:numPr>
          <w:ilvl w:val="1"/>
          <w:numId w:val="25"/>
        </w:numPr>
      </w:pPr>
      <w:r>
        <w:rPr>
          <w:b/>
          <w:bCs/>
        </w:rPr>
        <w:t>Hire the Employee:</w:t>
      </w:r>
      <w:r>
        <w:t xml:space="preserve"> The individual begins employment.</w:t>
      </w:r>
    </w:p>
    <w:p w14:paraId="2FCA7A35" w14:textId="77777777" w:rsidR="008B7577" w:rsidRDefault="00CA2375">
      <w:pPr>
        <w:pStyle w:val="Compact"/>
        <w:numPr>
          <w:ilvl w:val="1"/>
          <w:numId w:val="25"/>
        </w:numPr>
      </w:pPr>
      <w:r>
        <w:rPr>
          <w:b/>
          <w:bCs/>
        </w:rPr>
        <w:t>Track Wages &amp; Hours:</w:t>
      </w:r>
      <w:r>
        <w:t xml:space="preserve"> Keep accurate records of wages paid and hours worked for the certified employee.</w:t>
      </w:r>
    </w:p>
    <w:p w14:paraId="2FCA7A36" w14:textId="77777777" w:rsidR="008B7577" w:rsidRDefault="00CA2375">
      <w:pPr>
        <w:pStyle w:val="Compact"/>
        <w:numPr>
          <w:ilvl w:val="1"/>
          <w:numId w:val="25"/>
        </w:numPr>
      </w:pPr>
      <w:r>
        <w:rPr>
          <w:b/>
          <w:bCs/>
        </w:rPr>
        <w:t>Claim Credit (Form 5884):</w:t>
      </w:r>
      <w:r>
        <w:t xml:space="preserve"> Use IRS Form 5884, “Work Opportunity Credit,” to calculate and claim the credit on your federal income tax return (e.g., Form 1120 for corporations, Form 1040 Schedule C for sole proprietors).</w:t>
      </w:r>
    </w:p>
    <w:p w14:paraId="2FCA7A37" w14:textId="77777777" w:rsidR="008B7577" w:rsidRDefault="00CA2375">
      <w:pPr>
        <w:pStyle w:val="Heading2"/>
      </w:pPr>
      <w:bookmarkStart w:id="15" w:name="critical-timelines"/>
      <w:bookmarkEnd w:id="14"/>
      <w:r>
        <w:t>Critical Timelines</w:t>
      </w:r>
    </w:p>
    <w:p w14:paraId="2FCA7A38" w14:textId="77777777" w:rsidR="008B7577" w:rsidRDefault="00CA2375">
      <w:pPr>
        <w:pStyle w:val="Compact"/>
        <w:numPr>
          <w:ilvl w:val="0"/>
          <w:numId w:val="26"/>
        </w:numPr>
      </w:pPr>
      <w:r>
        <w:rPr>
          <w:b/>
          <w:bCs/>
        </w:rPr>
        <w:t>Key Timelines:</w:t>
      </w:r>
    </w:p>
    <w:p w14:paraId="2FCA7A39" w14:textId="77777777" w:rsidR="008B7577" w:rsidRDefault="00CA2375">
      <w:pPr>
        <w:pStyle w:val="Compact"/>
        <w:numPr>
          <w:ilvl w:val="1"/>
          <w:numId w:val="27"/>
        </w:numPr>
      </w:pPr>
      <w:r>
        <w:rPr>
          <w:b/>
          <w:bCs/>
        </w:rPr>
        <w:t>Form 8850:</w:t>
      </w:r>
      <w:r>
        <w:t xml:space="preserve"> Must be signed by the earlier of the job offer date or the day the job offer is made.</w:t>
      </w:r>
    </w:p>
    <w:p w14:paraId="2FCA7A3A" w14:textId="77777777" w:rsidR="008B7577" w:rsidRDefault="00CA2375">
      <w:pPr>
        <w:pStyle w:val="Compact"/>
        <w:numPr>
          <w:ilvl w:val="1"/>
          <w:numId w:val="27"/>
        </w:numPr>
      </w:pPr>
      <w:r>
        <w:rPr>
          <w:b/>
          <w:bCs/>
        </w:rPr>
        <w:t>SWA Submission:</w:t>
      </w:r>
      <w:r>
        <w:t xml:space="preserve"> All forms and documentation must be submitted to the SWA within 28 days of the employee’s first day of work.</w:t>
      </w:r>
    </w:p>
    <w:p w14:paraId="2FCA7A3B" w14:textId="77777777" w:rsidR="008B7577" w:rsidRDefault="00CA2375">
      <w:pPr>
        <w:pStyle w:val="Heading2"/>
      </w:pPr>
      <w:bookmarkStart w:id="16" w:name="common-pitfalls"/>
      <w:bookmarkEnd w:id="15"/>
      <w:r>
        <w:t>Common Pitfalls</w:t>
      </w:r>
    </w:p>
    <w:p w14:paraId="2FCA7A3C" w14:textId="77777777" w:rsidR="008B7577" w:rsidRDefault="00CA2375">
      <w:pPr>
        <w:pStyle w:val="Compact"/>
        <w:numPr>
          <w:ilvl w:val="0"/>
          <w:numId w:val="28"/>
        </w:numPr>
      </w:pPr>
      <w:r>
        <w:rPr>
          <w:b/>
          <w:bCs/>
        </w:rPr>
        <w:t>Common Pitfalls to Avoid:</w:t>
      </w:r>
    </w:p>
    <w:p w14:paraId="2FCA7A3D" w14:textId="77777777" w:rsidR="008B7577" w:rsidRDefault="00CA2375">
      <w:pPr>
        <w:pStyle w:val="Compact"/>
        <w:numPr>
          <w:ilvl w:val="1"/>
          <w:numId w:val="29"/>
        </w:numPr>
      </w:pPr>
      <w:r>
        <w:rPr>
          <w:b/>
          <w:bCs/>
        </w:rPr>
        <w:t>Missing Deadlines:</w:t>
      </w:r>
      <w:r>
        <w:t xml:space="preserve"> The #1 reason for WOTC denials.</w:t>
      </w:r>
    </w:p>
    <w:p w14:paraId="2FCA7A3E" w14:textId="77777777" w:rsidR="008B7577" w:rsidRDefault="00CA2375">
      <w:pPr>
        <w:pStyle w:val="Compact"/>
        <w:numPr>
          <w:ilvl w:val="1"/>
          <w:numId w:val="29"/>
        </w:numPr>
      </w:pPr>
      <w:r>
        <w:rPr>
          <w:b/>
          <w:bCs/>
        </w:rPr>
        <w:t>Incomplete Documentation:</w:t>
      </w:r>
      <w:r>
        <w:t xml:space="preserve"> Ensure all required proofs are attached and legible.</w:t>
      </w:r>
    </w:p>
    <w:p w14:paraId="2FCA7A3F" w14:textId="77777777" w:rsidR="008B7577" w:rsidRDefault="00CA2375">
      <w:pPr>
        <w:pStyle w:val="Compact"/>
        <w:numPr>
          <w:ilvl w:val="1"/>
          <w:numId w:val="29"/>
        </w:numPr>
      </w:pPr>
      <w:r>
        <w:rPr>
          <w:b/>
          <w:bCs/>
        </w:rPr>
        <w:lastRenderedPageBreak/>
        <w:t>Lack of Applicant Disclosure:</w:t>
      </w:r>
      <w:r>
        <w:t xml:space="preserve"> Not consistently presenting Form 8850 to all new hires.</w:t>
      </w:r>
    </w:p>
    <w:p w14:paraId="2FCA7A40" w14:textId="77777777" w:rsidR="008B7577" w:rsidRDefault="00CA2375">
      <w:pPr>
        <w:pStyle w:val="Compact"/>
        <w:numPr>
          <w:ilvl w:val="1"/>
          <w:numId w:val="29"/>
        </w:numPr>
      </w:pPr>
      <w:r>
        <w:rPr>
          <w:b/>
          <w:bCs/>
        </w:rPr>
        <w:t>Retroactive Applications:</w:t>
      </w:r>
      <w:r>
        <w:t xml:space="preserve"> You cannot apply for WOTC for an employee already on your payroll beyond the 28-day window.</w:t>
      </w:r>
    </w:p>
    <w:p w14:paraId="2FCA7A41" w14:textId="77777777" w:rsidR="008B7577" w:rsidRDefault="00CA2375">
      <w:pPr>
        <w:pStyle w:val="Compact"/>
        <w:numPr>
          <w:ilvl w:val="1"/>
          <w:numId w:val="29"/>
        </w:numPr>
      </w:pPr>
      <w:r>
        <w:rPr>
          <w:b/>
          <w:bCs/>
        </w:rPr>
        <w:t>Misunderstanding Eligibility:</w:t>
      </w:r>
      <w:r>
        <w:t xml:space="preserve"> Assuming an individual qualifies without proper documentation.</w:t>
      </w:r>
    </w:p>
    <w:p w14:paraId="2FCA7A42" w14:textId="77777777" w:rsidR="008B7577" w:rsidRDefault="00CA2375">
      <w:pPr>
        <w:pStyle w:val="Heading2"/>
      </w:pPr>
      <w:bookmarkStart w:id="17" w:name="maximizing-wotc-for-foster-youth"/>
      <w:bookmarkEnd w:id="16"/>
      <w:r>
        <w:t>Maximizing WOTC for Foster Youth</w:t>
      </w:r>
    </w:p>
    <w:p w14:paraId="2FCA7A43" w14:textId="77777777" w:rsidR="008B7577" w:rsidRDefault="00CA2375">
      <w:pPr>
        <w:pStyle w:val="Compact"/>
        <w:numPr>
          <w:ilvl w:val="0"/>
          <w:numId w:val="30"/>
        </w:numPr>
      </w:pPr>
      <w:r>
        <w:rPr>
          <w:b/>
          <w:bCs/>
        </w:rPr>
        <w:t>Cultivate Strong Partnerships:</w:t>
      </w:r>
    </w:p>
    <w:p w14:paraId="2FCA7A44" w14:textId="77777777" w:rsidR="008B7577" w:rsidRDefault="00CA2375">
      <w:pPr>
        <w:pStyle w:val="Compact"/>
        <w:numPr>
          <w:ilvl w:val="1"/>
          <w:numId w:val="31"/>
        </w:numPr>
      </w:pPr>
      <w:r>
        <w:t>Connect with local foster care agencies, independent living programs, and workforce development boards.</w:t>
      </w:r>
    </w:p>
    <w:p w14:paraId="2FCA7A45" w14:textId="77777777" w:rsidR="008B7577" w:rsidRDefault="00CA2375">
      <w:pPr>
        <w:pStyle w:val="Compact"/>
        <w:numPr>
          <w:ilvl w:val="1"/>
          <w:numId w:val="31"/>
        </w:numPr>
      </w:pPr>
      <w:r>
        <w:t>Educate them on WOTC and how they can help provide documentation/referrals.</w:t>
      </w:r>
    </w:p>
    <w:p w14:paraId="2FCA7A46" w14:textId="77777777" w:rsidR="008B7577" w:rsidRDefault="00CA2375">
      <w:pPr>
        <w:pStyle w:val="Compact"/>
        <w:numPr>
          <w:ilvl w:val="0"/>
          <w:numId w:val="30"/>
        </w:numPr>
      </w:pPr>
      <w:r>
        <w:rPr>
          <w:b/>
          <w:bCs/>
        </w:rPr>
        <w:t>Standardize Your WOTC Process:</w:t>
      </w:r>
    </w:p>
    <w:p w14:paraId="2FCA7A47" w14:textId="77777777" w:rsidR="008B7577" w:rsidRDefault="00CA2375">
      <w:pPr>
        <w:pStyle w:val="Compact"/>
        <w:numPr>
          <w:ilvl w:val="1"/>
          <w:numId w:val="32"/>
        </w:numPr>
      </w:pPr>
      <w:r>
        <w:t>Implement a routine for presenting Form 8850 to all new hires.</w:t>
      </w:r>
    </w:p>
    <w:p w14:paraId="2FCA7A48" w14:textId="77777777" w:rsidR="008B7577" w:rsidRDefault="00CA2375">
      <w:pPr>
        <w:pStyle w:val="Compact"/>
        <w:numPr>
          <w:ilvl w:val="1"/>
          <w:numId w:val="32"/>
        </w:numPr>
      </w:pPr>
      <w:r>
        <w:t>Designate an internal WOTC champion or partner with a third-party WOTC consultant.</w:t>
      </w:r>
    </w:p>
    <w:p w14:paraId="2FCA7A49" w14:textId="77777777" w:rsidR="008B7577" w:rsidRDefault="00CA2375">
      <w:pPr>
        <w:pStyle w:val="Heading2"/>
      </w:pPr>
      <w:bookmarkStart w:id="18" w:name="maximizing-wotc-for-foster-youth-cont."/>
      <w:bookmarkEnd w:id="17"/>
      <w:r>
        <w:t>Maximizing WOTC for Foster Youth (cont.)</w:t>
      </w:r>
    </w:p>
    <w:p w14:paraId="2FCA7A4A" w14:textId="77777777" w:rsidR="008B7577" w:rsidRDefault="00CA2375">
      <w:pPr>
        <w:pStyle w:val="Compact"/>
        <w:numPr>
          <w:ilvl w:val="0"/>
          <w:numId w:val="33"/>
        </w:numPr>
      </w:pPr>
      <w:r>
        <w:rPr>
          <w:b/>
          <w:bCs/>
        </w:rPr>
        <w:t>Educate Your Hiring Managers:</w:t>
      </w:r>
    </w:p>
    <w:p w14:paraId="2FCA7A4B" w14:textId="77777777" w:rsidR="008B7577" w:rsidRDefault="00CA2375">
      <w:pPr>
        <w:pStyle w:val="Compact"/>
        <w:numPr>
          <w:ilvl w:val="1"/>
          <w:numId w:val="34"/>
        </w:numPr>
      </w:pPr>
      <w:r>
        <w:t>Train them on the importance of WOTC and the initial pre-screening step.</w:t>
      </w:r>
    </w:p>
    <w:p w14:paraId="2FCA7A4C" w14:textId="77777777" w:rsidR="008B7577" w:rsidRDefault="00CA2375">
      <w:pPr>
        <w:pStyle w:val="Compact"/>
        <w:numPr>
          <w:ilvl w:val="1"/>
          <w:numId w:val="34"/>
        </w:numPr>
      </w:pPr>
      <w:r>
        <w:t>Emphasize that the hiring decision should not be based on WOTC eligibility, but the process must happen concurrently.</w:t>
      </w:r>
    </w:p>
    <w:p w14:paraId="2FCA7A4D" w14:textId="77777777" w:rsidR="008B7577" w:rsidRDefault="00CA2375">
      <w:pPr>
        <w:pStyle w:val="Compact"/>
        <w:numPr>
          <w:ilvl w:val="0"/>
          <w:numId w:val="33"/>
        </w:numPr>
      </w:pPr>
      <w:r>
        <w:rPr>
          <w:b/>
          <w:bCs/>
        </w:rPr>
        <w:t>Beyond the Credit: Retention Strategies for Foster Youth:</w:t>
      </w:r>
    </w:p>
    <w:p w14:paraId="2FCA7A4E" w14:textId="77777777" w:rsidR="008B7577" w:rsidRDefault="00CA2375">
      <w:pPr>
        <w:pStyle w:val="Compact"/>
        <w:numPr>
          <w:ilvl w:val="1"/>
          <w:numId w:val="35"/>
        </w:numPr>
      </w:pPr>
      <w:r>
        <w:t>Mentorship programs</w:t>
      </w:r>
    </w:p>
    <w:p w14:paraId="2FCA7A4F" w14:textId="77777777" w:rsidR="008B7577" w:rsidRDefault="00CA2375">
      <w:pPr>
        <w:pStyle w:val="Compact"/>
        <w:numPr>
          <w:ilvl w:val="1"/>
          <w:numId w:val="35"/>
        </w:numPr>
      </w:pPr>
      <w:r>
        <w:t>Supportive work environment</w:t>
      </w:r>
    </w:p>
    <w:p w14:paraId="2FCA7A50" w14:textId="77777777" w:rsidR="008B7577" w:rsidRDefault="00CA2375">
      <w:pPr>
        <w:pStyle w:val="Compact"/>
        <w:numPr>
          <w:ilvl w:val="1"/>
          <w:numId w:val="35"/>
        </w:numPr>
      </w:pPr>
      <w:r>
        <w:t>Access to employee assistance programs (EAPs)</w:t>
      </w:r>
    </w:p>
    <w:p w14:paraId="2FCA7A51" w14:textId="77777777" w:rsidR="008B7577" w:rsidRDefault="00CA2375">
      <w:pPr>
        <w:pStyle w:val="Compact"/>
        <w:numPr>
          <w:ilvl w:val="1"/>
          <w:numId w:val="35"/>
        </w:numPr>
      </w:pPr>
      <w:r>
        <w:t>Clear career pathways and training opportunities</w:t>
      </w:r>
    </w:p>
    <w:p w14:paraId="2FCA7A52" w14:textId="77777777" w:rsidR="008B7577" w:rsidRDefault="00CA2375">
      <w:pPr>
        <w:pStyle w:val="Heading2"/>
      </w:pPr>
      <w:bookmarkStart w:id="19" w:name="what-you-can-do---action-items"/>
      <w:bookmarkEnd w:id="18"/>
      <w:r>
        <w:t>What You Can Do - Action Items</w:t>
      </w:r>
    </w:p>
    <w:p w14:paraId="2FCA7A53" w14:textId="77777777" w:rsidR="008B7577" w:rsidRDefault="00CA2375">
      <w:pPr>
        <w:pStyle w:val="Compact"/>
        <w:numPr>
          <w:ilvl w:val="0"/>
          <w:numId w:val="36"/>
        </w:numPr>
      </w:pPr>
      <w:r>
        <w:rPr>
          <w:b/>
          <w:bCs/>
        </w:rPr>
        <w:t>Review current hiring processes:</w:t>
      </w:r>
      <w:r>
        <w:t xml:space="preserve"> Where can Form 8850 be seamlessly integrated?</w:t>
      </w:r>
    </w:p>
    <w:p w14:paraId="2FCA7A54" w14:textId="77777777" w:rsidR="008B7577" w:rsidRDefault="00CA2375">
      <w:pPr>
        <w:pStyle w:val="Compact"/>
        <w:numPr>
          <w:ilvl w:val="0"/>
          <w:numId w:val="36"/>
        </w:numPr>
      </w:pPr>
      <w:r>
        <w:rPr>
          <w:b/>
          <w:bCs/>
        </w:rPr>
        <w:t>Identify potential partners:</w:t>
      </w:r>
      <w:r>
        <w:t xml:space="preserve"> Research local foster care agencies, independent living programs, and workforce boards.</w:t>
      </w:r>
    </w:p>
    <w:p w14:paraId="2FCA7A55" w14:textId="77777777" w:rsidR="008B7577" w:rsidRDefault="00CA2375">
      <w:pPr>
        <w:pStyle w:val="Compact"/>
        <w:numPr>
          <w:ilvl w:val="0"/>
          <w:numId w:val="36"/>
        </w:numPr>
      </w:pPr>
      <w:r>
        <w:rPr>
          <w:b/>
          <w:bCs/>
        </w:rPr>
        <w:t>Train your HR/onboarding team:</w:t>
      </w:r>
      <w:r>
        <w:t xml:space="preserve"> Ensure they understand WOTC and the critical deadlines.</w:t>
      </w:r>
    </w:p>
    <w:p w14:paraId="2FCA7A56" w14:textId="77777777" w:rsidR="008B7577" w:rsidRDefault="00CA2375">
      <w:pPr>
        <w:pStyle w:val="Heading2"/>
      </w:pPr>
      <w:bookmarkStart w:id="20" w:name="qa-and-conclusion"/>
      <w:bookmarkEnd w:id="19"/>
      <w:r>
        <w:t>Q&amp;A and Conclusion</w:t>
      </w:r>
    </w:p>
    <w:p w14:paraId="2FCA7A57" w14:textId="77777777" w:rsidR="008B7577" w:rsidRDefault="00CA2375">
      <w:pPr>
        <w:pStyle w:val="Compact"/>
        <w:numPr>
          <w:ilvl w:val="0"/>
          <w:numId w:val="37"/>
        </w:numPr>
      </w:pPr>
      <w:r>
        <w:rPr>
          <w:b/>
          <w:bCs/>
        </w:rPr>
        <w:t>Recap Key Takeaways:</w:t>
      </w:r>
    </w:p>
    <w:p w14:paraId="2FCA7A58" w14:textId="77777777" w:rsidR="008B7577" w:rsidRDefault="00CA2375">
      <w:pPr>
        <w:pStyle w:val="Compact"/>
        <w:numPr>
          <w:ilvl w:val="1"/>
          <w:numId w:val="38"/>
        </w:numPr>
      </w:pPr>
      <w:r>
        <w:t>WOTC is a valuable tax credit for hiring individuals facing employment barriers.</w:t>
      </w:r>
    </w:p>
    <w:p w14:paraId="2FCA7A59" w14:textId="77777777" w:rsidR="008B7577" w:rsidRDefault="00CA2375">
      <w:pPr>
        <w:pStyle w:val="Compact"/>
        <w:numPr>
          <w:ilvl w:val="1"/>
          <w:numId w:val="38"/>
        </w:numPr>
      </w:pPr>
      <w:r>
        <w:lastRenderedPageBreak/>
        <w:t>Many foster youth qualify under existing WOTC categories, particularly Vocational Rehabilitation Referrals and SNAP Recipients.</w:t>
      </w:r>
    </w:p>
    <w:p w14:paraId="2FCA7A5A" w14:textId="77777777" w:rsidR="008B7577" w:rsidRDefault="00CA2375">
      <w:pPr>
        <w:pStyle w:val="Compact"/>
        <w:numPr>
          <w:ilvl w:val="1"/>
          <w:numId w:val="38"/>
        </w:numPr>
      </w:pPr>
      <w:r>
        <w:t>Strict adherence to timelines (Form 8850 at offer, SWA submission within 28 days) is crucial.</w:t>
      </w:r>
    </w:p>
    <w:p w14:paraId="2FCA7A5B" w14:textId="77777777" w:rsidR="008B7577" w:rsidRDefault="00CA2375">
      <w:pPr>
        <w:pStyle w:val="Compact"/>
        <w:numPr>
          <w:ilvl w:val="1"/>
          <w:numId w:val="38"/>
        </w:numPr>
      </w:pPr>
      <w:r>
        <w:t>Partnerships and internal processes are key to success.</w:t>
      </w:r>
    </w:p>
    <w:p w14:paraId="2FCA7A5C" w14:textId="77777777" w:rsidR="008B7577" w:rsidRDefault="00CA2375">
      <w:pPr>
        <w:pStyle w:val="Compact"/>
        <w:numPr>
          <w:ilvl w:val="1"/>
          <w:numId w:val="38"/>
        </w:numPr>
      </w:pPr>
      <w:r>
        <w:t>Beyond the credit, hiring foster youth offers immense social and talent benefits.</w:t>
      </w:r>
    </w:p>
    <w:p w14:paraId="2FCA7A5D" w14:textId="77777777" w:rsidR="008B7577" w:rsidRDefault="00CA2375">
      <w:pPr>
        <w:pStyle w:val="Compact"/>
        <w:numPr>
          <w:ilvl w:val="0"/>
          <w:numId w:val="37"/>
        </w:numPr>
      </w:pPr>
      <w:r>
        <w:rPr>
          <w:b/>
          <w:bCs/>
        </w:rPr>
        <w:t>Questions?</w:t>
      </w:r>
    </w:p>
    <w:p w14:paraId="2FCA7A5E" w14:textId="77777777" w:rsidR="008B7577" w:rsidRDefault="00CA2375">
      <w:pPr>
        <w:pStyle w:val="Heading2"/>
      </w:pPr>
      <w:bookmarkStart w:id="21" w:name="wotc-resources"/>
      <w:bookmarkEnd w:id="20"/>
      <w:r>
        <w:t>WOTC Resources</w:t>
      </w:r>
    </w:p>
    <w:p w14:paraId="2FCA7A5F" w14:textId="77777777" w:rsidR="008B7577" w:rsidRDefault="00CA2375">
      <w:pPr>
        <w:pStyle w:val="Compact"/>
        <w:numPr>
          <w:ilvl w:val="0"/>
          <w:numId w:val="39"/>
        </w:numPr>
      </w:pPr>
      <w:hyperlink r:id="rId5">
        <w:r>
          <w:rPr>
            <w:rStyle w:val="Hyperlink"/>
          </w:rPr>
          <w:t>TWC WOTC Website</w:t>
        </w:r>
      </w:hyperlink>
    </w:p>
    <w:p w14:paraId="2FCA7A60" w14:textId="77777777" w:rsidR="008B7577" w:rsidRDefault="00CA2375">
      <w:pPr>
        <w:pStyle w:val="Compact"/>
        <w:numPr>
          <w:ilvl w:val="0"/>
          <w:numId w:val="39"/>
        </w:numPr>
      </w:pPr>
      <w:hyperlink r:id="rId6">
        <w:r>
          <w:rPr>
            <w:rStyle w:val="Hyperlink"/>
          </w:rPr>
          <w:t>DOL Website</w:t>
        </w:r>
      </w:hyperlink>
    </w:p>
    <w:p w14:paraId="2FCA7A61" w14:textId="77777777" w:rsidR="008B7577" w:rsidRDefault="00CA2375">
      <w:pPr>
        <w:pStyle w:val="Compact"/>
        <w:numPr>
          <w:ilvl w:val="0"/>
          <w:numId w:val="39"/>
        </w:numPr>
      </w:pPr>
      <w:hyperlink r:id="rId7">
        <w:r>
          <w:rPr>
            <w:rStyle w:val="Hyperlink"/>
          </w:rPr>
          <w:t>IRS Website</w:t>
        </w:r>
      </w:hyperlink>
    </w:p>
    <w:p w14:paraId="2FCA7A62" w14:textId="77777777" w:rsidR="008B7577" w:rsidRDefault="00CA2375">
      <w:pPr>
        <w:pStyle w:val="Compact"/>
        <w:numPr>
          <w:ilvl w:val="0"/>
          <w:numId w:val="39"/>
        </w:numPr>
      </w:pPr>
      <w:hyperlink r:id="rId8">
        <w:r>
          <w:rPr>
            <w:rStyle w:val="Hyperlink"/>
          </w:rPr>
          <w:t>WOTC Brochure (PDF)</w:t>
        </w:r>
      </w:hyperlink>
    </w:p>
    <w:p w14:paraId="2FCA7A63" w14:textId="77777777" w:rsidR="008B7577" w:rsidRDefault="00CA2375">
      <w:pPr>
        <w:pStyle w:val="Compact"/>
        <w:numPr>
          <w:ilvl w:val="0"/>
          <w:numId w:val="39"/>
        </w:numPr>
      </w:pPr>
      <w:hyperlink r:id="rId9">
        <w:r>
          <w:rPr>
            <w:rStyle w:val="Hyperlink"/>
          </w:rPr>
          <w:t>DOL WOTC Quick Reference Guide (PDF)</w:t>
        </w:r>
      </w:hyperlink>
    </w:p>
    <w:p w14:paraId="2FCA7A64" w14:textId="77777777" w:rsidR="008B7577" w:rsidRDefault="00CA2375">
      <w:pPr>
        <w:pStyle w:val="Heading2"/>
      </w:pPr>
      <w:bookmarkStart w:id="22" w:name="wotc-contact-information"/>
      <w:bookmarkEnd w:id="21"/>
      <w:r>
        <w:t>WOTC Contact Information</w:t>
      </w:r>
    </w:p>
    <w:p w14:paraId="2FCA7A65" w14:textId="77777777" w:rsidR="008B7577" w:rsidRDefault="00CA2375">
      <w:pPr>
        <w:pStyle w:val="Compact"/>
        <w:numPr>
          <w:ilvl w:val="0"/>
          <w:numId w:val="40"/>
        </w:numPr>
      </w:pPr>
      <w:r>
        <w:rPr>
          <w:b/>
          <w:bCs/>
        </w:rPr>
        <w:t>WOTC Customer Service</w:t>
      </w:r>
    </w:p>
    <w:p w14:paraId="2FCA7A66" w14:textId="77777777" w:rsidR="008B7577" w:rsidRDefault="00CA2375">
      <w:pPr>
        <w:pStyle w:val="Compact"/>
        <w:numPr>
          <w:ilvl w:val="1"/>
          <w:numId w:val="41"/>
        </w:numPr>
      </w:pPr>
      <w:r>
        <w:t xml:space="preserve">Phone: </w:t>
      </w:r>
      <w:hyperlink r:id="rId10">
        <w:r>
          <w:rPr>
            <w:rStyle w:val="Hyperlink"/>
          </w:rPr>
          <w:t>800-685-6879</w:t>
        </w:r>
      </w:hyperlink>
      <w:r>
        <w:t xml:space="preserve"> (option 5)</w:t>
      </w:r>
    </w:p>
    <w:p w14:paraId="2FCA7A67" w14:textId="77777777" w:rsidR="008B7577" w:rsidRDefault="00CA2375">
      <w:pPr>
        <w:pStyle w:val="Compact"/>
        <w:numPr>
          <w:ilvl w:val="1"/>
          <w:numId w:val="41"/>
        </w:numPr>
      </w:pPr>
      <w:r>
        <w:t xml:space="preserve">Email: </w:t>
      </w:r>
      <w:hyperlink r:id="rId11">
        <w:r>
          <w:rPr>
            <w:rStyle w:val="Hyperlink"/>
          </w:rPr>
          <w:t>wotc@twc.texas.gov</w:t>
        </w:r>
      </w:hyperlink>
    </w:p>
    <w:p w14:paraId="2FCA7A68" w14:textId="77777777" w:rsidR="008B7577" w:rsidRDefault="00CA2375">
      <w:pPr>
        <w:pStyle w:val="Compact"/>
        <w:numPr>
          <w:ilvl w:val="1"/>
          <w:numId w:val="41"/>
        </w:numPr>
      </w:pPr>
      <w:r>
        <w:t xml:space="preserve">Website: </w:t>
      </w:r>
      <w:hyperlink r:id="rId12">
        <w:r>
          <w:rPr>
            <w:rStyle w:val="Hyperlink"/>
          </w:rPr>
          <w:t>https://www.twc.texas.gov/programs/work-opportunity-tax-credit</w:t>
        </w:r>
      </w:hyperlink>
    </w:p>
    <w:bookmarkEnd w:id="22"/>
    <w:bookmarkEnd w:id="0"/>
    <w:sectPr w:rsidR="008B7577">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B646B4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9392C54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2ABCC68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324504575">
    <w:abstractNumId w:val="0"/>
  </w:num>
  <w:num w:numId="2" w16cid:durableId="1686247130">
    <w:abstractNumId w:val="1"/>
  </w:num>
  <w:num w:numId="3" w16cid:durableId="226300881">
    <w:abstractNumId w:val="1"/>
  </w:num>
  <w:num w:numId="4" w16cid:durableId="1387752951">
    <w:abstractNumId w:val="1"/>
  </w:num>
  <w:num w:numId="5" w16cid:durableId="1637249384">
    <w:abstractNumId w:val="1"/>
  </w:num>
  <w:num w:numId="6" w16cid:durableId="379138534">
    <w:abstractNumId w:val="1"/>
  </w:num>
  <w:num w:numId="7" w16cid:durableId="1054550608">
    <w:abstractNumId w:val="1"/>
  </w:num>
  <w:num w:numId="8" w16cid:durableId="1819223489">
    <w:abstractNumId w:val="1"/>
  </w:num>
  <w:num w:numId="9" w16cid:durableId="2037730841">
    <w:abstractNumId w:val="1"/>
  </w:num>
  <w:num w:numId="10" w16cid:durableId="1451707868">
    <w:abstractNumId w:val="1"/>
  </w:num>
  <w:num w:numId="11" w16cid:durableId="680163662">
    <w:abstractNumId w:val="1"/>
  </w:num>
  <w:num w:numId="12" w16cid:durableId="783840324">
    <w:abstractNumId w:val="1"/>
  </w:num>
  <w:num w:numId="13" w16cid:durableId="1625191488">
    <w:abstractNumId w:val="1"/>
  </w:num>
  <w:num w:numId="14" w16cid:durableId="795829281">
    <w:abstractNumId w:val="1"/>
  </w:num>
  <w:num w:numId="15" w16cid:durableId="2028408255">
    <w:abstractNumId w:val="1"/>
  </w:num>
  <w:num w:numId="16" w16cid:durableId="2140297235">
    <w:abstractNumId w:val="1"/>
  </w:num>
  <w:num w:numId="17" w16cid:durableId="1498230515">
    <w:abstractNumId w:val="1"/>
  </w:num>
  <w:num w:numId="18" w16cid:durableId="1982032183">
    <w:abstractNumId w:val="1"/>
  </w:num>
  <w:num w:numId="19" w16cid:durableId="225267430">
    <w:abstractNumId w:val="1"/>
  </w:num>
  <w:num w:numId="20" w16cid:durableId="4844686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2086523">
    <w:abstractNumId w:val="1"/>
  </w:num>
  <w:num w:numId="22" w16cid:durableId="396978997">
    <w:abstractNumId w:val="1"/>
  </w:num>
  <w:num w:numId="23" w16cid:durableId="10576324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9263203">
    <w:abstractNumId w:val="1"/>
  </w:num>
  <w:num w:numId="25" w16cid:durableId="4430401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563370">
    <w:abstractNumId w:val="1"/>
  </w:num>
  <w:num w:numId="27" w16cid:durableId="858280620">
    <w:abstractNumId w:val="1"/>
  </w:num>
  <w:num w:numId="28" w16cid:durableId="1276064483">
    <w:abstractNumId w:val="1"/>
  </w:num>
  <w:num w:numId="29" w16cid:durableId="106389690">
    <w:abstractNumId w:val="1"/>
  </w:num>
  <w:num w:numId="30" w16cid:durableId="1341469700">
    <w:abstractNumId w:val="1"/>
  </w:num>
  <w:num w:numId="31" w16cid:durableId="2106418204">
    <w:abstractNumId w:val="1"/>
  </w:num>
  <w:num w:numId="32" w16cid:durableId="1274938363">
    <w:abstractNumId w:val="1"/>
  </w:num>
  <w:num w:numId="33" w16cid:durableId="1377125587">
    <w:abstractNumId w:val="1"/>
  </w:num>
  <w:num w:numId="34" w16cid:durableId="707754459">
    <w:abstractNumId w:val="1"/>
  </w:num>
  <w:num w:numId="35" w16cid:durableId="1028218423">
    <w:abstractNumId w:val="1"/>
  </w:num>
  <w:num w:numId="36" w16cid:durableId="2098743945">
    <w:abstractNumId w:val="1"/>
  </w:num>
  <w:num w:numId="37" w16cid:durableId="688020066">
    <w:abstractNumId w:val="1"/>
  </w:num>
  <w:num w:numId="38" w16cid:durableId="1857888649">
    <w:abstractNumId w:val="1"/>
  </w:num>
  <w:num w:numId="39" w16cid:durableId="2090691978">
    <w:abstractNumId w:val="1"/>
  </w:num>
  <w:num w:numId="40" w16cid:durableId="1555510428">
    <w:abstractNumId w:val="1"/>
  </w:num>
  <w:num w:numId="41" w16cid:durableId="738939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577"/>
    <w:rsid w:val="002D7183"/>
    <w:rsid w:val="00515C67"/>
    <w:rsid w:val="008B7577"/>
    <w:rsid w:val="00C57CC5"/>
    <w:rsid w:val="00CA2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A79E3"/>
  <w15:docId w15:val="{5A8586A8-5FC6-4A03-983D-755A0DAA0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c.texas.gov/sites/default/files/wf/docs/wotc-brochure-081823-twc.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rs.gov/businesses/small-businesses-self-employed/work-opportunity-tax-credit" TargetMode="External"/><Relationship Id="rId12" Type="http://schemas.openxmlformats.org/officeDocument/2006/relationships/hyperlink" Target="https://www.twc.texas.gov/programs/work-opportunity-tax-credit"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dol.gov/agencies/eta/wotc" TargetMode="External"/><Relationship Id="rId11" Type="http://schemas.openxmlformats.org/officeDocument/2006/relationships/hyperlink" Target="mailto:wotc@twc.texas.gov" TargetMode="External"/><Relationship Id="rId5" Type="http://schemas.openxmlformats.org/officeDocument/2006/relationships/hyperlink" Target="https://www.twc.texas.gov/programs/work-opportunity-tax-credit" TargetMode="External"/><Relationship Id="rId15" Type="http://schemas.openxmlformats.org/officeDocument/2006/relationships/customXml" Target="../customXml/item1.xml"/><Relationship Id="rId10" Type="http://schemas.openxmlformats.org/officeDocument/2006/relationships/hyperlink" Target="tel:800-685-6879" TargetMode="External"/><Relationship Id="rId4" Type="http://schemas.openxmlformats.org/officeDocument/2006/relationships/webSettings" Target="webSettings.xml"/><Relationship Id="rId9" Type="http://schemas.openxmlformats.org/officeDocument/2006/relationships/hyperlink" Target="https://www.twc.texas.gov/sites/default/files/wf/docs/ten-09-21-flyer-twc.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5D5B2E3381B24EBC67A7B6343EB3CD" ma:contentTypeVersion="18" ma:contentTypeDescription="Create a new document." ma:contentTypeScope="" ma:versionID="dfddf50aa0ecd32cd61f6e2e4fd52a95">
  <xsd:schema xmlns:xsd="http://www.w3.org/2001/XMLSchema" xmlns:xs="http://www.w3.org/2001/XMLSchema" xmlns:p="http://schemas.microsoft.com/office/2006/metadata/properties" xmlns:ns1="http://schemas.microsoft.com/sharepoint/v3" xmlns:ns2="68f8b17c-a8da-4642-bd33-c31e19750012" xmlns:ns3="6aa59d50-dacc-45a1-8c79-5bdfd2f48623" xmlns:ns4="baf464a5-443c-4111-9af5-10917cd50cf0" targetNamespace="http://schemas.microsoft.com/office/2006/metadata/properties" ma:root="true" ma:fieldsID="a98eeefe230f61f4d243e7fe0b20f60b" ns1:_="" ns2:_="" ns3:_="" ns4:_="">
    <xsd:import namespace="http://schemas.microsoft.com/sharepoint/v3"/>
    <xsd:import namespace="68f8b17c-a8da-4642-bd33-c31e19750012"/>
    <xsd:import namespace="6aa59d50-dacc-45a1-8c79-5bdfd2f48623"/>
    <xsd:import namespace="baf464a5-443c-4111-9af5-10917cd50c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OCR" minOccurs="0"/>
                <xsd:element ref="ns1:_ip_UnifiedCompliancePolicyProperties" minOccurs="0"/>
                <xsd:element ref="ns1:_ip_UnifiedCompliancePolicyUIAction"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f8b17c-a8da-4642-bd33-c31e197500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2870f7a-ebce-4420-99c3-1cd72abed08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Comments" ma:index="25"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a59d50-dacc-45a1-8c79-5bdfd2f486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f464a5-443c-4111-9af5-10917cd50cf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d43b680-da4e-45a5-8372-5afb948bc79c}" ma:internalName="TaxCatchAll" ma:showField="CatchAllData" ma:web="baf464a5-443c-4111-9af5-10917cd5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8f8b17c-a8da-4642-bd33-c31e19750012">
      <Terms xmlns="http://schemas.microsoft.com/office/infopath/2007/PartnerControls"/>
    </lcf76f155ced4ddcb4097134ff3c332f>
    <Comments xmlns="68f8b17c-a8da-4642-bd33-c31e19750012" xsi:nil="true"/>
    <_ip_UnifiedCompliancePolicyProperties xmlns="http://schemas.microsoft.com/sharepoint/v3" xsi:nil="true"/>
    <TaxCatchAll xmlns="baf464a5-443c-4111-9af5-10917cd50cf0" xsi:nil="true"/>
  </documentManagement>
</p:properties>
</file>

<file path=customXml/itemProps1.xml><?xml version="1.0" encoding="utf-8"?>
<ds:datastoreItem xmlns:ds="http://schemas.openxmlformats.org/officeDocument/2006/customXml" ds:itemID="{F36A3E90-1578-4378-B9A9-C1204947961B}"/>
</file>

<file path=customXml/itemProps2.xml><?xml version="1.0" encoding="utf-8"?>
<ds:datastoreItem xmlns:ds="http://schemas.openxmlformats.org/officeDocument/2006/customXml" ds:itemID="{150C0AEE-A2E1-4DAB-A946-374E90EF20E9}"/>
</file>

<file path=customXml/itemProps3.xml><?xml version="1.0" encoding="utf-8"?>
<ds:datastoreItem xmlns:ds="http://schemas.openxmlformats.org/officeDocument/2006/customXml" ds:itemID="{782B7FAE-9A6C-4072-BD37-B75D1DFA897D}"/>
</file>

<file path=docProps/app.xml><?xml version="1.0" encoding="utf-8"?>
<Properties xmlns="http://schemas.openxmlformats.org/officeDocument/2006/extended-properties" xmlns:vt="http://schemas.openxmlformats.org/officeDocument/2006/docPropsVTypes">
  <Template>Normal.dotm</Template>
  <TotalTime>1</TotalTime>
  <Pages>6</Pages>
  <Words>1532</Words>
  <Characters>8733</Characters>
  <Application>Microsoft Office Word</Application>
  <DocSecurity>0</DocSecurity>
  <Lines>72</Lines>
  <Paragraphs>20</Paragraphs>
  <ScaleCrop>false</ScaleCrop>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Belz,William</dc:creator>
  <cp:keywords/>
  <cp:lastModifiedBy>Villarreal,Laura M</cp:lastModifiedBy>
  <cp:revision>2</cp:revision>
  <dcterms:created xsi:type="dcterms:W3CDTF">2026-05-07T18:06:00Z</dcterms:created>
  <dcterms:modified xsi:type="dcterms:W3CDTF">2026-05-07T18:06:00Z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0x0101005D5D5B2E3381B24EBC67A7B6343EB3CD</vt:lpwstr>
  </property>
</Properties>
</file>