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453F" w14:textId="77777777" w:rsidR="0064521C" w:rsidRDefault="0069448D" w:rsidP="00962320">
      <w:pPr>
        <w:pStyle w:val="Heading1"/>
      </w:pPr>
      <w:r>
        <w:t>T</w:t>
      </w:r>
      <w:r w:rsidR="00962320">
        <w:t>EXAS WORKFORCE COMMISSION</w:t>
      </w:r>
    </w:p>
    <w:p w14:paraId="7B144E16" w14:textId="77777777" w:rsidR="00E0009B" w:rsidRPr="0064521C" w:rsidRDefault="00E0009B" w:rsidP="0064521C">
      <w:pPr>
        <w:rPr>
          <w:b/>
          <w:bCs/>
          <w:sz w:val="24"/>
        </w:rPr>
      </w:pPr>
      <w:r w:rsidRPr="0064521C">
        <w:rPr>
          <w:b/>
          <w:bCs/>
          <w:sz w:val="24"/>
        </w:rPr>
        <w:t>Workforce Development Letter</w:t>
      </w:r>
    </w:p>
    <w:tbl>
      <w:tblPr>
        <w:tblW w:w="4050" w:type="dxa"/>
        <w:tblInd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350"/>
        <w:gridCol w:w="2700"/>
      </w:tblGrid>
      <w:tr w:rsidR="00A52827" w14:paraId="1F495155" w14:textId="77777777" w:rsidTr="6B997DD6">
        <w:trPr>
          <w:cantSplit/>
          <w:trHeight w:val="230"/>
        </w:trPr>
        <w:tc>
          <w:tcPr>
            <w:tcW w:w="1350" w:type="dxa"/>
          </w:tcPr>
          <w:p w14:paraId="550497C7" w14:textId="77777777" w:rsidR="00A52827" w:rsidRDefault="00A52827">
            <w:pPr>
              <w:rPr>
                <w:sz w:val="24"/>
              </w:rPr>
            </w:pPr>
            <w:r>
              <w:rPr>
                <w:b/>
                <w:sz w:val="24"/>
              </w:rPr>
              <w:t xml:space="preserve">ID/No:  </w:t>
            </w:r>
          </w:p>
        </w:tc>
        <w:tc>
          <w:tcPr>
            <w:tcW w:w="2700" w:type="dxa"/>
          </w:tcPr>
          <w:p w14:paraId="2C3F9BD0" w14:textId="3799D044" w:rsidR="00A52827" w:rsidRPr="00257FEE" w:rsidRDefault="00A52827" w:rsidP="64132BB5">
            <w:pPr>
              <w:rPr>
                <w:sz w:val="24"/>
                <w:szCs w:val="24"/>
              </w:rPr>
            </w:pPr>
            <w:r w:rsidRPr="6B997DD6">
              <w:rPr>
                <w:sz w:val="24"/>
                <w:szCs w:val="24"/>
              </w:rPr>
              <w:t>WD</w:t>
            </w:r>
            <w:r w:rsidR="00F13A63" w:rsidRPr="6B997DD6">
              <w:rPr>
                <w:sz w:val="24"/>
                <w:szCs w:val="24"/>
              </w:rPr>
              <w:t xml:space="preserve"> </w:t>
            </w:r>
            <w:r w:rsidR="00A016F3" w:rsidRPr="6B997DD6">
              <w:rPr>
                <w:sz w:val="24"/>
                <w:szCs w:val="24"/>
              </w:rPr>
              <w:t>08</w:t>
            </w:r>
            <w:r w:rsidR="00F13A63" w:rsidRPr="6B997DD6">
              <w:rPr>
                <w:sz w:val="24"/>
                <w:szCs w:val="24"/>
              </w:rPr>
              <w:t>-</w:t>
            </w:r>
            <w:r w:rsidR="00F24C89" w:rsidRPr="6B997DD6">
              <w:rPr>
                <w:sz w:val="24"/>
                <w:szCs w:val="24"/>
              </w:rPr>
              <w:t>25</w:t>
            </w:r>
            <w:r w:rsidR="002F36CF" w:rsidRPr="6B997DD6">
              <w:rPr>
                <w:sz w:val="24"/>
                <w:szCs w:val="24"/>
              </w:rPr>
              <w:t xml:space="preserve"> </w:t>
            </w:r>
          </w:p>
        </w:tc>
      </w:tr>
      <w:tr w:rsidR="00A52827" w14:paraId="1A38814D" w14:textId="77777777" w:rsidTr="6B997DD6">
        <w:trPr>
          <w:cantSplit/>
          <w:trHeight w:val="230"/>
        </w:trPr>
        <w:tc>
          <w:tcPr>
            <w:tcW w:w="1350" w:type="dxa"/>
          </w:tcPr>
          <w:p w14:paraId="5AC1EA64" w14:textId="77777777" w:rsidR="00A52827" w:rsidRDefault="00A52827">
            <w:pPr>
              <w:rPr>
                <w:sz w:val="24"/>
              </w:rPr>
            </w:pPr>
            <w:r>
              <w:rPr>
                <w:b/>
                <w:sz w:val="24"/>
              </w:rPr>
              <w:t>Date:</w:t>
            </w:r>
            <w:r>
              <w:rPr>
                <w:sz w:val="24"/>
              </w:rPr>
              <w:t xml:space="preserve">  </w:t>
            </w:r>
          </w:p>
        </w:tc>
        <w:tc>
          <w:tcPr>
            <w:tcW w:w="2700" w:type="dxa"/>
          </w:tcPr>
          <w:p w14:paraId="5C49E73A" w14:textId="0020A69D" w:rsidR="00A52827" w:rsidRPr="00257FEE" w:rsidRDefault="00B55108">
            <w:pPr>
              <w:rPr>
                <w:sz w:val="24"/>
              </w:rPr>
            </w:pPr>
            <w:r>
              <w:rPr>
                <w:sz w:val="24"/>
              </w:rPr>
              <w:t>September 3, 2025</w:t>
            </w:r>
          </w:p>
        </w:tc>
      </w:tr>
      <w:tr w:rsidR="00A52827" w:rsidRPr="000D1B21" w14:paraId="05C02FFA" w14:textId="77777777" w:rsidTr="6B997DD6">
        <w:trPr>
          <w:cantSplit/>
          <w:trHeight w:val="246"/>
        </w:trPr>
        <w:tc>
          <w:tcPr>
            <w:tcW w:w="1350" w:type="dxa"/>
          </w:tcPr>
          <w:p w14:paraId="04C529AA" w14:textId="77777777" w:rsidR="00A52827" w:rsidRPr="00257FEE" w:rsidRDefault="00A52827" w:rsidP="00257FEE">
            <w:pPr>
              <w:rPr>
                <w:b/>
                <w:bCs/>
                <w:sz w:val="24"/>
              </w:rPr>
            </w:pPr>
            <w:r w:rsidRPr="00257FEE">
              <w:rPr>
                <w:b/>
                <w:bCs/>
                <w:sz w:val="24"/>
              </w:rPr>
              <w:t>Keyword</w:t>
            </w:r>
            <w:r w:rsidR="003446D8">
              <w:rPr>
                <w:b/>
                <w:bCs/>
                <w:sz w:val="24"/>
              </w:rPr>
              <w:t>s</w:t>
            </w:r>
            <w:r w:rsidRPr="00257FEE">
              <w:rPr>
                <w:b/>
                <w:bCs/>
                <w:sz w:val="24"/>
              </w:rPr>
              <w:t xml:space="preserve">:  </w:t>
            </w:r>
          </w:p>
        </w:tc>
        <w:tc>
          <w:tcPr>
            <w:tcW w:w="2700" w:type="dxa"/>
          </w:tcPr>
          <w:p w14:paraId="1ADC0533" w14:textId="24481644" w:rsidR="00A52827" w:rsidRPr="00257FEE" w:rsidRDefault="00E45783" w:rsidP="00257FEE">
            <w:pPr>
              <w:rPr>
                <w:sz w:val="24"/>
              </w:rPr>
            </w:pPr>
            <w:r>
              <w:rPr>
                <w:sz w:val="24"/>
              </w:rPr>
              <w:t>Child Care</w:t>
            </w:r>
          </w:p>
        </w:tc>
      </w:tr>
      <w:tr w:rsidR="00A52827" w14:paraId="1D82F37B" w14:textId="77777777" w:rsidTr="6B997DD6">
        <w:trPr>
          <w:cantSplit/>
          <w:trHeight w:val="251"/>
        </w:trPr>
        <w:tc>
          <w:tcPr>
            <w:tcW w:w="1350" w:type="dxa"/>
          </w:tcPr>
          <w:p w14:paraId="38FD3102" w14:textId="77777777" w:rsidR="00A52827" w:rsidRPr="000D1B21" w:rsidRDefault="00A52827" w:rsidP="000D1B21">
            <w:pPr>
              <w:rPr>
                <w:sz w:val="24"/>
              </w:rPr>
            </w:pPr>
            <w:r w:rsidRPr="00E817D5">
              <w:rPr>
                <w:b/>
                <w:sz w:val="24"/>
              </w:rPr>
              <w:t xml:space="preserve">Effective:  </w:t>
            </w:r>
          </w:p>
        </w:tc>
        <w:tc>
          <w:tcPr>
            <w:tcW w:w="2700" w:type="dxa"/>
          </w:tcPr>
          <w:p w14:paraId="644DF37D" w14:textId="1C18986A" w:rsidR="00A52827" w:rsidRPr="00257FEE" w:rsidRDefault="00245D8D" w:rsidP="000D1B21">
            <w:pPr>
              <w:rPr>
                <w:sz w:val="24"/>
              </w:rPr>
            </w:pPr>
            <w:r>
              <w:rPr>
                <w:sz w:val="24"/>
              </w:rPr>
              <w:t>October 1, 2025</w:t>
            </w:r>
          </w:p>
        </w:tc>
      </w:tr>
    </w:tbl>
    <w:p w14:paraId="43C36CD5" w14:textId="508E0A81" w:rsidR="0069448D" w:rsidRPr="00A11BE2" w:rsidRDefault="0069448D" w:rsidP="009F4A7B">
      <w:pPr>
        <w:spacing w:before="240"/>
        <w:ind w:left="1440" w:hanging="1440"/>
        <w:rPr>
          <w:sz w:val="24"/>
          <w:szCs w:val="24"/>
        </w:rPr>
      </w:pPr>
      <w:r w:rsidRPr="00A11BE2">
        <w:rPr>
          <w:b/>
          <w:sz w:val="24"/>
          <w:szCs w:val="24"/>
        </w:rPr>
        <w:t>To:</w:t>
      </w:r>
      <w:r w:rsidRPr="00A11BE2">
        <w:rPr>
          <w:b/>
          <w:sz w:val="24"/>
          <w:szCs w:val="24"/>
        </w:rPr>
        <w:tab/>
      </w:r>
      <w:r w:rsidRPr="00A11BE2">
        <w:rPr>
          <w:sz w:val="24"/>
          <w:szCs w:val="24"/>
        </w:rPr>
        <w:t>Local Workforce Development Board Executive Directors</w:t>
      </w:r>
    </w:p>
    <w:p w14:paraId="3B32F53B" w14:textId="77777777" w:rsidR="0069448D" w:rsidRPr="00257FEE" w:rsidRDefault="008141E9" w:rsidP="00E90098">
      <w:pPr>
        <w:spacing w:after="200"/>
        <w:ind w:left="720" w:firstLine="720"/>
        <w:contextualSpacing/>
        <w:rPr>
          <w:sz w:val="24"/>
          <w:szCs w:val="24"/>
        </w:rPr>
      </w:pPr>
      <w:r w:rsidRPr="00257FEE">
        <w:rPr>
          <w:sz w:val="24"/>
          <w:szCs w:val="24"/>
        </w:rPr>
        <w:t>Commission Executive Offices</w:t>
      </w:r>
    </w:p>
    <w:p w14:paraId="2CF6A7B6" w14:textId="77777777" w:rsidR="0069448D" w:rsidRDefault="00A11BE2" w:rsidP="00E90098">
      <w:pPr>
        <w:spacing w:after="200"/>
        <w:ind w:left="720" w:firstLine="720"/>
        <w:rPr>
          <w:snapToGrid w:val="0"/>
          <w:sz w:val="24"/>
        </w:rPr>
      </w:pPr>
      <w:r w:rsidRPr="00257FEE">
        <w:rPr>
          <w:snapToGrid w:val="0"/>
          <w:sz w:val="24"/>
        </w:rPr>
        <w:t>I</w:t>
      </w:r>
      <w:r w:rsidR="0069448D" w:rsidRPr="00257FEE">
        <w:rPr>
          <w:snapToGrid w:val="0"/>
          <w:sz w:val="24"/>
        </w:rPr>
        <w:t xml:space="preserve">ntegrated </w:t>
      </w:r>
      <w:r w:rsidRPr="00257FEE">
        <w:rPr>
          <w:snapToGrid w:val="0"/>
          <w:sz w:val="24"/>
        </w:rPr>
        <w:t>S</w:t>
      </w:r>
      <w:r w:rsidR="0069448D" w:rsidRPr="00257FEE">
        <w:rPr>
          <w:snapToGrid w:val="0"/>
          <w:sz w:val="24"/>
        </w:rPr>
        <w:t xml:space="preserve">ervice </w:t>
      </w:r>
      <w:r w:rsidRPr="00257FEE">
        <w:rPr>
          <w:snapToGrid w:val="0"/>
          <w:sz w:val="24"/>
        </w:rPr>
        <w:t>A</w:t>
      </w:r>
      <w:r w:rsidR="0069448D" w:rsidRPr="00257FEE">
        <w:rPr>
          <w:snapToGrid w:val="0"/>
          <w:sz w:val="24"/>
        </w:rPr>
        <w:t xml:space="preserve">rea </w:t>
      </w:r>
      <w:r w:rsidRPr="00257FEE">
        <w:rPr>
          <w:snapToGrid w:val="0"/>
          <w:sz w:val="24"/>
        </w:rPr>
        <w:t>M</w:t>
      </w:r>
      <w:r w:rsidR="0069448D" w:rsidRPr="00257FEE">
        <w:rPr>
          <w:snapToGrid w:val="0"/>
          <w:sz w:val="24"/>
        </w:rPr>
        <w:t>anagers</w:t>
      </w:r>
    </w:p>
    <w:p w14:paraId="47CC4297" w14:textId="13EBC6CC" w:rsidR="00CB6267" w:rsidRDefault="00CB6267" w:rsidP="00E90098">
      <w:pPr>
        <w:spacing w:after="200"/>
        <w:ind w:left="720" w:firstLine="720"/>
        <w:rPr>
          <w:snapToGrid w:val="0"/>
          <w:sz w:val="24"/>
        </w:rPr>
      </w:pPr>
      <w:r>
        <w:rPr>
          <w:noProof/>
        </w:rPr>
        <w:drawing>
          <wp:inline distT="0" distB="0" distL="0" distR="0" wp14:anchorId="03885883" wp14:editId="15DB2A20">
            <wp:extent cx="1644015" cy="370205"/>
            <wp:effectExtent l="0" t="0" r="0" b="0"/>
            <wp:docPr id="1174147120" name="Picture 1" descr="Reagan Miller's signature&#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gan Miller's signature&#10;,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015" cy="370205"/>
                    </a:xfrm>
                    <a:prstGeom prst="rect">
                      <a:avLst/>
                    </a:prstGeom>
                    <a:noFill/>
                    <a:ln>
                      <a:noFill/>
                    </a:ln>
                  </pic:spPr>
                </pic:pic>
              </a:graphicData>
            </a:graphic>
          </wp:inline>
        </w:drawing>
      </w:r>
    </w:p>
    <w:p w14:paraId="0D8CAB57" w14:textId="227E2CF6" w:rsidR="0069448D" w:rsidRPr="00A11BE2" w:rsidRDefault="0069448D" w:rsidP="009F4A7B">
      <w:pPr>
        <w:tabs>
          <w:tab w:val="left" w:pos="1440"/>
        </w:tabs>
        <w:spacing w:after="200"/>
        <w:ind w:left="1530" w:hanging="1530"/>
        <w:rPr>
          <w:sz w:val="24"/>
          <w:szCs w:val="24"/>
        </w:rPr>
      </w:pPr>
      <w:r w:rsidRPr="00A11BE2">
        <w:rPr>
          <w:b/>
          <w:sz w:val="24"/>
          <w:szCs w:val="24"/>
        </w:rPr>
        <w:t>From:</w:t>
      </w:r>
      <w:r w:rsidRPr="00A11BE2" w:rsidDel="00CB5850">
        <w:rPr>
          <w:b/>
          <w:sz w:val="24"/>
          <w:szCs w:val="24"/>
        </w:rPr>
        <w:tab/>
      </w:r>
      <w:r w:rsidR="00E45783" w:rsidRPr="00E45783">
        <w:rPr>
          <w:sz w:val="24"/>
          <w:szCs w:val="24"/>
        </w:rPr>
        <w:t>Reagan Miller, Director, Child Care &amp; Early Learning Division</w:t>
      </w:r>
    </w:p>
    <w:p w14:paraId="6895E140" w14:textId="38669EBB" w:rsidR="0069448D" w:rsidRPr="00A11BE2" w:rsidRDefault="0069448D" w:rsidP="0064521C">
      <w:pPr>
        <w:spacing w:after="200"/>
        <w:rPr>
          <w:sz w:val="24"/>
          <w:szCs w:val="24"/>
        </w:rPr>
      </w:pPr>
      <w:r w:rsidRPr="00A11BE2">
        <w:rPr>
          <w:b/>
          <w:sz w:val="24"/>
          <w:szCs w:val="24"/>
        </w:rPr>
        <w:t>Subject:</w:t>
      </w:r>
      <w:r w:rsidRPr="00A11BE2">
        <w:rPr>
          <w:b/>
          <w:sz w:val="24"/>
          <w:szCs w:val="24"/>
        </w:rPr>
        <w:tab/>
      </w:r>
      <w:r w:rsidR="00666A99">
        <w:rPr>
          <w:b/>
          <w:sz w:val="24"/>
          <w:szCs w:val="24"/>
        </w:rPr>
        <w:t>Board Contract Year 2026 Child Care Provider Payment Rates</w:t>
      </w:r>
    </w:p>
    <w:p w14:paraId="58EF3A60" w14:textId="77777777" w:rsidR="0069448D" w:rsidRPr="0064521C" w:rsidRDefault="0064521C" w:rsidP="0064521C">
      <w:r w:rsidRPr="0064521C">
        <w:rPr>
          <w:noProof/>
        </w:rPr>
        <mc:AlternateContent>
          <mc:Choice Requires="wps">
            <w:drawing>
              <wp:anchor distT="0" distB="0" distL="114300" distR="114300" simplePos="0" relativeHeight="251658240" behindDoc="0" locked="0" layoutInCell="0" allowOverlap="1" wp14:anchorId="38F11E97" wp14:editId="152F6964">
                <wp:simplePos x="0" y="0"/>
                <wp:positionH relativeFrom="column">
                  <wp:posOffset>-60325</wp:posOffset>
                </wp:positionH>
                <wp:positionV relativeFrom="paragraph">
                  <wp:posOffset>34290</wp:posOffset>
                </wp:positionV>
                <wp:extent cx="5796915" cy="0"/>
                <wp:effectExtent l="0" t="0" r="0" b="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33CC"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6C9F64D1" w14:textId="77777777" w:rsidR="00BB55C0" w:rsidRPr="0064521C" w:rsidRDefault="0069448D" w:rsidP="0064521C">
      <w:pPr>
        <w:pStyle w:val="Heading2"/>
      </w:pPr>
      <w:r w:rsidRPr="0064521C">
        <w:t xml:space="preserve">PURPOSE: </w:t>
      </w:r>
    </w:p>
    <w:p w14:paraId="39EB8E00" w14:textId="25E6E6C3" w:rsidR="00580B36" w:rsidRPr="00580B36" w:rsidRDefault="005D3DFF" w:rsidP="00A11BE2">
      <w:pPr>
        <w:pStyle w:val="BodyText-WD"/>
      </w:pPr>
      <w:r>
        <w:t xml:space="preserve">The purpose of </w:t>
      </w:r>
      <w:r w:rsidR="009B569D">
        <w:t>this</w:t>
      </w:r>
      <w:r>
        <w:t xml:space="preserve"> WD Letter is to provide </w:t>
      </w:r>
      <w:r w:rsidR="007B3B0E">
        <w:t>Local Workforce Development Boards (Boards) with guidance on</w:t>
      </w:r>
      <w:r w:rsidR="003446D8">
        <w:t xml:space="preserve"> </w:t>
      </w:r>
      <w:r w:rsidR="00C46554" w:rsidRPr="00C46554">
        <w:t>the Board Contract Year 202</w:t>
      </w:r>
      <w:r w:rsidR="00C46554">
        <w:t>6</w:t>
      </w:r>
      <w:r w:rsidR="00C46554" w:rsidRPr="00C46554">
        <w:t xml:space="preserve"> (BCY 202</w:t>
      </w:r>
      <w:r w:rsidR="00C46554">
        <w:t>6</w:t>
      </w:r>
      <w:r w:rsidR="00C46554" w:rsidRPr="00C46554">
        <w:t>) child care provider payment rates</w:t>
      </w:r>
      <w:r w:rsidR="00C46554">
        <w:t>.</w:t>
      </w:r>
    </w:p>
    <w:p w14:paraId="1CB37B61" w14:textId="77777777" w:rsidR="00E2024F" w:rsidRDefault="00C540A0" w:rsidP="0064521C">
      <w:pPr>
        <w:pStyle w:val="Heading2"/>
      </w:pPr>
      <w:r w:rsidRPr="004B2DE5">
        <w:t>RESCISSIONS</w:t>
      </w:r>
      <w:r w:rsidR="00E50D4A">
        <w:t xml:space="preserve">: </w:t>
      </w:r>
    </w:p>
    <w:p w14:paraId="2C9108DD" w14:textId="7B45C8A9" w:rsidR="003F0A2D" w:rsidRPr="00E2024F" w:rsidRDefault="00F55E0E" w:rsidP="003F0A2D">
      <w:pPr>
        <w:pStyle w:val="BodyText-WD"/>
      </w:pPr>
      <w:r>
        <w:t>WD Letter 19-24, Change 1</w:t>
      </w:r>
    </w:p>
    <w:p w14:paraId="530DCAD8" w14:textId="77777777" w:rsidR="0069448D" w:rsidRDefault="0069448D" w:rsidP="0064521C">
      <w:pPr>
        <w:pStyle w:val="Heading2"/>
      </w:pPr>
      <w:r>
        <w:t>BACKGROUND:</w:t>
      </w:r>
    </w:p>
    <w:p w14:paraId="03775CFD" w14:textId="5F896D29" w:rsidR="002F6B80" w:rsidRPr="002F6B80" w:rsidRDefault="00C3562A" w:rsidP="6B997DD6">
      <w:pPr>
        <w:spacing w:after="240"/>
        <w:ind w:left="720"/>
        <w:rPr>
          <w:sz w:val="24"/>
          <w:szCs w:val="24"/>
        </w:rPr>
      </w:pPr>
      <w:r w:rsidRPr="6B997DD6">
        <w:rPr>
          <w:sz w:val="24"/>
          <w:szCs w:val="24"/>
        </w:rPr>
        <w:t>T</w:t>
      </w:r>
      <w:r w:rsidR="002F6B80" w:rsidRPr="6B997DD6">
        <w:rPr>
          <w:sz w:val="24"/>
          <w:szCs w:val="24"/>
        </w:rPr>
        <w:t>he federal Child Care Development Fund (CCDF) regulations and program guidance (</w:t>
      </w:r>
      <w:hyperlink r:id="rId8" w:anchor="98.45">
        <w:r w:rsidR="002F6B80" w:rsidRPr="6B997DD6">
          <w:rPr>
            <w:color w:val="0000FF"/>
            <w:sz w:val="24"/>
            <w:szCs w:val="24"/>
            <w:u w:val="single"/>
          </w:rPr>
          <w:t>§98.45 Equal Access</w:t>
        </w:r>
      </w:hyperlink>
      <w:r w:rsidR="002F6B80" w:rsidRPr="6B997DD6">
        <w:rPr>
          <w:sz w:val="24"/>
          <w:szCs w:val="24"/>
        </w:rPr>
        <w:t xml:space="preserve"> and </w:t>
      </w:r>
      <w:hyperlink r:id="rId9">
        <w:r w:rsidR="002F6B80" w:rsidRPr="6B997DD6">
          <w:rPr>
            <w:color w:val="0000FF"/>
            <w:sz w:val="24"/>
            <w:szCs w:val="24"/>
            <w:u w:val="single"/>
          </w:rPr>
          <w:t>CCDF-ACF-PI-2018-04</w:t>
        </w:r>
      </w:hyperlink>
      <w:r w:rsidR="002F6B80" w:rsidRPr="6B997DD6">
        <w:rPr>
          <w:sz w:val="24"/>
          <w:szCs w:val="24"/>
        </w:rPr>
        <w:t>)</w:t>
      </w:r>
      <w:r w:rsidRPr="6B997DD6">
        <w:rPr>
          <w:sz w:val="24"/>
          <w:szCs w:val="24"/>
        </w:rPr>
        <w:t xml:space="preserve"> </w:t>
      </w:r>
      <w:r w:rsidR="002F6B80" w:rsidRPr="6B997DD6">
        <w:rPr>
          <w:sz w:val="24"/>
          <w:szCs w:val="24"/>
        </w:rPr>
        <w:t>requir</w:t>
      </w:r>
      <w:r w:rsidR="003B4BD2" w:rsidRPr="6B997DD6">
        <w:rPr>
          <w:sz w:val="24"/>
          <w:szCs w:val="24"/>
        </w:rPr>
        <w:t>e</w:t>
      </w:r>
      <w:r w:rsidR="002F6B80" w:rsidRPr="6B997DD6">
        <w:rPr>
          <w:sz w:val="24"/>
          <w:szCs w:val="24"/>
        </w:rPr>
        <w:t xml:space="preserve"> </w:t>
      </w:r>
      <w:r w:rsidR="003B4BD2" w:rsidRPr="6B997DD6">
        <w:rPr>
          <w:sz w:val="24"/>
          <w:szCs w:val="24"/>
        </w:rPr>
        <w:t>states</w:t>
      </w:r>
      <w:r w:rsidR="002F6B80" w:rsidRPr="6B997DD6">
        <w:rPr>
          <w:sz w:val="24"/>
          <w:szCs w:val="24"/>
        </w:rPr>
        <w:t xml:space="preserve"> to ensure equal access to child care services for children served in the Child Care Services (CCS) program. States must consider the most recent </w:t>
      </w:r>
      <w:r w:rsidR="00896622" w:rsidRPr="6B997DD6">
        <w:rPr>
          <w:sz w:val="24"/>
          <w:szCs w:val="24"/>
        </w:rPr>
        <w:t xml:space="preserve">market rate survey </w:t>
      </w:r>
      <w:r w:rsidR="002F6B80" w:rsidRPr="6B997DD6">
        <w:rPr>
          <w:sz w:val="24"/>
          <w:szCs w:val="24"/>
        </w:rPr>
        <w:t>as well as data from their narrow cost analysis and use this information when setting provider payment rates. Additionally, the U</w:t>
      </w:r>
      <w:r w:rsidR="00F76416" w:rsidRPr="6B997DD6">
        <w:rPr>
          <w:sz w:val="24"/>
          <w:szCs w:val="24"/>
        </w:rPr>
        <w:t>.</w:t>
      </w:r>
      <w:r w:rsidR="002F6B80" w:rsidRPr="6B997DD6">
        <w:rPr>
          <w:sz w:val="24"/>
          <w:szCs w:val="24"/>
        </w:rPr>
        <w:t>S</w:t>
      </w:r>
      <w:r w:rsidR="00F76416" w:rsidRPr="6B997DD6">
        <w:rPr>
          <w:sz w:val="24"/>
          <w:szCs w:val="24"/>
        </w:rPr>
        <w:t>.</w:t>
      </w:r>
      <w:r w:rsidR="002F6B80" w:rsidRPr="6B997DD6">
        <w:rPr>
          <w:sz w:val="24"/>
          <w:szCs w:val="24"/>
        </w:rPr>
        <w:t xml:space="preserve"> Office of Child Care encourages states to set the lowest maximum payment rates to the 75th percentile of the </w:t>
      </w:r>
      <w:r w:rsidR="00805870" w:rsidRPr="6B997DD6">
        <w:rPr>
          <w:sz w:val="24"/>
          <w:szCs w:val="24"/>
        </w:rPr>
        <w:t>market rate survey</w:t>
      </w:r>
      <w:r w:rsidR="002F6B80" w:rsidRPr="6B997DD6">
        <w:rPr>
          <w:sz w:val="24"/>
          <w:szCs w:val="24"/>
        </w:rPr>
        <w:t xml:space="preserve">. </w:t>
      </w:r>
    </w:p>
    <w:p w14:paraId="1536F83B" w14:textId="04CC6121" w:rsidR="002F6B80" w:rsidRPr="002F6B80" w:rsidRDefault="002F6B80" w:rsidP="6B997DD6">
      <w:pPr>
        <w:spacing w:after="240"/>
        <w:ind w:left="720"/>
        <w:rPr>
          <w:sz w:val="24"/>
          <w:szCs w:val="24"/>
        </w:rPr>
      </w:pPr>
      <w:r w:rsidRPr="6B997DD6">
        <w:rPr>
          <w:sz w:val="24"/>
          <w:szCs w:val="24"/>
        </w:rPr>
        <w:t xml:space="preserve">Title 40, Texas Administrative Code (TAC), Part 20, Chapter 809 Child Care Services rule </w:t>
      </w:r>
      <w:hyperlink r:id="rId10">
        <w:r w:rsidRPr="6B997DD6">
          <w:rPr>
            <w:color w:val="0000FF"/>
            <w:sz w:val="24"/>
            <w:szCs w:val="24"/>
            <w:u w:val="single"/>
          </w:rPr>
          <w:t>§809.20(a)</w:t>
        </w:r>
      </w:hyperlink>
      <w:r w:rsidRPr="6B997DD6">
        <w:rPr>
          <w:sz w:val="24"/>
          <w:szCs w:val="24"/>
        </w:rPr>
        <w:t xml:space="preserve"> requires Boards to establish maximum payment rates at or above a level established by </w:t>
      </w:r>
      <w:r w:rsidR="00253DBB" w:rsidRPr="6B997DD6">
        <w:rPr>
          <w:sz w:val="24"/>
          <w:szCs w:val="24"/>
        </w:rPr>
        <w:t xml:space="preserve">the </w:t>
      </w:r>
      <w:r w:rsidRPr="6B997DD6">
        <w:rPr>
          <w:sz w:val="24"/>
          <w:szCs w:val="24"/>
        </w:rPr>
        <w:t>Texas Workforce Commission’s (TWC) three-member Commission (Commission). On September 10, 2024, the Commission set maximum payment rates beginning in BCY 2025 based on the following criteria:</w:t>
      </w:r>
    </w:p>
    <w:p w14:paraId="78DDAA40" w14:textId="77777777" w:rsidR="002F6B80" w:rsidRPr="002F6B80" w:rsidRDefault="002F6B80" w:rsidP="00645BDF">
      <w:pPr>
        <w:numPr>
          <w:ilvl w:val="0"/>
          <w:numId w:val="21"/>
        </w:numPr>
        <w:spacing w:after="240"/>
        <w:contextualSpacing/>
        <w:rPr>
          <w:sz w:val="24"/>
        </w:rPr>
      </w:pPr>
      <w:r w:rsidRPr="002F6B80">
        <w:rPr>
          <w:sz w:val="24"/>
        </w:rPr>
        <w:t>Set each rate at the higher of:</w:t>
      </w:r>
    </w:p>
    <w:p w14:paraId="6AD949A4" w14:textId="1075DE34" w:rsidR="002F6B80" w:rsidRPr="002F6B80" w:rsidRDefault="002F6B80" w:rsidP="00645BDF">
      <w:pPr>
        <w:numPr>
          <w:ilvl w:val="1"/>
          <w:numId w:val="21"/>
        </w:numPr>
        <w:spacing w:after="240"/>
        <w:ind w:left="1800"/>
        <w:contextualSpacing/>
        <w:rPr>
          <w:sz w:val="24"/>
        </w:rPr>
      </w:pPr>
      <w:r w:rsidRPr="002F6B80">
        <w:rPr>
          <w:sz w:val="24"/>
        </w:rPr>
        <w:t xml:space="preserve">the 75th percentile of the most recent </w:t>
      </w:r>
      <w:r w:rsidR="00805870" w:rsidRPr="002F6B80">
        <w:rPr>
          <w:sz w:val="24"/>
        </w:rPr>
        <w:t xml:space="preserve">market rate survey </w:t>
      </w:r>
      <w:r w:rsidRPr="002F6B80">
        <w:rPr>
          <w:sz w:val="24"/>
        </w:rPr>
        <w:t>(for the type of care, age of child, and local workforce development area); or</w:t>
      </w:r>
    </w:p>
    <w:p w14:paraId="2CEB041A" w14:textId="6C644931" w:rsidR="002F6B80" w:rsidRPr="002F6B80" w:rsidRDefault="002F6B80" w:rsidP="00645BDF">
      <w:pPr>
        <w:numPr>
          <w:ilvl w:val="1"/>
          <w:numId w:val="21"/>
        </w:numPr>
        <w:spacing w:after="240"/>
        <w:ind w:left="1800"/>
        <w:contextualSpacing/>
        <w:rPr>
          <w:sz w:val="24"/>
        </w:rPr>
      </w:pPr>
      <w:r w:rsidRPr="002F6B80">
        <w:rPr>
          <w:sz w:val="24"/>
        </w:rPr>
        <w:t xml:space="preserve">the </w:t>
      </w:r>
      <w:r w:rsidR="006810FA">
        <w:rPr>
          <w:sz w:val="24"/>
        </w:rPr>
        <w:t>“</w:t>
      </w:r>
      <w:r w:rsidRPr="002F6B80">
        <w:rPr>
          <w:sz w:val="24"/>
        </w:rPr>
        <w:t>baseline rate</w:t>
      </w:r>
      <w:r w:rsidR="006810FA">
        <w:rPr>
          <w:sz w:val="24"/>
        </w:rPr>
        <w:t>”</w:t>
      </w:r>
      <w:r w:rsidRPr="002F6B80">
        <w:rPr>
          <w:sz w:val="24"/>
        </w:rPr>
        <w:t xml:space="preserve"> from the applicable Cost of Quality Price Modeling Report. </w:t>
      </w:r>
    </w:p>
    <w:p w14:paraId="4F092619" w14:textId="77777777" w:rsidR="002F6B80" w:rsidRDefault="002F6B80" w:rsidP="00645BDF">
      <w:pPr>
        <w:numPr>
          <w:ilvl w:val="0"/>
          <w:numId w:val="21"/>
        </w:numPr>
        <w:spacing w:after="240"/>
        <w:rPr>
          <w:sz w:val="24"/>
        </w:rPr>
      </w:pPr>
      <w:r w:rsidRPr="002F6B80">
        <w:rPr>
          <w:sz w:val="24"/>
        </w:rPr>
        <w:lastRenderedPageBreak/>
        <w:t>If any rate would drop below the prior year’s level, maintain the prior year’s higher rate.</w:t>
      </w:r>
    </w:p>
    <w:p w14:paraId="2D075FF4" w14:textId="17F20EB8" w:rsidR="002F6B80" w:rsidRPr="002F6B80" w:rsidRDefault="002F6B80" w:rsidP="00C10671">
      <w:pPr>
        <w:spacing w:after="240"/>
        <w:ind w:left="720"/>
        <w:contextualSpacing/>
        <w:rPr>
          <w:sz w:val="24"/>
          <w:szCs w:val="24"/>
        </w:rPr>
      </w:pPr>
      <w:r w:rsidRPr="6B997DD6">
        <w:rPr>
          <w:sz w:val="24"/>
          <w:szCs w:val="24"/>
        </w:rPr>
        <w:t>For BCY 202</w:t>
      </w:r>
      <w:r w:rsidR="00513F88" w:rsidRPr="6B997DD6">
        <w:rPr>
          <w:sz w:val="24"/>
          <w:szCs w:val="24"/>
        </w:rPr>
        <w:t>6</w:t>
      </w:r>
      <w:r w:rsidRPr="6B997DD6">
        <w:rPr>
          <w:sz w:val="24"/>
          <w:szCs w:val="24"/>
        </w:rPr>
        <w:t>, TWC used the following data sources</w:t>
      </w:r>
      <w:r w:rsidR="00292FFD" w:rsidRPr="6B997DD6">
        <w:rPr>
          <w:sz w:val="24"/>
          <w:szCs w:val="24"/>
        </w:rPr>
        <w:t xml:space="preserve"> to set the </w:t>
      </w:r>
      <w:r w:rsidR="00CA71A4">
        <w:rPr>
          <w:sz w:val="24"/>
          <w:szCs w:val="24"/>
        </w:rPr>
        <w:t xml:space="preserve">minimum threshold for the </w:t>
      </w:r>
      <w:r w:rsidR="00292FFD" w:rsidRPr="6B997DD6">
        <w:rPr>
          <w:sz w:val="24"/>
          <w:szCs w:val="24"/>
        </w:rPr>
        <w:t>maximum payment rates</w:t>
      </w:r>
      <w:r w:rsidRPr="6B997DD6">
        <w:rPr>
          <w:sz w:val="24"/>
          <w:szCs w:val="24"/>
        </w:rPr>
        <w:t>:</w:t>
      </w:r>
    </w:p>
    <w:p w14:paraId="0EF8E970" w14:textId="15C616B3" w:rsidR="002F6B80" w:rsidRPr="002F6B80" w:rsidRDefault="002F6B80" w:rsidP="006035B4">
      <w:pPr>
        <w:numPr>
          <w:ilvl w:val="0"/>
          <w:numId w:val="22"/>
        </w:numPr>
        <w:spacing w:after="240"/>
        <w:contextualSpacing/>
        <w:rPr>
          <w:sz w:val="24"/>
        </w:rPr>
      </w:pPr>
      <w:hyperlink r:id="rId11" w:history="1">
        <w:r w:rsidRPr="00996273">
          <w:rPr>
            <w:rStyle w:val="Hyperlink"/>
            <w:sz w:val="24"/>
          </w:rPr>
          <w:t>2025 Texas Child Care Market Rate Survey</w:t>
        </w:r>
      </w:hyperlink>
      <w:r w:rsidRPr="002F6B80">
        <w:rPr>
          <w:sz w:val="24"/>
        </w:rPr>
        <w:t xml:space="preserve"> </w:t>
      </w:r>
    </w:p>
    <w:p w14:paraId="7E202056" w14:textId="6D159B16" w:rsidR="002F6B80" w:rsidRPr="002F6B80" w:rsidRDefault="002F6B80" w:rsidP="006035B4">
      <w:pPr>
        <w:numPr>
          <w:ilvl w:val="0"/>
          <w:numId w:val="22"/>
        </w:numPr>
        <w:spacing w:after="240"/>
        <w:contextualSpacing/>
        <w:rPr>
          <w:sz w:val="24"/>
        </w:rPr>
      </w:pPr>
      <w:hyperlink r:id="rId12" w:history="1">
        <w:r w:rsidRPr="00781353">
          <w:rPr>
            <w:rStyle w:val="Hyperlink"/>
            <w:sz w:val="24"/>
          </w:rPr>
          <w:t>202</w:t>
        </w:r>
        <w:r w:rsidR="005E2C7F" w:rsidRPr="00781353">
          <w:rPr>
            <w:rStyle w:val="Hyperlink"/>
            <w:sz w:val="24"/>
          </w:rPr>
          <w:t>5</w:t>
        </w:r>
        <w:r w:rsidRPr="00781353">
          <w:rPr>
            <w:rStyle w:val="Hyperlink"/>
            <w:sz w:val="24"/>
          </w:rPr>
          <w:t xml:space="preserve"> Cost of Quality Price Modeling Report for Centers</w:t>
        </w:r>
      </w:hyperlink>
      <w:r w:rsidRPr="002F6B80">
        <w:rPr>
          <w:sz w:val="24"/>
        </w:rPr>
        <w:t xml:space="preserve"> </w:t>
      </w:r>
    </w:p>
    <w:p w14:paraId="31857B5A" w14:textId="17FF729A" w:rsidR="002F6B80" w:rsidRDefault="002F6B80" w:rsidP="006035B4">
      <w:pPr>
        <w:numPr>
          <w:ilvl w:val="0"/>
          <w:numId w:val="22"/>
        </w:numPr>
        <w:spacing w:after="240"/>
        <w:contextualSpacing/>
        <w:rPr>
          <w:sz w:val="24"/>
        </w:rPr>
      </w:pPr>
      <w:hyperlink r:id="rId13" w:history="1">
        <w:r w:rsidRPr="008D1C4A">
          <w:rPr>
            <w:rStyle w:val="Hyperlink"/>
            <w:sz w:val="24"/>
          </w:rPr>
          <w:t>202</w:t>
        </w:r>
        <w:r w:rsidR="005E2C7F" w:rsidRPr="008D1C4A">
          <w:rPr>
            <w:rStyle w:val="Hyperlink"/>
            <w:sz w:val="24"/>
          </w:rPr>
          <w:t>4</w:t>
        </w:r>
        <w:r w:rsidRPr="008D1C4A">
          <w:rPr>
            <w:rStyle w:val="Hyperlink"/>
            <w:sz w:val="24"/>
          </w:rPr>
          <w:t xml:space="preserve"> Cost of Quality Price Modeling Report for Homes</w:t>
        </w:r>
      </w:hyperlink>
      <w:r w:rsidRPr="002F6B80">
        <w:rPr>
          <w:sz w:val="24"/>
        </w:rPr>
        <w:t xml:space="preserve"> </w:t>
      </w:r>
    </w:p>
    <w:p w14:paraId="52487B6D" w14:textId="77777777" w:rsidR="005E2C7F" w:rsidRPr="002F6B80" w:rsidRDefault="005E2C7F" w:rsidP="005E2C7F">
      <w:pPr>
        <w:spacing w:after="240"/>
        <w:ind w:left="1440"/>
        <w:contextualSpacing/>
        <w:rPr>
          <w:sz w:val="24"/>
        </w:rPr>
      </w:pPr>
    </w:p>
    <w:p w14:paraId="63949C21" w14:textId="4A58B7ED" w:rsidR="00A72BC5" w:rsidRPr="002F6B80" w:rsidDel="00533C3D" w:rsidRDefault="00090E66" w:rsidP="00A72BC5">
      <w:pPr>
        <w:spacing w:after="240"/>
        <w:ind w:left="720"/>
        <w:rPr>
          <w:sz w:val="24"/>
          <w:szCs w:val="24"/>
        </w:rPr>
      </w:pPr>
      <w:r>
        <w:rPr>
          <w:sz w:val="24"/>
          <w:szCs w:val="24"/>
        </w:rPr>
        <w:t xml:space="preserve">TWC uses percentiles to compare rates collected </w:t>
      </w:r>
      <w:r w:rsidR="00D614A7">
        <w:rPr>
          <w:sz w:val="24"/>
          <w:szCs w:val="24"/>
        </w:rPr>
        <w:t>through</w:t>
      </w:r>
      <w:r>
        <w:rPr>
          <w:sz w:val="24"/>
          <w:szCs w:val="24"/>
        </w:rPr>
        <w:t xml:space="preserve"> the market rate survey. </w:t>
      </w:r>
      <w:r w:rsidR="002F6B80" w:rsidRPr="6B997DD6" w:rsidDel="00533C3D">
        <w:rPr>
          <w:sz w:val="24"/>
          <w:szCs w:val="24"/>
        </w:rPr>
        <w:t>The</w:t>
      </w:r>
      <w:r w:rsidR="00A72BC5">
        <w:rPr>
          <w:sz w:val="24"/>
          <w:szCs w:val="24"/>
        </w:rPr>
        <w:t xml:space="preserve"> 75th percentile means </w:t>
      </w:r>
      <w:hyperlink r:id="rId14" w:tooltip="https://www.bing.com/ck/a?!&amp;&amp;p=c0a60e1a3a7ec6b681cee266090e951a27d9e14dfc52cf725ea1cb0e77d32b89JmltdHM9MTc1NjQyNTYwMA&amp;ptn=3&amp;ver=2&amp;hsh=4&amp;fclid=122d36cf-9e5d-63ce-090a-220b9fc862ef&amp;u=a1aHR0cHM6Ly9zdGF0aXN0aWNzYnlqaW0uY29tL2Jhc2ljcy9wZXJjZW50aWxlcy8&amp;ntb=1" w:history="1">
        <w:r w:rsidR="002D73AC" w:rsidRPr="002D73AC">
          <w:rPr>
            <w:sz w:val="24"/>
            <w:szCs w:val="24"/>
          </w:rPr>
          <w:t>75 percent of the rates collected through the survey were lower than that amount. </w:t>
        </w:r>
      </w:hyperlink>
      <w:r w:rsidR="002D73AC" w:rsidRPr="002D73AC">
        <w:rPr>
          <w:sz w:val="24"/>
          <w:szCs w:val="24"/>
        </w:rPr>
        <w:t> </w:t>
      </w:r>
    </w:p>
    <w:p w14:paraId="49C5A123" w14:textId="10B4C12F" w:rsidR="00CB7180" w:rsidRPr="002F6B80" w:rsidDel="00533C3D" w:rsidRDefault="002F6B80" w:rsidP="6B997DD6">
      <w:pPr>
        <w:spacing w:after="240"/>
        <w:ind w:left="720"/>
        <w:rPr>
          <w:sz w:val="24"/>
          <w:szCs w:val="24"/>
        </w:rPr>
      </w:pPr>
      <w:r w:rsidRPr="6B997DD6">
        <w:rPr>
          <w:sz w:val="24"/>
          <w:szCs w:val="24"/>
        </w:rPr>
        <w:t>The</w:t>
      </w:r>
      <w:r w:rsidRPr="6B997DD6" w:rsidDel="00533C3D">
        <w:rPr>
          <w:sz w:val="24"/>
          <w:szCs w:val="24"/>
        </w:rPr>
        <w:t xml:space="preserve"> Cost of Quality Price Modeling Report includes “baseline rates,” which are defined as “prices charged by providers of child care that</w:t>
      </w:r>
      <w:r w:rsidR="008C01CB" w:rsidRPr="6B997DD6" w:rsidDel="00533C3D">
        <w:rPr>
          <w:sz w:val="24"/>
          <w:szCs w:val="24"/>
        </w:rPr>
        <w:t>,</w:t>
      </w:r>
      <w:r w:rsidRPr="6B997DD6" w:rsidDel="00533C3D">
        <w:rPr>
          <w:sz w:val="24"/>
          <w:szCs w:val="24"/>
        </w:rPr>
        <w:t xml:space="preserve"> at a minimum</w:t>
      </w:r>
      <w:r w:rsidR="008C01CB" w:rsidRPr="6B997DD6" w:rsidDel="00533C3D">
        <w:rPr>
          <w:sz w:val="24"/>
          <w:szCs w:val="24"/>
        </w:rPr>
        <w:t>,</w:t>
      </w:r>
      <w:r w:rsidRPr="6B997DD6" w:rsidDel="00533C3D">
        <w:rPr>
          <w:sz w:val="24"/>
          <w:szCs w:val="24"/>
        </w:rPr>
        <w:t xml:space="preserve"> meet state licensing standards</w:t>
      </w:r>
      <w:r w:rsidR="007E0477" w:rsidRPr="6B997DD6" w:rsidDel="00533C3D">
        <w:rPr>
          <w:sz w:val="24"/>
          <w:szCs w:val="24"/>
        </w:rPr>
        <w:t>.</w:t>
      </w:r>
      <w:r w:rsidRPr="6B997DD6" w:rsidDel="00533C3D">
        <w:rPr>
          <w:sz w:val="24"/>
          <w:szCs w:val="24"/>
        </w:rPr>
        <w:t xml:space="preserve">” </w:t>
      </w:r>
    </w:p>
    <w:p w14:paraId="532BA206" w14:textId="77983A6C" w:rsidR="003F0A2D" w:rsidRPr="007E0477" w:rsidRDefault="003A0989" w:rsidP="6B997DD6">
      <w:pPr>
        <w:spacing w:after="240"/>
        <w:ind w:left="720"/>
        <w:rPr>
          <w:sz w:val="24"/>
          <w:szCs w:val="24"/>
        </w:rPr>
      </w:pPr>
      <w:r w:rsidRPr="6B997DD6">
        <w:rPr>
          <w:sz w:val="24"/>
          <w:szCs w:val="24"/>
        </w:rPr>
        <w:t>TWC con</w:t>
      </w:r>
      <w:r w:rsidR="008D06C6" w:rsidRPr="6B997DD6">
        <w:rPr>
          <w:sz w:val="24"/>
          <w:szCs w:val="24"/>
        </w:rPr>
        <w:t xml:space="preserve">tinues to tier </w:t>
      </w:r>
      <w:r w:rsidR="002F6B80" w:rsidRPr="6B997DD6">
        <w:rPr>
          <w:sz w:val="24"/>
          <w:szCs w:val="24"/>
        </w:rPr>
        <w:t xml:space="preserve">Texas Rising Star and Texas School Ready maximum payment rates in accordance with </w:t>
      </w:r>
      <w:r w:rsidR="00186A2E" w:rsidRPr="6B997DD6">
        <w:rPr>
          <w:sz w:val="24"/>
          <w:szCs w:val="24"/>
        </w:rPr>
        <w:t xml:space="preserve">40 </w:t>
      </w:r>
      <w:r w:rsidR="002F6B80" w:rsidRPr="6B997DD6">
        <w:rPr>
          <w:sz w:val="24"/>
          <w:szCs w:val="24"/>
        </w:rPr>
        <w:t xml:space="preserve">TAC </w:t>
      </w:r>
      <w:hyperlink r:id="rId15">
        <w:r w:rsidR="002F6B80" w:rsidRPr="6B997DD6">
          <w:rPr>
            <w:color w:val="0000FF"/>
            <w:sz w:val="24"/>
            <w:szCs w:val="24"/>
            <w:u w:val="single"/>
          </w:rPr>
          <w:t>§809.20</w:t>
        </w:r>
      </w:hyperlink>
      <w:r w:rsidR="002F6B80" w:rsidRPr="6B997DD6">
        <w:rPr>
          <w:sz w:val="24"/>
          <w:szCs w:val="24"/>
        </w:rPr>
        <w:t>.</w:t>
      </w:r>
    </w:p>
    <w:p w14:paraId="4BF3AD0D" w14:textId="77777777" w:rsidR="0084367C" w:rsidRDefault="0084367C" w:rsidP="0064521C">
      <w:pPr>
        <w:pStyle w:val="Heading2"/>
      </w:pPr>
      <w:r>
        <w:t>PROCEDURES:</w:t>
      </w:r>
    </w:p>
    <w:p w14:paraId="5E42A2A3" w14:textId="77777777" w:rsidR="0084367C" w:rsidRPr="0084367C" w:rsidRDefault="0084367C" w:rsidP="00A11BE2">
      <w:pPr>
        <w:pStyle w:val="BodyText-WD"/>
      </w:pPr>
      <w:r w:rsidRPr="0084367C">
        <w:rPr>
          <w:b/>
        </w:rPr>
        <w:t>No Local Flexibility (NLF):</w:t>
      </w:r>
      <w:r w:rsidR="00033258">
        <w:t xml:space="preserve"> </w:t>
      </w:r>
      <w:r w:rsidRPr="0084367C">
        <w:t>This rating indicates that Boards must comply with the federal and state laws, rules, policies, and required procedures set forth in this WD Letter and have no local flexibility in determining</w:t>
      </w:r>
      <w:r w:rsidR="00033258">
        <w:t xml:space="preserve"> whether and/or how to comply. </w:t>
      </w:r>
      <w:r w:rsidRPr="0084367C">
        <w:t>All information with an NLF rating is indicated by “must</w:t>
      </w:r>
      <w:r w:rsidR="002E5925">
        <w:t>.”</w:t>
      </w:r>
      <w:r w:rsidRPr="0084367C">
        <w:t xml:space="preserve">  </w:t>
      </w:r>
    </w:p>
    <w:p w14:paraId="3D663C07" w14:textId="77777777" w:rsidR="0084367C" w:rsidRDefault="0084367C" w:rsidP="00A11BE2">
      <w:pPr>
        <w:pStyle w:val="BodyText-WD"/>
      </w:pPr>
      <w:r w:rsidRPr="0084367C">
        <w:rPr>
          <w:b/>
        </w:rPr>
        <w:t xml:space="preserve">Local Flexibility (LF): </w:t>
      </w:r>
      <w:r w:rsidRPr="0084367C">
        <w:t>This rating indicates that Boards have local flexibility in determining whether and/or how to implement guidance or recommended practice</w:t>
      </w:r>
      <w:r w:rsidR="00033258">
        <w:t xml:space="preserve">s set forth in this WD Letter. </w:t>
      </w:r>
      <w:r w:rsidRPr="0084367C">
        <w:t>All information with an LF rating is indi</w:t>
      </w:r>
      <w:r w:rsidR="005D3DFF">
        <w:t>cated by “may” or “recommend.”</w:t>
      </w:r>
    </w:p>
    <w:p w14:paraId="2702EB4B" w14:textId="58E1FB2B" w:rsidR="00F83D2E" w:rsidRPr="00F83D2E" w:rsidRDefault="00F83D2E" w:rsidP="6B997DD6">
      <w:pPr>
        <w:spacing w:after="240"/>
        <w:ind w:left="720" w:hanging="720"/>
        <w:rPr>
          <w:sz w:val="24"/>
          <w:szCs w:val="24"/>
        </w:rPr>
      </w:pPr>
      <w:bookmarkStart w:id="0" w:name="_Hlk35262130"/>
      <w:r w:rsidRPr="6B997DD6">
        <w:rPr>
          <w:b/>
          <w:bCs/>
          <w:sz w:val="24"/>
          <w:szCs w:val="24"/>
          <w:u w:val="single"/>
        </w:rPr>
        <w:t>NLF</w:t>
      </w:r>
      <w:r w:rsidRPr="6B997DD6">
        <w:rPr>
          <w:b/>
          <w:bCs/>
          <w:sz w:val="24"/>
          <w:szCs w:val="24"/>
        </w:rPr>
        <w:t>:</w:t>
      </w:r>
      <w:r w:rsidRPr="6B997DD6">
        <w:rPr>
          <w:sz w:val="24"/>
          <w:szCs w:val="24"/>
        </w:rPr>
        <w:t xml:space="preserve"> </w:t>
      </w:r>
      <w:r>
        <w:tab/>
      </w:r>
      <w:r w:rsidRPr="6B997DD6">
        <w:rPr>
          <w:sz w:val="24"/>
          <w:szCs w:val="24"/>
        </w:rPr>
        <w:t xml:space="preserve">Boards must </w:t>
      </w:r>
      <w:r w:rsidR="00200D8F" w:rsidRPr="6B997DD6">
        <w:rPr>
          <w:sz w:val="24"/>
          <w:szCs w:val="24"/>
        </w:rPr>
        <w:t>inform staff</w:t>
      </w:r>
      <w:r w:rsidRPr="6B997DD6">
        <w:rPr>
          <w:sz w:val="24"/>
          <w:szCs w:val="24"/>
        </w:rPr>
        <w:t xml:space="preserve"> that the </w:t>
      </w:r>
      <w:hyperlink r:id="rId16">
        <w:r w:rsidR="009F482B" w:rsidRPr="6B997DD6">
          <w:rPr>
            <w:color w:val="0000FF"/>
            <w:sz w:val="24"/>
            <w:szCs w:val="24"/>
            <w:u w:val="single"/>
          </w:rPr>
          <w:t>Commission-approved methodology</w:t>
        </w:r>
      </w:hyperlink>
      <w:r w:rsidRPr="6B997DD6">
        <w:rPr>
          <w:sz w:val="24"/>
          <w:szCs w:val="24"/>
        </w:rPr>
        <w:t xml:space="preserve"> for determining BCY 202</w:t>
      </w:r>
      <w:r w:rsidR="00E4232A" w:rsidRPr="6B997DD6">
        <w:rPr>
          <w:sz w:val="24"/>
          <w:szCs w:val="24"/>
        </w:rPr>
        <w:t>6</w:t>
      </w:r>
      <w:r w:rsidRPr="6B997DD6">
        <w:rPr>
          <w:sz w:val="24"/>
          <w:szCs w:val="24"/>
        </w:rPr>
        <w:t xml:space="preserve"> rates sets the minimum level for those rates, and Boards may not reduce any rate below these approved levels.</w:t>
      </w:r>
    </w:p>
    <w:p w14:paraId="36096A19" w14:textId="057B03D0" w:rsidR="00F83D2E" w:rsidRDefault="00F83D2E" w:rsidP="00F83D2E">
      <w:pPr>
        <w:spacing w:after="240"/>
        <w:ind w:left="720" w:hanging="720"/>
        <w:rPr>
          <w:bCs/>
          <w:sz w:val="24"/>
          <w:szCs w:val="24"/>
        </w:rPr>
      </w:pPr>
      <w:r w:rsidRPr="00F83D2E">
        <w:rPr>
          <w:b/>
          <w:sz w:val="24"/>
          <w:szCs w:val="24"/>
          <w:u w:val="single"/>
        </w:rPr>
        <w:t>LF</w:t>
      </w:r>
      <w:r w:rsidRPr="00F83D2E">
        <w:rPr>
          <w:b/>
          <w:sz w:val="24"/>
          <w:szCs w:val="24"/>
        </w:rPr>
        <w:t>:</w:t>
      </w:r>
      <w:r>
        <w:tab/>
      </w:r>
      <w:r w:rsidRPr="00F83D2E">
        <w:rPr>
          <w:bCs/>
          <w:sz w:val="24"/>
          <w:szCs w:val="24"/>
        </w:rPr>
        <w:t xml:space="preserve">TWC does not set minimum thresholds for payment rates for child care provided on evenings or weekends. Boards may set </w:t>
      </w:r>
      <w:r w:rsidR="006D0D49">
        <w:rPr>
          <w:bCs/>
          <w:sz w:val="24"/>
          <w:szCs w:val="24"/>
        </w:rPr>
        <w:t>a percent</w:t>
      </w:r>
      <w:r w:rsidR="00A83935">
        <w:rPr>
          <w:bCs/>
          <w:sz w:val="24"/>
          <w:szCs w:val="24"/>
        </w:rPr>
        <w:t xml:space="preserve">age to increase </w:t>
      </w:r>
      <w:r w:rsidR="00DD4504">
        <w:rPr>
          <w:bCs/>
          <w:sz w:val="24"/>
          <w:szCs w:val="24"/>
        </w:rPr>
        <w:t>rates for care during these times</w:t>
      </w:r>
      <w:r w:rsidR="00A83935">
        <w:rPr>
          <w:bCs/>
          <w:sz w:val="24"/>
          <w:szCs w:val="24"/>
        </w:rPr>
        <w:t xml:space="preserve"> on </w:t>
      </w:r>
      <w:r w:rsidR="00DD4504">
        <w:rPr>
          <w:bCs/>
          <w:sz w:val="24"/>
          <w:szCs w:val="24"/>
        </w:rPr>
        <w:t xml:space="preserve">the </w:t>
      </w:r>
      <w:r w:rsidR="0063087E">
        <w:rPr>
          <w:bCs/>
          <w:sz w:val="24"/>
          <w:szCs w:val="24"/>
        </w:rPr>
        <w:t>District Settings page in T</w:t>
      </w:r>
      <w:r w:rsidR="001E079F">
        <w:rPr>
          <w:bCs/>
          <w:sz w:val="24"/>
          <w:szCs w:val="24"/>
        </w:rPr>
        <w:t>exas Child Care Connections</w:t>
      </w:r>
      <w:r w:rsidR="7C07CA28" w:rsidRPr="5E63841A">
        <w:rPr>
          <w:sz w:val="24"/>
          <w:szCs w:val="24"/>
        </w:rPr>
        <w:t xml:space="preserve"> (TX3C)</w:t>
      </w:r>
      <w:r w:rsidR="004442B5" w:rsidRPr="5E63841A">
        <w:rPr>
          <w:sz w:val="24"/>
          <w:szCs w:val="24"/>
        </w:rPr>
        <w:t>.</w:t>
      </w:r>
    </w:p>
    <w:p w14:paraId="2383AA13" w14:textId="2590732C" w:rsidR="00C50FF4" w:rsidRPr="00F83D2E" w:rsidRDefault="00C50FF4" w:rsidP="00F83D2E">
      <w:pPr>
        <w:spacing w:after="240"/>
        <w:ind w:left="720" w:hanging="720"/>
        <w:rPr>
          <w:bCs/>
          <w:sz w:val="24"/>
          <w:szCs w:val="24"/>
        </w:rPr>
      </w:pPr>
      <w:r>
        <w:rPr>
          <w:b/>
          <w:sz w:val="24"/>
          <w:szCs w:val="24"/>
          <w:u w:val="single"/>
        </w:rPr>
        <w:t>LF</w:t>
      </w:r>
      <w:r w:rsidRPr="009F4A7B">
        <w:rPr>
          <w:b/>
          <w:sz w:val="24"/>
          <w:szCs w:val="24"/>
        </w:rPr>
        <w:t>:</w:t>
      </w:r>
      <w:r>
        <w:rPr>
          <w:bCs/>
          <w:sz w:val="24"/>
          <w:szCs w:val="24"/>
        </w:rPr>
        <w:tab/>
      </w:r>
      <w:r w:rsidR="000F67A8" w:rsidRPr="000F67A8">
        <w:rPr>
          <w:bCs/>
          <w:sz w:val="24"/>
          <w:szCs w:val="24"/>
        </w:rPr>
        <w:t>TWC does not set minimum thresholds for payment rates for child care provided by relative providers. Boards may set these rates locally.</w:t>
      </w:r>
    </w:p>
    <w:p w14:paraId="2238105C" w14:textId="11DEA776" w:rsidR="00F83D2E" w:rsidRPr="00F83D2E" w:rsidRDefault="00F83D2E" w:rsidP="6B997DD6">
      <w:pPr>
        <w:spacing w:after="240"/>
        <w:ind w:left="720" w:hanging="720"/>
        <w:rPr>
          <w:sz w:val="24"/>
          <w:szCs w:val="24"/>
          <w:u w:val="single"/>
        </w:rPr>
      </w:pPr>
      <w:r w:rsidRPr="6B997DD6">
        <w:rPr>
          <w:b/>
          <w:bCs/>
          <w:sz w:val="24"/>
          <w:szCs w:val="24"/>
          <w:u w:val="single"/>
        </w:rPr>
        <w:t>NLF</w:t>
      </w:r>
      <w:r w:rsidRPr="6B997DD6">
        <w:rPr>
          <w:b/>
          <w:bCs/>
          <w:sz w:val="24"/>
          <w:szCs w:val="24"/>
        </w:rPr>
        <w:t>:</w:t>
      </w:r>
      <w:r>
        <w:tab/>
      </w:r>
      <w:r w:rsidRPr="6B997DD6">
        <w:rPr>
          <w:sz w:val="24"/>
          <w:szCs w:val="24"/>
        </w:rPr>
        <w:t xml:space="preserve">For any local rate adjustments, </w:t>
      </w:r>
      <w:r w:rsidR="00FF552F" w:rsidRPr="6B997DD6">
        <w:rPr>
          <w:sz w:val="24"/>
          <w:szCs w:val="24"/>
        </w:rPr>
        <w:t>Board</w:t>
      </w:r>
      <w:r w:rsidR="00575162" w:rsidRPr="6B997DD6">
        <w:rPr>
          <w:sz w:val="24"/>
          <w:szCs w:val="24"/>
        </w:rPr>
        <w:t xml:space="preserve"> members</w:t>
      </w:r>
      <w:r w:rsidR="00FF552F" w:rsidRPr="6B997DD6">
        <w:rPr>
          <w:sz w:val="24"/>
          <w:szCs w:val="24"/>
        </w:rPr>
        <w:t xml:space="preserve"> must approve </w:t>
      </w:r>
      <w:r w:rsidRPr="6B997DD6">
        <w:rPr>
          <w:sz w:val="24"/>
          <w:szCs w:val="24"/>
        </w:rPr>
        <w:t xml:space="preserve">rates at a posted, open meeting. Additionally, Boards must report the adjustment by emailing </w:t>
      </w:r>
      <w:hyperlink r:id="rId17">
        <w:r w:rsidRPr="6B997DD6">
          <w:rPr>
            <w:color w:val="0000FF"/>
            <w:sz w:val="24"/>
            <w:szCs w:val="24"/>
            <w:u w:val="single"/>
          </w:rPr>
          <w:t>childcare.programassistance@twc.texas.gov</w:t>
        </w:r>
      </w:hyperlink>
      <w:r w:rsidRPr="6B997DD6">
        <w:rPr>
          <w:sz w:val="24"/>
          <w:szCs w:val="24"/>
        </w:rPr>
        <w:t>. The email must include details on the rates affected and effective dates of the change.</w:t>
      </w:r>
    </w:p>
    <w:p w14:paraId="5BD853A4" w14:textId="74CCF50C" w:rsidR="00F83D2E" w:rsidRPr="00F83D2E" w:rsidRDefault="00F83D2E" w:rsidP="6B997DD6">
      <w:pPr>
        <w:ind w:left="720" w:hanging="720"/>
        <w:rPr>
          <w:sz w:val="24"/>
          <w:szCs w:val="24"/>
        </w:rPr>
      </w:pPr>
      <w:r w:rsidRPr="6B997DD6">
        <w:rPr>
          <w:b/>
          <w:bCs/>
          <w:sz w:val="24"/>
          <w:szCs w:val="24"/>
          <w:u w:val="single"/>
        </w:rPr>
        <w:lastRenderedPageBreak/>
        <w:t>NLF</w:t>
      </w:r>
      <w:r w:rsidRPr="6B997DD6">
        <w:rPr>
          <w:b/>
          <w:bCs/>
          <w:sz w:val="24"/>
          <w:szCs w:val="24"/>
        </w:rPr>
        <w:t>:</w:t>
      </w:r>
      <w:r w:rsidRPr="6B997DD6">
        <w:rPr>
          <w:sz w:val="24"/>
          <w:szCs w:val="24"/>
        </w:rPr>
        <w:t xml:space="preserve"> </w:t>
      </w:r>
      <w:r>
        <w:tab/>
      </w:r>
      <w:r w:rsidRPr="6B997DD6">
        <w:rPr>
          <w:sz w:val="24"/>
          <w:szCs w:val="24"/>
        </w:rPr>
        <w:t xml:space="preserve">Boards must </w:t>
      </w:r>
      <w:r w:rsidR="00200D8F" w:rsidRPr="6B997DD6">
        <w:rPr>
          <w:sz w:val="24"/>
          <w:szCs w:val="24"/>
        </w:rPr>
        <w:t>inform staff</w:t>
      </w:r>
      <w:r w:rsidRPr="6B997DD6">
        <w:rPr>
          <w:sz w:val="24"/>
          <w:szCs w:val="24"/>
        </w:rPr>
        <w:t xml:space="preserve"> that Texas Rising Star–certified providers must receive an increased payment rate as follows:</w:t>
      </w:r>
    </w:p>
    <w:p w14:paraId="150D9997" w14:textId="4B667009" w:rsidR="00F83D2E" w:rsidRPr="00CD12DE" w:rsidRDefault="00F83D2E" w:rsidP="00F83D2E">
      <w:pPr>
        <w:numPr>
          <w:ilvl w:val="0"/>
          <w:numId w:val="23"/>
        </w:numPr>
        <w:contextualSpacing/>
        <w:rPr>
          <w:sz w:val="24"/>
          <w:szCs w:val="24"/>
        </w:rPr>
      </w:pPr>
      <w:r w:rsidRPr="00F83D2E">
        <w:rPr>
          <w:sz w:val="24"/>
          <w:szCs w:val="24"/>
        </w:rPr>
        <w:t xml:space="preserve">Texas Rising Star Four-Star providers’ payment </w:t>
      </w:r>
      <w:r w:rsidRPr="00CD12DE">
        <w:rPr>
          <w:sz w:val="24"/>
          <w:szCs w:val="24"/>
        </w:rPr>
        <w:t>rates must be set at 9 percent greater than non–Texas Rising Star providers’ regular child care rates.</w:t>
      </w:r>
    </w:p>
    <w:p w14:paraId="45C9F59F" w14:textId="77777777" w:rsidR="00F83D2E" w:rsidRPr="00CD12DE" w:rsidRDefault="00F83D2E" w:rsidP="00F83D2E">
      <w:pPr>
        <w:numPr>
          <w:ilvl w:val="0"/>
          <w:numId w:val="23"/>
        </w:numPr>
        <w:contextualSpacing/>
        <w:rPr>
          <w:sz w:val="24"/>
          <w:szCs w:val="24"/>
        </w:rPr>
      </w:pPr>
      <w:r w:rsidRPr="00CD12DE">
        <w:rPr>
          <w:sz w:val="24"/>
          <w:szCs w:val="24"/>
        </w:rPr>
        <w:t>Texas Rising Star Three-Star providers’ payment rates must be set at 7 percent greater than non–Texas Rising Star providers’ regular child care rates.</w:t>
      </w:r>
    </w:p>
    <w:p w14:paraId="6FE09E57" w14:textId="77777777" w:rsidR="00F83D2E" w:rsidRPr="00CD12DE" w:rsidRDefault="00F83D2E" w:rsidP="00F83D2E">
      <w:pPr>
        <w:numPr>
          <w:ilvl w:val="0"/>
          <w:numId w:val="23"/>
        </w:numPr>
        <w:contextualSpacing/>
        <w:rPr>
          <w:bCs/>
          <w:sz w:val="24"/>
          <w:szCs w:val="24"/>
        </w:rPr>
      </w:pPr>
      <w:r w:rsidRPr="00CD12DE">
        <w:rPr>
          <w:sz w:val="24"/>
          <w:szCs w:val="24"/>
        </w:rPr>
        <w:t>Texas Rising Star Two-Star providers’ payment rates must be set at 5 percent greater than non–Texas Rising Star providers’ regular child care rates.</w:t>
      </w:r>
    </w:p>
    <w:p w14:paraId="172757AF" w14:textId="084AD607" w:rsidR="00F83D2E" w:rsidRPr="00CD12DE" w:rsidRDefault="00F83D2E" w:rsidP="008D2D30">
      <w:pPr>
        <w:numPr>
          <w:ilvl w:val="0"/>
          <w:numId w:val="23"/>
        </w:numPr>
        <w:spacing w:after="240"/>
        <w:rPr>
          <w:bCs/>
          <w:sz w:val="24"/>
          <w:szCs w:val="24"/>
        </w:rPr>
      </w:pPr>
      <w:r w:rsidRPr="00CD12DE">
        <w:rPr>
          <w:bCs/>
          <w:sz w:val="24"/>
          <w:szCs w:val="24"/>
        </w:rPr>
        <w:t>There must be at least a 2-percentage difference between Two- and Three-Star providers and between Three- and Four-Star providers.</w:t>
      </w:r>
    </w:p>
    <w:p w14:paraId="69EAD991" w14:textId="6EE702EF" w:rsidR="00DE0A44" w:rsidRDefault="00F83D2E" w:rsidP="00F83D2E">
      <w:pPr>
        <w:spacing w:after="240"/>
        <w:ind w:left="720" w:hanging="720"/>
        <w:rPr>
          <w:bCs/>
          <w:sz w:val="24"/>
          <w:szCs w:val="24"/>
        </w:rPr>
      </w:pPr>
      <w:r w:rsidRPr="00F83D2E">
        <w:rPr>
          <w:b/>
          <w:sz w:val="24"/>
          <w:szCs w:val="24"/>
          <w:u w:val="single"/>
        </w:rPr>
        <w:t>NLF</w:t>
      </w:r>
      <w:r w:rsidRPr="00F83D2E">
        <w:rPr>
          <w:b/>
          <w:sz w:val="24"/>
          <w:szCs w:val="24"/>
        </w:rPr>
        <w:t>:</w:t>
      </w:r>
      <w:r>
        <w:tab/>
      </w:r>
      <w:r w:rsidRPr="00F83D2E">
        <w:rPr>
          <w:bCs/>
          <w:sz w:val="24"/>
          <w:szCs w:val="24"/>
        </w:rPr>
        <w:t xml:space="preserve">Boards must </w:t>
      </w:r>
      <w:r w:rsidR="00200D8F">
        <w:rPr>
          <w:bCs/>
          <w:sz w:val="24"/>
          <w:szCs w:val="24"/>
        </w:rPr>
        <w:t>inform staff</w:t>
      </w:r>
      <w:r w:rsidRPr="00F83D2E">
        <w:rPr>
          <w:bCs/>
          <w:sz w:val="24"/>
          <w:szCs w:val="24"/>
        </w:rPr>
        <w:t xml:space="preserve"> that TWC will calculate and enter the payment rates for each Board and each category of care into </w:t>
      </w:r>
      <w:r w:rsidR="38367464" w:rsidRPr="5E63841A">
        <w:rPr>
          <w:sz w:val="24"/>
          <w:szCs w:val="24"/>
        </w:rPr>
        <w:t>TX3C</w:t>
      </w:r>
      <w:r w:rsidRPr="5E63841A">
        <w:rPr>
          <w:sz w:val="24"/>
          <w:szCs w:val="24"/>
        </w:rPr>
        <w:t>.</w:t>
      </w:r>
      <w:r w:rsidRPr="00F83D2E">
        <w:rPr>
          <w:bCs/>
          <w:sz w:val="24"/>
          <w:szCs w:val="24"/>
        </w:rPr>
        <w:t xml:space="preserve"> These rates will be based on </w:t>
      </w:r>
      <w:r w:rsidR="00D67C64">
        <w:rPr>
          <w:bCs/>
          <w:sz w:val="24"/>
          <w:szCs w:val="24"/>
        </w:rPr>
        <w:t>eight</w:t>
      </w:r>
      <w:r w:rsidRPr="00F83D2E">
        <w:rPr>
          <w:bCs/>
          <w:sz w:val="24"/>
          <w:szCs w:val="24"/>
        </w:rPr>
        <w:t xml:space="preserve"> age ranges</w:t>
      </w:r>
      <w:r w:rsidR="00624C9A">
        <w:rPr>
          <w:bCs/>
          <w:sz w:val="24"/>
          <w:szCs w:val="24"/>
        </w:rPr>
        <w:t>.</w:t>
      </w:r>
    </w:p>
    <w:p w14:paraId="6339D87A" w14:textId="1312B19C" w:rsidR="00F83D2E" w:rsidRPr="00F83D2E" w:rsidRDefault="00DE0A44" w:rsidP="6B997DD6">
      <w:pPr>
        <w:spacing w:after="240"/>
        <w:ind w:left="720" w:hanging="720"/>
        <w:rPr>
          <w:sz w:val="24"/>
          <w:szCs w:val="24"/>
        </w:rPr>
      </w:pPr>
      <w:r w:rsidRPr="6B997DD6">
        <w:rPr>
          <w:b/>
          <w:bCs/>
          <w:sz w:val="24"/>
          <w:szCs w:val="24"/>
          <w:u w:val="single"/>
        </w:rPr>
        <w:t>NLF</w:t>
      </w:r>
      <w:r w:rsidRPr="6B997DD6">
        <w:rPr>
          <w:b/>
          <w:bCs/>
          <w:sz w:val="24"/>
          <w:szCs w:val="24"/>
        </w:rPr>
        <w:t>:</w:t>
      </w:r>
      <w:r>
        <w:rPr>
          <w:bCs/>
          <w:sz w:val="24"/>
          <w:szCs w:val="24"/>
        </w:rPr>
        <w:tab/>
      </w:r>
      <w:r w:rsidRPr="6B997DD6">
        <w:rPr>
          <w:sz w:val="24"/>
          <w:szCs w:val="24"/>
        </w:rPr>
        <w:t xml:space="preserve">Boards must inform staff that </w:t>
      </w:r>
      <w:r w:rsidR="00DB3D10" w:rsidRPr="6B997DD6">
        <w:rPr>
          <w:sz w:val="24"/>
          <w:szCs w:val="24"/>
        </w:rPr>
        <w:t>the BCY</w:t>
      </w:r>
      <w:r w:rsidR="002A2078" w:rsidRPr="6B997DD6">
        <w:rPr>
          <w:sz w:val="24"/>
          <w:szCs w:val="24"/>
        </w:rPr>
        <w:t xml:space="preserve"> 20</w:t>
      </w:r>
      <w:r w:rsidR="00DB3D10" w:rsidRPr="6B997DD6">
        <w:rPr>
          <w:sz w:val="24"/>
          <w:szCs w:val="24"/>
        </w:rPr>
        <w:t>26 Provider</w:t>
      </w:r>
      <w:r w:rsidR="00B1638F" w:rsidRPr="6B997DD6">
        <w:rPr>
          <w:sz w:val="24"/>
          <w:szCs w:val="24"/>
        </w:rPr>
        <w:t xml:space="preserve"> Payment </w:t>
      </w:r>
      <w:r w:rsidR="002A2078" w:rsidRPr="6B997DD6">
        <w:rPr>
          <w:sz w:val="24"/>
          <w:szCs w:val="24"/>
        </w:rPr>
        <w:t>R</w:t>
      </w:r>
      <w:r w:rsidR="00B1638F" w:rsidRPr="6B997DD6">
        <w:rPr>
          <w:sz w:val="24"/>
          <w:szCs w:val="24"/>
        </w:rPr>
        <w:t xml:space="preserve">ates </w:t>
      </w:r>
      <w:r w:rsidR="00772BD2" w:rsidRPr="6B997DD6">
        <w:rPr>
          <w:sz w:val="24"/>
          <w:szCs w:val="24"/>
        </w:rPr>
        <w:t xml:space="preserve">are </w:t>
      </w:r>
      <w:r w:rsidR="00642D86" w:rsidRPr="6B997DD6">
        <w:rPr>
          <w:sz w:val="24"/>
          <w:szCs w:val="24"/>
        </w:rPr>
        <w:t>publicly</w:t>
      </w:r>
      <w:r w:rsidR="00F83D2E" w:rsidRPr="6B997DD6">
        <w:rPr>
          <w:sz w:val="24"/>
          <w:szCs w:val="24"/>
        </w:rPr>
        <w:t xml:space="preserve"> </w:t>
      </w:r>
      <w:r w:rsidR="00642D86" w:rsidRPr="6B997DD6">
        <w:rPr>
          <w:sz w:val="24"/>
          <w:szCs w:val="24"/>
        </w:rPr>
        <w:t>available</w:t>
      </w:r>
      <w:r w:rsidR="00362BD1">
        <w:rPr>
          <w:sz w:val="24"/>
          <w:szCs w:val="24"/>
        </w:rPr>
        <w:t xml:space="preserve"> on</w:t>
      </w:r>
      <w:r w:rsidR="00642D86" w:rsidRPr="6B997DD6">
        <w:rPr>
          <w:sz w:val="24"/>
          <w:szCs w:val="24"/>
        </w:rPr>
        <w:t xml:space="preserve"> </w:t>
      </w:r>
      <w:hyperlink r:id="rId18" w:history="1">
        <w:r w:rsidR="00111D8D" w:rsidRPr="6B997DD6">
          <w:rPr>
            <w:rStyle w:val="Hyperlink"/>
            <w:sz w:val="24"/>
            <w:szCs w:val="24"/>
          </w:rPr>
          <w:t xml:space="preserve">TWC’s </w:t>
        </w:r>
        <w:r w:rsidR="0097348A" w:rsidRPr="6B997DD6">
          <w:rPr>
            <w:rStyle w:val="Hyperlink"/>
            <w:sz w:val="24"/>
            <w:szCs w:val="24"/>
          </w:rPr>
          <w:t>Child Care Data, Reports, and Plans web page</w:t>
        </w:r>
      </w:hyperlink>
      <w:r w:rsidR="0097348A" w:rsidRPr="6B997DD6">
        <w:rPr>
          <w:sz w:val="24"/>
          <w:szCs w:val="24"/>
        </w:rPr>
        <w:t>.</w:t>
      </w:r>
      <w:r w:rsidR="00642D86" w:rsidRPr="6B997DD6">
        <w:rPr>
          <w:sz w:val="24"/>
          <w:szCs w:val="24"/>
        </w:rPr>
        <w:t xml:space="preserve"> </w:t>
      </w:r>
    </w:p>
    <w:p w14:paraId="5BE04B14" w14:textId="0B43E39D" w:rsidR="00F83D2E" w:rsidRPr="00F83D2E" w:rsidRDefault="00F83D2E" w:rsidP="6B997DD6">
      <w:pPr>
        <w:spacing w:after="240"/>
        <w:ind w:left="720" w:hanging="720"/>
        <w:rPr>
          <w:sz w:val="24"/>
          <w:szCs w:val="24"/>
        </w:rPr>
      </w:pPr>
      <w:r w:rsidRPr="6B997DD6">
        <w:rPr>
          <w:b/>
          <w:bCs/>
          <w:sz w:val="24"/>
          <w:szCs w:val="24"/>
          <w:u w:val="single"/>
        </w:rPr>
        <w:t>NLF</w:t>
      </w:r>
      <w:r w:rsidRPr="6B997DD6">
        <w:rPr>
          <w:b/>
          <w:bCs/>
          <w:sz w:val="24"/>
          <w:szCs w:val="24"/>
        </w:rPr>
        <w:t>:</w:t>
      </w:r>
      <w:r w:rsidRPr="6B997DD6">
        <w:rPr>
          <w:sz w:val="24"/>
          <w:szCs w:val="24"/>
        </w:rPr>
        <w:t xml:space="preserve"> </w:t>
      </w:r>
      <w:r>
        <w:tab/>
      </w:r>
      <w:r w:rsidRPr="6B997DD6">
        <w:rPr>
          <w:sz w:val="24"/>
          <w:szCs w:val="24"/>
        </w:rPr>
        <w:t xml:space="preserve">Boards must </w:t>
      </w:r>
      <w:r w:rsidR="00724490" w:rsidRPr="6B997DD6">
        <w:rPr>
          <w:sz w:val="24"/>
          <w:szCs w:val="24"/>
        </w:rPr>
        <w:t>update</w:t>
      </w:r>
      <w:r w:rsidRPr="6B997DD6">
        <w:rPr>
          <w:sz w:val="24"/>
          <w:szCs w:val="24"/>
        </w:rPr>
        <w:t xml:space="preserve"> provider agreements or associated rate addendums containing specific payment rate information to reflect the new rates. Boards must </w:t>
      </w:r>
      <w:r w:rsidR="00697656" w:rsidRPr="6B997DD6">
        <w:rPr>
          <w:sz w:val="24"/>
          <w:szCs w:val="24"/>
        </w:rPr>
        <w:t xml:space="preserve">update </w:t>
      </w:r>
      <w:r w:rsidRPr="6B997DD6">
        <w:rPr>
          <w:sz w:val="24"/>
          <w:szCs w:val="24"/>
        </w:rPr>
        <w:t>all affected agreements by November 30 of each year.</w:t>
      </w:r>
    </w:p>
    <w:bookmarkEnd w:id="0"/>
    <w:p w14:paraId="22F0C9F8" w14:textId="77777777" w:rsidR="0069448D" w:rsidRDefault="0069448D" w:rsidP="0064521C">
      <w:pPr>
        <w:pStyle w:val="Heading2"/>
      </w:pPr>
      <w:r>
        <w:t>INQUIRIES:</w:t>
      </w:r>
    </w:p>
    <w:p w14:paraId="0A80ED4A" w14:textId="77777777" w:rsidR="00E45783" w:rsidRPr="00E45783" w:rsidRDefault="00E45783" w:rsidP="00E45783">
      <w:pPr>
        <w:spacing w:before="120" w:after="120"/>
        <w:rPr>
          <w:sz w:val="24"/>
          <w:szCs w:val="24"/>
        </w:rPr>
      </w:pPr>
      <w:r>
        <w:tab/>
      </w:r>
      <w:r w:rsidRPr="00E45783">
        <w:rPr>
          <w:sz w:val="24"/>
          <w:szCs w:val="24"/>
        </w:rPr>
        <w:t xml:space="preserve">Send inquiries regarding this WD Letter to </w:t>
      </w:r>
      <w:hyperlink r:id="rId19" w:history="1">
        <w:r>
          <w:rPr>
            <w:rStyle w:val="Hyperlink"/>
            <w:sz w:val="24"/>
            <w:szCs w:val="24"/>
          </w:rPr>
          <w:t>childcare.programassistance@twc.texas.gov</w:t>
        </w:r>
      </w:hyperlink>
      <w:r w:rsidRPr="00E45783">
        <w:rPr>
          <w:sz w:val="24"/>
          <w:szCs w:val="24"/>
        </w:rPr>
        <w:t>.</w:t>
      </w:r>
    </w:p>
    <w:p w14:paraId="0F1BDA38" w14:textId="77777777" w:rsidR="00580B36" w:rsidRDefault="0020275B" w:rsidP="0064521C">
      <w:pPr>
        <w:pStyle w:val="Heading2"/>
      </w:pPr>
      <w:r w:rsidRPr="00B46DB0">
        <w:t>ATTACHMENTS:</w:t>
      </w:r>
      <w:r w:rsidR="00EF08EE">
        <w:t xml:space="preserve"> </w:t>
      </w:r>
    </w:p>
    <w:p w14:paraId="3A8F61DF" w14:textId="6D321E2B" w:rsidR="00D219CD" w:rsidRPr="00580B36" w:rsidRDefault="00F169F7" w:rsidP="00D219CD">
      <w:pPr>
        <w:pStyle w:val="HangingLine"/>
        <w:contextualSpacing/>
      </w:pPr>
      <w:r w:rsidRPr="00F169F7">
        <w:t>Attachment 1: Board Contract Year 2026 Child Care Provider Payment Rates—Effective October 1, 2025</w:t>
      </w:r>
    </w:p>
    <w:p w14:paraId="29AA8573" w14:textId="77777777" w:rsidR="00C620D5" w:rsidRPr="0086638F" w:rsidRDefault="00C620D5" w:rsidP="0064521C">
      <w:pPr>
        <w:pStyle w:val="Heading2"/>
      </w:pPr>
      <w:r w:rsidRPr="00A43108">
        <w:t>REFERENCE</w:t>
      </w:r>
      <w:r w:rsidR="0041648B">
        <w:t>S</w:t>
      </w:r>
      <w:r w:rsidRPr="00A43108">
        <w:t>:</w:t>
      </w:r>
    </w:p>
    <w:p w14:paraId="2841BC9A" w14:textId="77777777" w:rsidR="00513F88" w:rsidRPr="0041312A" w:rsidRDefault="00513F88" w:rsidP="00513F88">
      <w:pPr>
        <w:ind w:firstLine="720"/>
        <w:rPr>
          <w:sz w:val="24"/>
        </w:rPr>
      </w:pPr>
      <w:r w:rsidRPr="0041312A">
        <w:rPr>
          <w:sz w:val="24"/>
        </w:rPr>
        <w:t>Title 45 Code of Federal Regulations §98.45, Equal Access</w:t>
      </w:r>
    </w:p>
    <w:p w14:paraId="7CED17FD" w14:textId="77777777" w:rsidR="00513F88" w:rsidRDefault="00513F88" w:rsidP="00513F88">
      <w:pPr>
        <w:ind w:left="1080" w:hanging="360"/>
        <w:rPr>
          <w:sz w:val="24"/>
        </w:rPr>
      </w:pPr>
      <w:r w:rsidRPr="0041312A">
        <w:rPr>
          <w:sz w:val="24"/>
        </w:rPr>
        <w:t>T</w:t>
      </w:r>
      <w:r>
        <w:rPr>
          <w:sz w:val="24"/>
        </w:rPr>
        <w:t xml:space="preserve">itle 40, Texas Administrative Code, Part 20, </w:t>
      </w:r>
      <w:r w:rsidRPr="0041312A">
        <w:rPr>
          <w:sz w:val="24"/>
        </w:rPr>
        <w:t>Chapter 809 Child Care Services Rule §809.20, Maximum Provider Reimbursement Rates</w:t>
      </w:r>
    </w:p>
    <w:p w14:paraId="2EBE4005" w14:textId="6254BF1C" w:rsidR="00513F88" w:rsidRDefault="00513F88" w:rsidP="00513F88">
      <w:pPr>
        <w:ind w:left="1080" w:hanging="360"/>
        <w:rPr>
          <w:sz w:val="24"/>
        </w:rPr>
      </w:pPr>
      <w:r w:rsidRPr="00CE3F8A">
        <w:rPr>
          <w:sz w:val="24"/>
        </w:rPr>
        <w:t>Board Contract Year 202</w:t>
      </w:r>
      <w:r w:rsidR="00624C9A">
        <w:rPr>
          <w:sz w:val="24"/>
        </w:rPr>
        <w:t>6</w:t>
      </w:r>
      <w:r w:rsidRPr="00CE3F8A">
        <w:rPr>
          <w:sz w:val="24"/>
        </w:rPr>
        <w:t xml:space="preserve"> Child Care Provider Payment Rates</w:t>
      </w:r>
      <w:r>
        <w:rPr>
          <w:sz w:val="24"/>
        </w:rPr>
        <w:t>—</w:t>
      </w:r>
      <w:r w:rsidRPr="00CE3F8A">
        <w:rPr>
          <w:sz w:val="24"/>
        </w:rPr>
        <w:t>Effective October 1, 202</w:t>
      </w:r>
      <w:r w:rsidR="00624C9A">
        <w:rPr>
          <w:sz w:val="24"/>
        </w:rPr>
        <w:t>5</w:t>
      </w:r>
    </w:p>
    <w:p w14:paraId="3F6C4DCA" w14:textId="77777777" w:rsidR="005A75A0" w:rsidRPr="003F3552" w:rsidRDefault="005A75A0" w:rsidP="003F3552">
      <w:pPr>
        <w:rPr>
          <w:b/>
          <w:sz w:val="24"/>
        </w:rPr>
      </w:pPr>
    </w:p>
    <w:sectPr w:rsidR="005A75A0" w:rsidRPr="003F3552" w:rsidSect="00E656DB">
      <w:footerReference w:type="even" r:id="rId20"/>
      <w:footerReference w:type="default" r:id="rId2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BD59" w14:textId="77777777" w:rsidR="003044A4" w:rsidRDefault="003044A4">
      <w:r>
        <w:separator/>
      </w:r>
    </w:p>
    <w:p w14:paraId="634C0334" w14:textId="77777777" w:rsidR="003044A4" w:rsidRDefault="003044A4"/>
  </w:endnote>
  <w:endnote w:type="continuationSeparator" w:id="0">
    <w:p w14:paraId="57D99915" w14:textId="77777777" w:rsidR="003044A4" w:rsidRDefault="003044A4">
      <w:r>
        <w:continuationSeparator/>
      </w:r>
    </w:p>
    <w:p w14:paraId="51D29B5C" w14:textId="77777777" w:rsidR="003044A4" w:rsidRDefault="003044A4"/>
  </w:endnote>
  <w:endnote w:type="continuationNotice" w:id="1">
    <w:p w14:paraId="4A9DC509" w14:textId="77777777" w:rsidR="003044A4" w:rsidRDefault="0030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FF20"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F91F68" w14:textId="77777777" w:rsidR="0069448D" w:rsidRDefault="0069448D">
    <w:pPr>
      <w:pStyle w:val="Footer"/>
      <w:ind w:right="360"/>
    </w:pPr>
  </w:p>
  <w:p w14:paraId="073695C7" w14:textId="77777777" w:rsidR="00395F27" w:rsidRDefault="00395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EECE" w14:textId="77777777" w:rsidR="00A74953" w:rsidRPr="00662197" w:rsidRDefault="00A74953" w:rsidP="00662197">
    <w:pPr>
      <w:pStyle w:val="Footer"/>
      <w:framePr w:wrap="around" w:vAnchor="text" w:hAnchor="page" w:x="7069" w:y="49"/>
      <w:rPr>
        <w:rStyle w:val="PageNumber"/>
        <w:szCs w:val="24"/>
      </w:rPr>
    </w:pPr>
    <w:r w:rsidRPr="00662197">
      <w:rPr>
        <w:rStyle w:val="PageNumber"/>
        <w:szCs w:val="24"/>
      </w:rPr>
      <w:fldChar w:fldCharType="begin"/>
    </w:r>
    <w:r w:rsidRPr="00662197">
      <w:rPr>
        <w:rStyle w:val="PageNumber"/>
        <w:szCs w:val="24"/>
      </w:rPr>
      <w:instrText xml:space="preserve">PAGE  </w:instrText>
    </w:r>
    <w:r w:rsidRPr="00662197">
      <w:rPr>
        <w:rStyle w:val="PageNumber"/>
        <w:szCs w:val="24"/>
      </w:rPr>
      <w:fldChar w:fldCharType="separate"/>
    </w:r>
    <w:r w:rsidR="00033258">
      <w:rPr>
        <w:rStyle w:val="PageNumber"/>
        <w:noProof/>
        <w:szCs w:val="24"/>
      </w:rPr>
      <w:t>2</w:t>
    </w:r>
    <w:r w:rsidRPr="00662197">
      <w:rPr>
        <w:rStyle w:val="PageNumber"/>
        <w:szCs w:val="24"/>
      </w:rPr>
      <w:fldChar w:fldCharType="end"/>
    </w:r>
  </w:p>
  <w:p w14:paraId="6D1352A3" w14:textId="73B67BBB" w:rsidR="0064521C" w:rsidRPr="008E564F" w:rsidRDefault="6B997DD6" w:rsidP="0064521C">
    <w:pPr>
      <w:pStyle w:val="Footer"/>
    </w:pPr>
    <w:r>
      <w:t xml:space="preserve">WD Letter 08-25 </w:t>
    </w:r>
  </w:p>
  <w:p w14:paraId="19563672" w14:textId="77777777" w:rsidR="00395F27" w:rsidRDefault="00395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30845" w14:textId="77777777" w:rsidR="003044A4" w:rsidRDefault="003044A4">
      <w:r>
        <w:separator/>
      </w:r>
    </w:p>
    <w:p w14:paraId="07C1019B" w14:textId="77777777" w:rsidR="003044A4" w:rsidRDefault="003044A4"/>
  </w:footnote>
  <w:footnote w:type="continuationSeparator" w:id="0">
    <w:p w14:paraId="2161BF09" w14:textId="77777777" w:rsidR="003044A4" w:rsidRDefault="003044A4">
      <w:r>
        <w:continuationSeparator/>
      </w:r>
    </w:p>
    <w:p w14:paraId="3DEA8912" w14:textId="77777777" w:rsidR="003044A4" w:rsidRDefault="003044A4"/>
  </w:footnote>
  <w:footnote w:type="continuationNotice" w:id="1">
    <w:p w14:paraId="3ADF1BE2" w14:textId="77777777" w:rsidR="003044A4" w:rsidRDefault="003044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EA22B8"/>
    <w:multiLevelType w:val="hybridMultilevel"/>
    <w:tmpl w:val="4CF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3F26C50"/>
    <w:multiLevelType w:val="hybridMultilevel"/>
    <w:tmpl w:val="12C2054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DE7C9B"/>
    <w:multiLevelType w:val="hybridMultilevel"/>
    <w:tmpl w:val="1EF02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1719FC"/>
    <w:multiLevelType w:val="hybridMultilevel"/>
    <w:tmpl w:val="0430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491586"/>
    <w:multiLevelType w:val="hybridMultilevel"/>
    <w:tmpl w:val="CFF0D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5995F2E"/>
    <w:multiLevelType w:val="hybridMultilevel"/>
    <w:tmpl w:val="B55612B4"/>
    <w:lvl w:ilvl="0" w:tplc="07D014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7183517"/>
    <w:multiLevelType w:val="hybridMultilevel"/>
    <w:tmpl w:val="22FC887E"/>
    <w:lvl w:ilvl="0" w:tplc="B8BA36AC">
      <w:start w:val="1"/>
      <w:numFmt w:val="bullet"/>
      <w:pStyle w:val="WDBullets"/>
      <w:lvlText w:val=""/>
      <w:lvlJc w:val="left"/>
      <w:pPr>
        <w:ind w:left="1440" w:hanging="360"/>
      </w:pPr>
      <w:rPr>
        <w:rFonts w:ascii="Symbol" w:hAnsi="Symbol" w:hint="default"/>
      </w:rPr>
    </w:lvl>
    <w:lvl w:ilvl="1" w:tplc="E6B8E8B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9792178">
    <w:abstractNumId w:val="0"/>
    <w:lvlOverride w:ilvl="0">
      <w:lvl w:ilvl="0">
        <w:numFmt w:val="bullet"/>
        <w:lvlText w:val=""/>
        <w:legacy w:legacy="1" w:legacySpace="0" w:legacyIndent="0"/>
        <w:lvlJc w:val="left"/>
        <w:rPr>
          <w:rFonts w:ascii="Symbol" w:hAnsi="Symbol" w:hint="default"/>
        </w:rPr>
      </w:lvl>
    </w:lvlOverride>
  </w:num>
  <w:num w:numId="2" w16cid:durableId="967665126">
    <w:abstractNumId w:val="15"/>
  </w:num>
  <w:num w:numId="3" w16cid:durableId="2072535362">
    <w:abstractNumId w:val="6"/>
  </w:num>
  <w:num w:numId="4" w16cid:durableId="784811867">
    <w:abstractNumId w:val="16"/>
  </w:num>
  <w:num w:numId="5" w16cid:durableId="2147043419">
    <w:abstractNumId w:val="10"/>
  </w:num>
  <w:num w:numId="6" w16cid:durableId="1018697318">
    <w:abstractNumId w:val="19"/>
  </w:num>
  <w:num w:numId="7" w16cid:durableId="703139277">
    <w:abstractNumId w:val="3"/>
  </w:num>
  <w:num w:numId="8" w16cid:durableId="1568951491">
    <w:abstractNumId w:val="20"/>
  </w:num>
  <w:num w:numId="9" w16cid:durableId="1372148163">
    <w:abstractNumId w:val="1"/>
  </w:num>
  <w:num w:numId="10" w16cid:durableId="1106383321">
    <w:abstractNumId w:val="7"/>
  </w:num>
  <w:num w:numId="11" w16cid:durableId="700787253">
    <w:abstractNumId w:val="18"/>
  </w:num>
  <w:num w:numId="12" w16cid:durableId="728070053">
    <w:abstractNumId w:val="13"/>
  </w:num>
  <w:num w:numId="13" w16cid:durableId="1679700281">
    <w:abstractNumId w:val="4"/>
  </w:num>
  <w:num w:numId="14" w16cid:durableId="1749111743">
    <w:abstractNumId w:val="5"/>
  </w:num>
  <w:num w:numId="15" w16cid:durableId="16372489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064043">
    <w:abstractNumId w:val="2"/>
  </w:num>
  <w:num w:numId="17" w16cid:durableId="645940632">
    <w:abstractNumId w:val="17"/>
  </w:num>
  <w:num w:numId="18" w16cid:durableId="2135127880">
    <w:abstractNumId w:val="12"/>
  </w:num>
  <w:num w:numId="19" w16cid:durableId="2041320415">
    <w:abstractNumId w:val="21"/>
  </w:num>
  <w:num w:numId="20" w16cid:durableId="90782649">
    <w:abstractNumId w:val="21"/>
  </w:num>
  <w:num w:numId="21" w16cid:durableId="1212570698">
    <w:abstractNumId w:val="9"/>
  </w:num>
  <w:num w:numId="22" w16cid:durableId="1499155832">
    <w:abstractNumId w:val="11"/>
  </w:num>
  <w:num w:numId="23" w16cid:durableId="1002963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8E"/>
    <w:rsid w:val="000052D7"/>
    <w:rsid w:val="000058EB"/>
    <w:rsid w:val="00007BCD"/>
    <w:rsid w:val="000115E3"/>
    <w:rsid w:val="00011F92"/>
    <w:rsid w:val="000156F3"/>
    <w:rsid w:val="00015ABF"/>
    <w:rsid w:val="00016098"/>
    <w:rsid w:val="0002372E"/>
    <w:rsid w:val="00025887"/>
    <w:rsid w:val="00027165"/>
    <w:rsid w:val="00027685"/>
    <w:rsid w:val="00033258"/>
    <w:rsid w:val="00034527"/>
    <w:rsid w:val="00037EFD"/>
    <w:rsid w:val="000402A2"/>
    <w:rsid w:val="0004254E"/>
    <w:rsid w:val="00042766"/>
    <w:rsid w:val="000452DA"/>
    <w:rsid w:val="00046103"/>
    <w:rsid w:val="00053998"/>
    <w:rsid w:val="00053B4B"/>
    <w:rsid w:val="00057C09"/>
    <w:rsid w:val="00060F33"/>
    <w:rsid w:val="00063F85"/>
    <w:rsid w:val="0006614B"/>
    <w:rsid w:val="000679F1"/>
    <w:rsid w:val="00071EFD"/>
    <w:rsid w:val="00073867"/>
    <w:rsid w:val="00075354"/>
    <w:rsid w:val="00080E33"/>
    <w:rsid w:val="0008412B"/>
    <w:rsid w:val="00085AF7"/>
    <w:rsid w:val="000863CF"/>
    <w:rsid w:val="0009034A"/>
    <w:rsid w:val="00090E66"/>
    <w:rsid w:val="0009197D"/>
    <w:rsid w:val="00091C9B"/>
    <w:rsid w:val="00092E1C"/>
    <w:rsid w:val="000931E7"/>
    <w:rsid w:val="00093B80"/>
    <w:rsid w:val="00093DD7"/>
    <w:rsid w:val="00093F45"/>
    <w:rsid w:val="00094748"/>
    <w:rsid w:val="0009507E"/>
    <w:rsid w:val="000979A2"/>
    <w:rsid w:val="000A0CC1"/>
    <w:rsid w:val="000A36C1"/>
    <w:rsid w:val="000C0420"/>
    <w:rsid w:val="000C241A"/>
    <w:rsid w:val="000D0700"/>
    <w:rsid w:val="000D0B9B"/>
    <w:rsid w:val="000D1B21"/>
    <w:rsid w:val="000E2BC5"/>
    <w:rsid w:val="000F07D2"/>
    <w:rsid w:val="000F159F"/>
    <w:rsid w:val="000F253D"/>
    <w:rsid w:val="000F3198"/>
    <w:rsid w:val="000F4C75"/>
    <w:rsid w:val="000F67A8"/>
    <w:rsid w:val="000F7360"/>
    <w:rsid w:val="000F7BAC"/>
    <w:rsid w:val="00103FC3"/>
    <w:rsid w:val="00110A32"/>
    <w:rsid w:val="00111D8D"/>
    <w:rsid w:val="0011282C"/>
    <w:rsid w:val="00113CFE"/>
    <w:rsid w:val="0011434B"/>
    <w:rsid w:val="00115769"/>
    <w:rsid w:val="001158F3"/>
    <w:rsid w:val="00116483"/>
    <w:rsid w:val="001226D1"/>
    <w:rsid w:val="0012641C"/>
    <w:rsid w:val="00126A5C"/>
    <w:rsid w:val="00131311"/>
    <w:rsid w:val="00134482"/>
    <w:rsid w:val="00136FE1"/>
    <w:rsid w:val="00142DE5"/>
    <w:rsid w:val="001438A0"/>
    <w:rsid w:val="001439FA"/>
    <w:rsid w:val="001449CB"/>
    <w:rsid w:val="00144AC0"/>
    <w:rsid w:val="0015112B"/>
    <w:rsid w:val="001522D0"/>
    <w:rsid w:val="00162056"/>
    <w:rsid w:val="00164AB7"/>
    <w:rsid w:val="001666B0"/>
    <w:rsid w:val="00174ECD"/>
    <w:rsid w:val="001753AE"/>
    <w:rsid w:val="00180A80"/>
    <w:rsid w:val="00182730"/>
    <w:rsid w:val="00183E48"/>
    <w:rsid w:val="00184682"/>
    <w:rsid w:val="00186A2E"/>
    <w:rsid w:val="001874B8"/>
    <w:rsid w:val="00191A43"/>
    <w:rsid w:val="00192E41"/>
    <w:rsid w:val="00195C50"/>
    <w:rsid w:val="0019695F"/>
    <w:rsid w:val="001A1347"/>
    <w:rsid w:val="001A2618"/>
    <w:rsid w:val="001A2A79"/>
    <w:rsid w:val="001A3E6C"/>
    <w:rsid w:val="001A48FE"/>
    <w:rsid w:val="001B088D"/>
    <w:rsid w:val="001B14FC"/>
    <w:rsid w:val="001B1EB6"/>
    <w:rsid w:val="001B2D92"/>
    <w:rsid w:val="001B5022"/>
    <w:rsid w:val="001B7DB7"/>
    <w:rsid w:val="001C0586"/>
    <w:rsid w:val="001C157C"/>
    <w:rsid w:val="001C2064"/>
    <w:rsid w:val="001C3B6F"/>
    <w:rsid w:val="001C61B9"/>
    <w:rsid w:val="001D08C6"/>
    <w:rsid w:val="001D557F"/>
    <w:rsid w:val="001E043E"/>
    <w:rsid w:val="001E079F"/>
    <w:rsid w:val="001E4A56"/>
    <w:rsid w:val="001E5BF9"/>
    <w:rsid w:val="001E6EF5"/>
    <w:rsid w:val="001F1EB3"/>
    <w:rsid w:val="001F39E1"/>
    <w:rsid w:val="001F6722"/>
    <w:rsid w:val="00200A04"/>
    <w:rsid w:val="00200D8F"/>
    <w:rsid w:val="00201EE7"/>
    <w:rsid w:val="00201F24"/>
    <w:rsid w:val="0020275B"/>
    <w:rsid w:val="00203494"/>
    <w:rsid w:val="0020417D"/>
    <w:rsid w:val="00206472"/>
    <w:rsid w:val="002071A2"/>
    <w:rsid w:val="002107D8"/>
    <w:rsid w:val="00214F07"/>
    <w:rsid w:val="00216CF4"/>
    <w:rsid w:val="00220BF2"/>
    <w:rsid w:val="00221297"/>
    <w:rsid w:val="00223D06"/>
    <w:rsid w:val="00233270"/>
    <w:rsid w:val="00245D8D"/>
    <w:rsid w:val="0024786B"/>
    <w:rsid w:val="002502E1"/>
    <w:rsid w:val="00250499"/>
    <w:rsid w:val="00253DBB"/>
    <w:rsid w:val="0025425D"/>
    <w:rsid w:val="00255FCD"/>
    <w:rsid w:val="00256BD2"/>
    <w:rsid w:val="00257FEE"/>
    <w:rsid w:val="00261A8A"/>
    <w:rsid w:val="00262672"/>
    <w:rsid w:val="00267D22"/>
    <w:rsid w:val="00270B7F"/>
    <w:rsid w:val="00271E1E"/>
    <w:rsid w:val="00272B8B"/>
    <w:rsid w:val="0027334D"/>
    <w:rsid w:val="0027594D"/>
    <w:rsid w:val="00277B2F"/>
    <w:rsid w:val="002835F5"/>
    <w:rsid w:val="00283A6E"/>
    <w:rsid w:val="00284BE5"/>
    <w:rsid w:val="00292FFD"/>
    <w:rsid w:val="00295A26"/>
    <w:rsid w:val="002A0E3B"/>
    <w:rsid w:val="002A2078"/>
    <w:rsid w:val="002A28D2"/>
    <w:rsid w:val="002A5393"/>
    <w:rsid w:val="002A7AE8"/>
    <w:rsid w:val="002B27E5"/>
    <w:rsid w:val="002B5A20"/>
    <w:rsid w:val="002C4A42"/>
    <w:rsid w:val="002D0091"/>
    <w:rsid w:val="002D38EC"/>
    <w:rsid w:val="002D4BE6"/>
    <w:rsid w:val="002D6083"/>
    <w:rsid w:val="002D73AC"/>
    <w:rsid w:val="002E5925"/>
    <w:rsid w:val="002F292A"/>
    <w:rsid w:val="002F36CF"/>
    <w:rsid w:val="002F5586"/>
    <w:rsid w:val="002F6B80"/>
    <w:rsid w:val="002F6C82"/>
    <w:rsid w:val="002F6FF7"/>
    <w:rsid w:val="00302875"/>
    <w:rsid w:val="003029E8"/>
    <w:rsid w:val="0030305D"/>
    <w:rsid w:val="003044A4"/>
    <w:rsid w:val="00305BE4"/>
    <w:rsid w:val="0031114E"/>
    <w:rsid w:val="00311B2D"/>
    <w:rsid w:val="00312BD5"/>
    <w:rsid w:val="00314A4B"/>
    <w:rsid w:val="00314AFD"/>
    <w:rsid w:val="0031502C"/>
    <w:rsid w:val="00317571"/>
    <w:rsid w:val="00322926"/>
    <w:rsid w:val="00335D87"/>
    <w:rsid w:val="00340C5D"/>
    <w:rsid w:val="003446D8"/>
    <w:rsid w:val="00345AB7"/>
    <w:rsid w:val="00346046"/>
    <w:rsid w:val="00347B1E"/>
    <w:rsid w:val="00353C72"/>
    <w:rsid w:val="00354697"/>
    <w:rsid w:val="003554CA"/>
    <w:rsid w:val="00356037"/>
    <w:rsid w:val="00356617"/>
    <w:rsid w:val="00362BD1"/>
    <w:rsid w:val="0036640F"/>
    <w:rsid w:val="003674C9"/>
    <w:rsid w:val="0037279F"/>
    <w:rsid w:val="00372F3B"/>
    <w:rsid w:val="00372FCC"/>
    <w:rsid w:val="00373717"/>
    <w:rsid w:val="00374F9E"/>
    <w:rsid w:val="003770DF"/>
    <w:rsid w:val="0037740E"/>
    <w:rsid w:val="003813A4"/>
    <w:rsid w:val="00382219"/>
    <w:rsid w:val="0038419C"/>
    <w:rsid w:val="00386AFB"/>
    <w:rsid w:val="0039038E"/>
    <w:rsid w:val="00391D64"/>
    <w:rsid w:val="00392B48"/>
    <w:rsid w:val="003936E9"/>
    <w:rsid w:val="0039497B"/>
    <w:rsid w:val="003955A0"/>
    <w:rsid w:val="00395F27"/>
    <w:rsid w:val="003A0989"/>
    <w:rsid w:val="003A3D78"/>
    <w:rsid w:val="003A47DE"/>
    <w:rsid w:val="003A4F0B"/>
    <w:rsid w:val="003B0031"/>
    <w:rsid w:val="003B0B22"/>
    <w:rsid w:val="003B12FE"/>
    <w:rsid w:val="003B1F48"/>
    <w:rsid w:val="003B2A48"/>
    <w:rsid w:val="003B38C8"/>
    <w:rsid w:val="003B4BD2"/>
    <w:rsid w:val="003B7958"/>
    <w:rsid w:val="003C4693"/>
    <w:rsid w:val="003C510F"/>
    <w:rsid w:val="003C5F52"/>
    <w:rsid w:val="003D12B8"/>
    <w:rsid w:val="003D27FF"/>
    <w:rsid w:val="003D2B54"/>
    <w:rsid w:val="003D31DC"/>
    <w:rsid w:val="003D413A"/>
    <w:rsid w:val="003D4F3B"/>
    <w:rsid w:val="003D7DBF"/>
    <w:rsid w:val="003E14BB"/>
    <w:rsid w:val="003E3265"/>
    <w:rsid w:val="003F0A2D"/>
    <w:rsid w:val="003F3552"/>
    <w:rsid w:val="003F445A"/>
    <w:rsid w:val="003F7494"/>
    <w:rsid w:val="004004E5"/>
    <w:rsid w:val="00400555"/>
    <w:rsid w:val="00400AE9"/>
    <w:rsid w:val="004071D4"/>
    <w:rsid w:val="004104ED"/>
    <w:rsid w:val="00413AC1"/>
    <w:rsid w:val="0041648B"/>
    <w:rsid w:val="00420876"/>
    <w:rsid w:val="00425D20"/>
    <w:rsid w:val="00430489"/>
    <w:rsid w:val="004348A6"/>
    <w:rsid w:val="004366FE"/>
    <w:rsid w:val="00437776"/>
    <w:rsid w:val="004442B5"/>
    <w:rsid w:val="00444778"/>
    <w:rsid w:val="00447062"/>
    <w:rsid w:val="004474FA"/>
    <w:rsid w:val="00450E6C"/>
    <w:rsid w:val="004527EA"/>
    <w:rsid w:val="004611DD"/>
    <w:rsid w:val="0046291D"/>
    <w:rsid w:val="0046431B"/>
    <w:rsid w:val="004654CB"/>
    <w:rsid w:val="00466557"/>
    <w:rsid w:val="00467AA4"/>
    <w:rsid w:val="004726E1"/>
    <w:rsid w:val="0047363B"/>
    <w:rsid w:val="0047681E"/>
    <w:rsid w:val="004821E1"/>
    <w:rsid w:val="004830B5"/>
    <w:rsid w:val="00483E18"/>
    <w:rsid w:val="0049019B"/>
    <w:rsid w:val="00491BAD"/>
    <w:rsid w:val="00496FA3"/>
    <w:rsid w:val="004A3FBC"/>
    <w:rsid w:val="004A4EA5"/>
    <w:rsid w:val="004A50C3"/>
    <w:rsid w:val="004A5929"/>
    <w:rsid w:val="004A7FF1"/>
    <w:rsid w:val="004B0069"/>
    <w:rsid w:val="004B036A"/>
    <w:rsid w:val="004B1DB6"/>
    <w:rsid w:val="004C02EC"/>
    <w:rsid w:val="004C0737"/>
    <w:rsid w:val="004C0DB5"/>
    <w:rsid w:val="004C5797"/>
    <w:rsid w:val="004C5F27"/>
    <w:rsid w:val="004C617D"/>
    <w:rsid w:val="004D15A7"/>
    <w:rsid w:val="004D2239"/>
    <w:rsid w:val="004D3762"/>
    <w:rsid w:val="004D4EF6"/>
    <w:rsid w:val="004D574D"/>
    <w:rsid w:val="004E037B"/>
    <w:rsid w:val="004E288B"/>
    <w:rsid w:val="004E4E84"/>
    <w:rsid w:val="004E56B0"/>
    <w:rsid w:val="004E6BF4"/>
    <w:rsid w:val="004E7716"/>
    <w:rsid w:val="0050194C"/>
    <w:rsid w:val="005055F8"/>
    <w:rsid w:val="00513B92"/>
    <w:rsid w:val="00513F88"/>
    <w:rsid w:val="00514EA7"/>
    <w:rsid w:val="00524578"/>
    <w:rsid w:val="00526C1B"/>
    <w:rsid w:val="005337A8"/>
    <w:rsid w:val="00533BAF"/>
    <w:rsid w:val="00533C3D"/>
    <w:rsid w:val="00535929"/>
    <w:rsid w:val="00536959"/>
    <w:rsid w:val="00544601"/>
    <w:rsid w:val="00551C93"/>
    <w:rsid w:val="00553DDF"/>
    <w:rsid w:val="00554C3E"/>
    <w:rsid w:val="00555068"/>
    <w:rsid w:val="005576CE"/>
    <w:rsid w:val="00557C1C"/>
    <w:rsid w:val="00560B71"/>
    <w:rsid w:val="00561817"/>
    <w:rsid w:val="00561CED"/>
    <w:rsid w:val="00565E90"/>
    <w:rsid w:val="005667C0"/>
    <w:rsid w:val="005734F0"/>
    <w:rsid w:val="00574CD8"/>
    <w:rsid w:val="00575162"/>
    <w:rsid w:val="00576086"/>
    <w:rsid w:val="0058004E"/>
    <w:rsid w:val="00580B36"/>
    <w:rsid w:val="005842BA"/>
    <w:rsid w:val="00584553"/>
    <w:rsid w:val="005848AB"/>
    <w:rsid w:val="005866A2"/>
    <w:rsid w:val="00590E08"/>
    <w:rsid w:val="00591F6F"/>
    <w:rsid w:val="00592537"/>
    <w:rsid w:val="005929A6"/>
    <w:rsid w:val="00596FE0"/>
    <w:rsid w:val="0059746B"/>
    <w:rsid w:val="005A0A82"/>
    <w:rsid w:val="005A1275"/>
    <w:rsid w:val="005A2D7C"/>
    <w:rsid w:val="005A5464"/>
    <w:rsid w:val="005A6230"/>
    <w:rsid w:val="005A62A1"/>
    <w:rsid w:val="005A75A0"/>
    <w:rsid w:val="005B28E3"/>
    <w:rsid w:val="005B483F"/>
    <w:rsid w:val="005C0424"/>
    <w:rsid w:val="005C606A"/>
    <w:rsid w:val="005D0127"/>
    <w:rsid w:val="005D2C6C"/>
    <w:rsid w:val="005D3860"/>
    <w:rsid w:val="005D3DFF"/>
    <w:rsid w:val="005D55E9"/>
    <w:rsid w:val="005E1F11"/>
    <w:rsid w:val="005E2C7F"/>
    <w:rsid w:val="005F1631"/>
    <w:rsid w:val="005F2965"/>
    <w:rsid w:val="005F45E1"/>
    <w:rsid w:val="005F56C4"/>
    <w:rsid w:val="00600C96"/>
    <w:rsid w:val="006034B2"/>
    <w:rsid w:val="006035B4"/>
    <w:rsid w:val="00610AD1"/>
    <w:rsid w:val="00610F2B"/>
    <w:rsid w:val="0061289F"/>
    <w:rsid w:val="0061471E"/>
    <w:rsid w:val="006163B2"/>
    <w:rsid w:val="0061662F"/>
    <w:rsid w:val="006173FC"/>
    <w:rsid w:val="0062413A"/>
    <w:rsid w:val="006244CE"/>
    <w:rsid w:val="00624C9A"/>
    <w:rsid w:val="0062538A"/>
    <w:rsid w:val="00626066"/>
    <w:rsid w:val="0063087E"/>
    <w:rsid w:val="00631FAA"/>
    <w:rsid w:val="006320DE"/>
    <w:rsid w:val="00632B7A"/>
    <w:rsid w:val="00632F51"/>
    <w:rsid w:val="0063315A"/>
    <w:rsid w:val="00635B68"/>
    <w:rsid w:val="00636CF5"/>
    <w:rsid w:val="00640F39"/>
    <w:rsid w:val="006427B5"/>
    <w:rsid w:val="00642D86"/>
    <w:rsid w:val="00642ED7"/>
    <w:rsid w:val="00643AD7"/>
    <w:rsid w:val="00643C1F"/>
    <w:rsid w:val="0064499C"/>
    <w:rsid w:val="0064521C"/>
    <w:rsid w:val="00645BDF"/>
    <w:rsid w:val="00647FEF"/>
    <w:rsid w:val="00650286"/>
    <w:rsid w:val="006514AE"/>
    <w:rsid w:val="006574EB"/>
    <w:rsid w:val="00657FC6"/>
    <w:rsid w:val="006617E3"/>
    <w:rsid w:val="00662197"/>
    <w:rsid w:val="00662321"/>
    <w:rsid w:val="0066651E"/>
    <w:rsid w:val="00666A99"/>
    <w:rsid w:val="00670E3A"/>
    <w:rsid w:val="00672A0A"/>
    <w:rsid w:val="00674942"/>
    <w:rsid w:val="006749C8"/>
    <w:rsid w:val="006810FA"/>
    <w:rsid w:val="00681E0C"/>
    <w:rsid w:val="00682DF2"/>
    <w:rsid w:val="0068481C"/>
    <w:rsid w:val="00685D4B"/>
    <w:rsid w:val="0069027E"/>
    <w:rsid w:val="00691830"/>
    <w:rsid w:val="0069381E"/>
    <w:rsid w:val="0069448D"/>
    <w:rsid w:val="00697656"/>
    <w:rsid w:val="006A618C"/>
    <w:rsid w:val="006A6A4A"/>
    <w:rsid w:val="006A6CB8"/>
    <w:rsid w:val="006A7114"/>
    <w:rsid w:val="006B2B25"/>
    <w:rsid w:val="006B3F19"/>
    <w:rsid w:val="006B593B"/>
    <w:rsid w:val="006B6A5A"/>
    <w:rsid w:val="006C0BF7"/>
    <w:rsid w:val="006C1B31"/>
    <w:rsid w:val="006C1FA5"/>
    <w:rsid w:val="006C219E"/>
    <w:rsid w:val="006C3871"/>
    <w:rsid w:val="006C58B9"/>
    <w:rsid w:val="006C6D85"/>
    <w:rsid w:val="006C75C9"/>
    <w:rsid w:val="006D01E4"/>
    <w:rsid w:val="006D0D49"/>
    <w:rsid w:val="006D56BE"/>
    <w:rsid w:val="006D6EA9"/>
    <w:rsid w:val="006D6F1C"/>
    <w:rsid w:val="006D6FB7"/>
    <w:rsid w:val="006E012E"/>
    <w:rsid w:val="006E70F6"/>
    <w:rsid w:val="006F0A31"/>
    <w:rsid w:val="006F1E30"/>
    <w:rsid w:val="006F49C7"/>
    <w:rsid w:val="00700A20"/>
    <w:rsid w:val="00701659"/>
    <w:rsid w:val="00701F74"/>
    <w:rsid w:val="007027BC"/>
    <w:rsid w:val="0070289B"/>
    <w:rsid w:val="007050B7"/>
    <w:rsid w:val="00705640"/>
    <w:rsid w:val="00710ACB"/>
    <w:rsid w:val="007145D5"/>
    <w:rsid w:val="007165C8"/>
    <w:rsid w:val="0071707D"/>
    <w:rsid w:val="00721A77"/>
    <w:rsid w:val="0072360E"/>
    <w:rsid w:val="00724490"/>
    <w:rsid w:val="00726B14"/>
    <w:rsid w:val="00741C01"/>
    <w:rsid w:val="00742B4E"/>
    <w:rsid w:val="00742D9E"/>
    <w:rsid w:val="007469EC"/>
    <w:rsid w:val="00750119"/>
    <w:rsid w:val="0075131C"/>
    <w:rsid w:val="00752CDB"/>
    <w:rsid w:val="007552F5"/>
    <w:rsid w:val="00763616"/>
    <w:rsid w:val="00764C1C"/>
    <w:rsid w:val="0076585F"/>
    <w:rsid w:val="00767E9B"/>
    <w:rsid w:val="0077037D"/>
    <w:rsid w:val="00770524"/>
    <w:rsid w:val="00770A2C"/>
    <w:rsid w:val="0077140E"/>
    <w:rsid w:val="00772BD2"/>
    <w:rsid w:val="00773337"/>
    <w:rsid w:val="007758EB"/>
    <w:rsid w:val="00775B95"/>
    <w:rsid w:val="00781353"/>
    <w:rsid w:val="00787CE7"/>
    <w:rsid w:val="007944B2"/>
    <w:rsid w:val="007948EC"/>
    <w:rsid w:val="00796E1C"/>
    <w:rsid w:val="0079787B"/>
    <w:rsid w:val="007A16FA"/>
    <w:rsid w:val="007A23E4"/>
    <w:rsid w:val="007A3294"/>
    <w:rsid w:val="007A3CAD"/>
    <w:rsid w:val="007A705B"/>
    <w:rsid w:val="007B2BC3"/>
    <w:rsid w:val="007B3B0E"/>
    <w:rsid w:val="007B4975"/>
    <w:rsid w:val="007B564D"/>
    <w:rsid w:val="007C37DD"/>
    <w:rsid w:val="007C3E4B"/>
    <w:rsid w:val="007C5980"/>
    <w:rsid w:val="007C5D7C"/>
    <w:rsid w:val="007C6E04"/>
    <w:rsid w:val="007C7C33"/>
    <w:rsid w:val="007D141A"/>
    <w:rsid w:val="007D30F9"/>
    <w:rsid w:val="007D3EAA"/>
    <w:rsid w:val="007D61C6"/>
    <w:rsid w:val="007D741A"/>
    <w:rsid w:val="007E0477"/>
    <w:rsid w:val="007E18F9"/>
    <w:rsid w:val="007E3376"/>
    <w:rsid w:val="007E3D33"/>
    <w:rsid w:val="007E4F56"/>
    <w:rsid w:val="007E5D00"/>
    <w:rsid w:val="007F28A6"/>
    <w:rsid w:val="007F2EC4"/>
    <w:rsid w:val="007F3382"/>
    <w:rsid w:val="00802675"/>
    <w:rsid w:val="00804E85"/>
    <w:rsid w:val="00805870"/>
    <w:rsid w:val="008120B3"/>
    <w:rsid w:val="008136F3"/>
    <w:rsid w:val="008141E9"/>
    <w:rsid w:val="00821103"/>
    <w:rsid w:val="008233D5"/>
    <w:rsid w:val="00823827"/>
    <w:rsid w:val="0083220C"/>
    <w:rsid w:val="00840431"/>
    <w:rsid w:val="0084225D"/>
    <w:rsid w:val="00843609"/>
    <w:rsid w:val="0084367C"/>
    <w:rsid w:val="008438AA"/>
    <w:rsid w:val="00844F77"/>
    <w:rsid w:val="00846AEF"/>
    <w:rsid w:val="0085222F"/>
    <w:rsid w:val="008556B4"/>
    <w:rsid w:val="0086638F"/>
    <w:rsid w:val="00871F40"/>
    <w:rsid w:val="00874ED8"/>
    <w:rsid w:val="00881F67"/>
    <w:rsid w:val="008825A6"/>
    <w:rsid w:val="0088712D"/>
    <w:rsid w:val="008950FF"/>
    <w:rsid w:val="00896622"/>
    <w:rsid w:val="00896936"/>
    <w:rsid w:val="008A582F"/>
    <w:rsid w:val="008A6397"/>
    <w:rsid w:val="008A6691"/>
    <w:rsid w:val="008B0D2F"/>
    <w:rsid w:val="008B5150"/>
    <w:rsid w:val="008C01CB"/>
    <w:rsid w:val="008C1ED4"/>
    <w:rsid w:val="008C208B"/>
    <w:rsid w:val="008D06C6"/>
    <w:rsid w:val="008D1C4A"/>
    <w:rsid w:val="008D2C71"/>
    <w:rsid w:val="008D2D30"/>
    <w:rsid w:val="008D591B"/>
    <w:rsid w:val="008D5ACA"/>
    <w:rsid w:val="008D5AF1"/>
    <w:rsid w:val="008D68DC"/>
    <w:rsid w:val="008D6B34"/>
    <w:rsid w:val="008E16D4"/>
    <w:rsid w:val="008E564F"/>
    <w:rsid w:val="008E7E24"/>
    <w:rsid w:val="008F4064"/>
    <w:rsid w:val="008F48E7"/>
    <w:rsid w:val="00902204"/>
    <w:rsid w:val="0090772F"/>
    <w:rsid w:val="00910720"/>
    <w:rsid w:val="0091501E"/>
    <w:rsid w:val="00915201"/>
    <w:rsid w:val="00920AD0"/>
    <w:rsid w:val="009264E0"/>
    <w:rsid w:val="00932335"/>
    <w:rsid w:val="009368FA"/>
    <w:rsid w:val="009479A7"/>
    <w:rsid w:val="009504AF"/>
    <w:rsid w:val="00952A65"/>
    <w:rsid w:val="00954252"/>
    <w:rsid w:val="00955BFB"/>
    <w:rsid w:val="00956BEA"/>
    <w:rsid w:val="00956C42"/>
    <w:rsid w:val="0095714C"/>
    <w:rsid w:val="00957947"/>
    <w:rsid w:val="009606AC"/>
    <w:rsid w:val="00962320"/>
    <w:rsid w:val="00965B6A"/>
    <w:rsid w:val="00971C1B"/>
    <w:rsid w:val="0097348A"/>
    <w:rsid w:val="00973C85"/>
    <w:rsid w:val="0097565B"/>
    <w:rsid w:val="00976ECC"/>
    <w:rsid w:val="00983227"/>
    <w:rsid w:val="00994305"/>
    <w:rsid w:val="009958B4"/>
    <w:rsid w:val="00996273"/>
    <w:rsid w:val="009962DE"/>
    <w:rsid w:val="009A2DF4"/>
    <w:rsid w:val="009A35C2"/>
    <w:rsid w:val="009A4C54"/>
    <w:rsid w:val="009B1DF9"/>
    <w:rsid w:val="009B569D"/>
    <w:rsid w:val="009B5C82"/>
    <w:rsid w:val="009C1D81"/>
    <w:rsid w:val="009C225D"/>
    <w:rsid w:val="009C6258"/>
    <w:rsid w:val="009C6283"/>
    <w:rsid w:val="009C64C2"/>
    <w:rsid w:val="009C653F"/>
    <w:rsid w:val="009C6F5C"/>
    <w:rsid w:val="009D60B5"/>
    <w:rsid w:val="009E6123"/>
    <w:rsid w:val="009F11D3"/>
    <w:rsid w:val="009F482B"/>
    <w:rsid w:val="009F4A7B"/>
    <w:rsid w:val="009F56E1"/>
    <w:rsid w:val="009F6C4C"/>
    <w:rsid w:val="00A0092D"/>
    <w:rsid w:val="00A016F3"/>
    <w:rsid w:val="00A022F3"/>
    <w:rsid w:val="00A0283D"/>
    <w:rsid w:val="00A02980"/>
    <w:rsid w:val="00A066F3"/>
    <w:rsid w:val="00A07921"/>
    <w:rsid w:val="00A113DC"/>
    <w:rsid w:val="00A11BE2"/>
    <w:rsid w:val="00A1310E"/>
    <w:rsid w:val="00A135DE"/>
    <w:rsid w:val="00A16153"/>
    <w:rsid w:val="00A17CE4"/>
    <w:rsid w:val="00A21578"/>
    <w:rsid w:val="00A21E52"/>
    <w:rsid w:val="00A23303"/>
    <w:rsid w:val="00A23B71"/>
    <w:rsid w:val="00A25EAA"/>
    <w:rsid w:val="00A267FD"/>
    <w:rsid w:val="00A27950"/>
    <w:rsid w:val="00A31CC1"/>
    <w:rsid w:val="00A33F5E"/>
    <w:rsid w:val="00A35DF5"/>
    <w:rsid w:val="00A40181"/>
    <w:rsid w:val="00A422A6"/>
    <w:rsid w:val="00A43E92"/>
    <w:rsid w:val="00A479F1"/>
    <w:rsid w:val="00A52827"/>
    <w:rsid w:val="00A531E8"/>
    <w:rsid w:val="00A54EA3"/>
    <w:rsid w:val="00A64154"/>
    <w:rsid w:val="00A65142"/>
    <w:rsid w:val="00A65A4B"/>
    <w:rsid w:val="00A6635D"/>
    <w:rsid w:val="00A667A9"/>
    <w:rsid w:val="00A72BC5"/>
    <w:rsid w:val="00A74953"/>
    <w:rsid w:val="00A775D5"/>
    <w:rsid w:val="00A81BCE"/>
    <w:rsid w:val="00A82225"/>
    <w:rsid w:val="00A83935"/>
    <w:rsid w:val="00A84A73"/>
    <w:rsid w:val="00A87EDD"/>
    <w:rsid w:val="00A90672"/>
    <w:rsid w:val="00A91803"/>
    <w:rsid w:val="00A93CEC"/>
    <w:rsid w:val="00AA5494"/>
    <w:rsid w:val="00AA5C9E"/>
    <w:rsid w:val="00AA6979"/>
    <w:rsid w:val="00AA74D4"/>
    <w:rsid w:val="00AB0031"/>
    <w:rsid w:val="00AB29FC"/>
    <w:rsid w:val="00AB2AFB"/>
    <w:rsid w:val="00AB3D54"/>
    <w:rsid w:val="00AC212E"/>
    <w:rsid w:val="00AC5156"/>
    <w:rsid w:val="00AD0087"/>
    <w:rsid w:val="00AD0A32"/>
    <w:rsid w:val="00AD27B6"/>
    <w:rsid w:val="00AD3344"/>
    <w:rsid w:val="00AD4795"/>
    <w:rsid w:val="00AD5715"/>
    <w:rsid w:val="00AE4D5F"/>
    <w:rsid w:val="00AE6D4E"/>
    <w:rsid w:val="00AF1855"/>
    <w:rsid w:val="00AF63F0"/>
    <w:rsid w:val="00B00B2F"/>
    <w:rsid w:val="00B00CDB"/>
    <w:rsid w:val="00B05990"/>
    <w:rsid w:val="00B05B47"/>
    <w:rsid w:val="00B1638F"/>
    <w:rsid w:val="00B17FAF"/>
    <w:rsid w:val="00B202B8"/>
    <w:rsid w:val="00B21B00"/>
    <w:rsid w:val="00B220FF"/>
    <w:rsid w:val="00B24EF5"/>
    <w:rsid w:val="00B25849"/>
    <w:rsid w:val="00B264F4"/>
    <w:rsid w:val="00B33CAB"/>
    <w:rsid w:val="00B342CD"/>
    <w:rsid w:val="00B34315"/>
    <w:rsid w:val="00B3463E"/>
    <w:rsid w:val="00B40DD1"/>
    <w:rsid w:val="00B41D12"/>
    <w:rsid w:val="00B4652A"/>
    <w:rsid w:val="00B511B9"/>
    <w:rsid w:val="00B51AF7"/>
    <w:rsid w:val="00B5200E"/>
    <w:rsid w:val="00B52922"/>
    <w:rsid w:val="00B540EB"/>
    <w:rsid w:val="00B55108"/>
    <w:rsid w:val="00B60015"/>
    <w:rsid w:val="00B6079D"/>
    <w:rsid w:val="00B614BD"/>
    <w:rsid w:val="00B6269B"/>
    <w:rsid w:val="00B6649D"/>
    <w:rsid w:val="00B70C4A"/>
    <w:rsid w:val="00B75B8E"/>
    <w:rsid w:val="00B8030F"/>
    <w:rsid w:val="00B8527D"/>
    <w:rsid w:val="00B86698"/>
    <w:rsid w:val="00B86D2A"/>
    <w:rsid w:val="00BA3779"/>
    <w:rsid w:val="00BA5837"/>
    <w:rsid w:val="00BB00C4"/>
    <w:rsid w:val="00BB0958"/>
    <w:rsid w:val="00BB18E9"/>
    <w:rsid w:val="00BB269B"/>
    <w:rsid w:val="00BB4FE7"/>
    <w:rsid w:val="00BB55C0"/>
    <w:rsid w:val="00BB631C"/>
    <w:rsid w:val="00BB667A"/>
    <w:rsid w:val="00BB77C7"/>
    <w:rsid w:val="00BC257E"/>
    <w:rsid w:val="00BC7300"/>
    <w:rsid w:val="00BD26F7"/>
    <w:rsid w:val="00BD6ACD"/>
    <w:rsid w:val="00BE1C0D"/>
    <w:rsid w:val="00BE43FD"/>
    <w:rsid w:val="00BE4EB9"/>
    <w:rsid w:val="00BE5C30"/>
    <w:rsid w:val="00BE7488"/>
    <w:rsid w:val="00BF243D"/>
    <w:rsid w:val="00BF32CC"/>
    <w:rsid w:val="00BF44AD"/>
    <w:rsid w:val="00BF579A"/>
    <w:rsid w:val="00C01F32"/>
    <w:rsid w:val="00C04339"/>
    <w:rsid w:val="00C04A94"/>
    <w:rsid w:val="00C04B1D"/>
    <w:rsid w:val="00C05078"/>
    <w:rsid w:val="00C054DE"/>
    <w:rsid w:val="00C055A1"/>
    <w:rsid w:val="00C070A0"/>
    <w:rsid w:val="00C10671"/>
    <w:rsid w:val="00C124E8"/>
    <w:rsid w:val="00C1261D"/>
    <w:rsid w:val="00C16D02"/>
    <w:rsid w:val="00C2038D"/>
    <w:rsid w:val="00C22901"/>
    <w:rsid w:val="00C264BD"/>
    <w:rsid w:val="00C312C4"/>
    <w:rsid w:val="00C3240F"/>
    <w:rsid w:val="00C33A29"/>
    <w:rsid w:val="00C3562A"/>
    <w:rsid w:val="00C3616E"/>
    <w:rsid w:val="00C36B8B"/>
    <w:rsid w:val="00C3795F"/>
    <w:rsid w:val="00C4250E"/>
    <w:rsid w:val="00C42998"/>
    <w:rsid w:val="00C45204"/>
    <w:rsid w:val="00C46554"/>
    <w:rsid w:val="00C50FBD"/>
    <w:rsid w:val="00C50FF4"/>
    <w:rsid w:val="00C5104E"/>
    <w:rsid w:val="00C5160B"/>
    <w:rsid w:val="00C51666"/>
    <w:rsid w:val="00C53C09"/>
    <w:rsid w:val="00C53D99"/>
    <w:rsid w:val="00C540A0"/>
    <w:rsid w:val="00C54171"/>
    <w:rsid w:val="00C574C9"/>
    <w:rsid w:val="00C60E76"/>
    <w:rsid w:val="00C620D5"/>
    <w:rsid w:val="00C64210"/>
    <w:rsid w:val="00C65AB9"/>
    <w:rsid w:val="00C7235B"/>
    <w:rsid w:val="00C76694"/>
    <w:rsid w:val="00C80B46"/>
    <w:rsid w:val="00C87B96"/>
    <w:rsid w:val="00C90DBD"/>
    <w:rsid w:val="00C9445A"/>
    <w:rsid w:val="00CA47D5"/>
    <w:rsid w:val="00CA71A4"/>
    <w:rsid w:val="00CA769B"/>
    <w:rsid w:val="00CB1932"/>
    <w:rsid w:val="00CB357E"/>
    <w:rsid w:val="00CB550E"/>
    <w:rsid w:val="00CB5850"/>
    <w:rsid w:val="00CB5EFB"/>
    <w:rsid w:val="00CB6267"/>
    <w:rsid w:val="00CB7180"/>
    <w:rsid w:val="00CC011D"/>
    <w:rsid w:val="00CC13EA"/>
    <w:rsid w:val="00CC2AA8"/>
    <w:rsid w:val="00CC6BB8"/>
    <w:rsid w:val="00CC72E1"/>
    <w:rsid w:val="00CD12DE"/>
    <w:rsid w:val="00CD4D50"/>
    <w:rsid w:val="00CD5DE5"/>
    <w:rsid w:val="00CD7488"/>
    <w:rsid w:val="00CD7E8E"/>
    <w:rsid w:val="00CE09FF"/>
    <w:rsid w:val="00CE4C41"/>
    <w:rsid w:val="00CE6C5B"/>
    <w:rsid w:val="00CF2F7B"/>
    <w:rsid w:val="00CF3F47"/>
    <w:rsid w:val="00CF59F3"/>
    <w:rsid w:val="00CF6220"/>
    <w:rsid w:val="00CF6BD8"/>
    <w:rsid w:val="00D017B5"/>
    <w:rsid w:val="00D02383"/>
    <w:rsid w:val="00D02797"/>
    <w:rsid w:val="00D06EA3"/>
    <w:rsid w:val="00D1117F"/>
    <w:rsid w:val="00D1127D"/>
    <w:rsid w:val="00D11389"/>
    <w:rsid w:val="00D12B5C"/>
    <w:rsid w:val="00D136E7"/>
    <w:rsid w:val="00D1590B"/>
    <w:rsid w:val="00D20BC9"/>
    <w:rsid w:val="00D210BA"/>
    <w:rsid w:val="00D219CD"/>
    <w:rsid w:val="00D21F08"/>
    <w:rsid w:val="00D22126"/>
    <w:rsid w:val="00D23948"/>
    <w:rsid w:val="00D24005"/>
    <w:rsid w:val="00D24E8E"/>
    <w:rsid w:val="00D24F02"/>
    <w:rsid w:val="00D24FEA"/>
    <w:rsid w:val="00D25198"/>
    <w:rsid w:val="00D30755"/>
    <w:rsid w:val="00D307D3"/>
    <w:rsid w:val="00D3091E"/>
    <w:rsid w:val="00D30B26"/>
    <w:rsid w:val="00D32542"/>
    <w:rsid w:val="00D346BE"/>
    <w:rsid w:val="00D42929"/>
    <w:rsid w:val="00D44D84"/>
    <w:rsid w:val="00D44E30"/>
    <w:rsid w:val="00D4555F"/>
    <w:rsid w:val="00D46995"/>
    <w:rsid w:val="00D50AC6"/>
    <w:rsid w:val="00D514AB"/>
    <w:rsid w:val="00D57034"/>
    <w:rsid w:val="00D60128"/>
    <w:rsid w:val="00D614A7"/>
    <w:rsid w:val="00D61FD1"/>
    <w:rsid w:val="00D6480E"/>
    <w:rsid w:val="00D64E31"/>
    <w:rsid w:val="00D67C64"/>
    <w:rsid w:val="00D71ED6"/>
    <w:rsid w:val="00D7262F"/>
    <w:rsid w:val="00D745C7"/>
    <w:rsid w:val="00D81233"/>
    <w:rsid w:val="00D81625"/>
    <w:rsid w:val="00D9238D"/>
    <w:rsid w:val="00D95B46"/>
    <w:rsid w:val="00D97F7B"/>
    <w:rsid w:val="00DA0776"/>
    <w:rsid w:val="00DA53BA"/>
    <w:rsid w:val="00DA66F9"/>
    <w:rsid w:val="00DA702B"/>
    <w:rsid w:val="00DB0625"/>
    <w:rsid w:val="00DB069C"/>
    <w:rsid w:val="00DB0981"/>
    <w:rsid w:val="00DB3D10"/>
    <w:rsid w:val="00DB41FB"/>
    <w:rsid w:val="00DB46D5"/>
    <w:rsid w:val="00DB683D"/>
    <w:rsid w:val="00DC79B2"/>
    <w:rsid w:val="00DD4504"/>
    <w:rsid w:val="00DD4FD8"/>
    <w:rsid w:val="00DE0A44"/>
    <w:rsid w:val="00DE128F"/>
    <w:rsid w:val="00DE282C"/>
    <w:rsid w:val="00DE2BBA"/>
    <w:rsid w:val="00DE2CB6"/>
    <w:rsid w:val="00DE3187"/>
    <w:rsid w:val="00DE5119"/>
    <w:rsid w:val="00DE5652"/>
    <w:rsid w:val="00DE6730"/>
    <w:rsid w:val="00DF3295"/>
    <w:rsid w:val="00DF68B6"/>
    <w:rsid w:val="00DF7285"/>
    <w:rsid w:val="00E0009B"/>
    <w:rsid w:val="00E00987"/>
    <w:rsid w:val="00E027BD"/>
    <w:rsid w:val="00E02A2D"/>
    <w:rsid w:val="00E101AF"/>
    <w:rsid w:val="00E13626"/>
    <w:rsid w:val="00E14976"/>
    <w:rsid w:val="00E1523D"/>
    <w:rsid w:val="00E177AF"/>
    <w:rsid w:val="00E2024F"/>
    <w:rsid w:val="00E228E1"/>
    <w:rsid w:val="00E3322B"/>
    <w:rsid w:val="00E3369D"/>
    <w:rsid w:val="00E36E9A"/>
    <w:rsid w:val="00E4232A"/>
    <w:rsid w:val="00E42F4D"/>
    <w:rsid w:val="00E45783"/>
    <w:rsid w:val="00E50D4A"/>
    <w:rsid w:val="00E513AA"/>
    <w:rsid w:val="00E52F44"/>
    <w:rsid w:val="00E56839"/>
    <w:rsid w:val="00E56B7A"/>
    <w:rsid w:val="00E60B60"/>
    <w:rsid w:val="00E61FC0"/>
    <w:rsid w:val="00E629B5"/>
    <w:rsid w:val="00E638EB"/>
    <w:rsid w:val="00E656DB"/>
    <w:rsid w:val="00E659A1"/>
    <w:rsid w:val="00E70F4C"/>
    <w:rsid w:val="00E71908"/>
    <w:rsid w:val="00E726E1"/>
    <w:rsid w:val="00E75C01"/>
    <w:rsid w:val="00E769C2"/>
    <w:rsid w:val="00E817D5"/>
    <w:rsid w:val="00E81B66"/>
    <w:rsid w:val="00E85F9D"/>
    <w:rsid w:val="00E87D6B"/>
    <w:rsid w:val="00E90098"/>
    <w:rsid w:val="00E9041D"/>
    <w:rsid w:val="00E90A19"/>
    <w:rsid w:val="00E91179"/>
    <w:rsid w:val="00E91D34"/>
    <w:rsid w:val="00E91FA4"/>
    <w:rsid w:val="00E92960"/>
    <w:rsid w:val="00E9319B"/>
    <w:rsid w:val="00EA0765"/>
    <w:rsid w:val="00EA0B57"/>
    <w:rsid w:val="00EA0D09"/>
    <w:rsid w:val="00EA5FB2"/>
    <w:rsid w:val="00EA7326"/>
    <w:rsid w:val="00EB5D7C"/>
    <w:rsid w:val="00EC0129"/>
    <w:rsid w:val="00EC1D41"/>
    <w:rsid w:val="00EC3A86"/>
    <w:rsid w:val="00EC46A7"/>
    <w:rsid w:val="00EC5995"/>
    <w:rsid w:val="00ED0651"/>
    <w:rsid w:val="00ED157C"/>
    <w:rsid w:val="00ED3E6F"/>
    <w:rsid w:val="00ED4B26"/>
    <w:rsid w:val="00ED6F31"/>
    <w:rsid w:val="00EE0196"/>
    <w:rsid w:val="00EE0254"/>
    <w:rsid w:val="00EE12A0"/>
    <w:rsid w:val="00EE2BA7"/>
    <w:rsid w:val="00EF010B"/>
    <w:rsid w:val="00EF0495"/>
    <w:rsid w:val="00EF08EE"/>
    <w:rsid w:val="00EF0A2A"/>
    <w:rsid w:val="00EF160D"/>
    <w:rsid w:val="00EF17FD"/>
    <w:rsid w:val="00EF3E2E"/>
    <w:rsid w:val="00EF420D"/>
    <w:rsid w:val="00EF5CED"/>
    <w:rsid w:val="00F0016F"/>
    <w:rsid w:val="00F0034A"/>
    <w:rsid w:val="00F047D0"/>
    <w:rsid w:val="00F04B24"/>
    <w:rsid w:val="00F11562"/>
    <w:rsid w:val="00F13A63"/>
    <w:rsid w:val="00F15DC7"/>
    <w:rsid w:val="00F16828"/>
    <w:rsid w:val="00F169F7"/>
    <w:rsid w:val="00F16DE9"/>
    <w:rsid w:val="00F20615"/>
    <w:rsid w:val="00F215BC"/>
    <w:rsid w:val="00F24C89"/>
    <w:rsid w:val="00F24D8A"/>
    <w:rsid w:val="00F269E5"/>
    <w:rsid w:val="00F2716D"/>
    <w:rsid w:val="00F27C0A"/>
    <w:rsid w:val="00F33549"/>
    <w:rsid w:val="00F33DB5"/>
    <w:rsid w:val="00F33EBF"/>
    <w:rsid w:val="00F34076"/>
    <w:rsid w:val="00F356B9"/>
    <w:rsid w:val="00F40CC0"/>
    <w:rsid w:val="00F413EE"/>
    <w:rsid w:val="00F41C79"/>
    <w:rsid w:val="00F43896"/>
    <w:rsid w:val="00F445B3"/>
    <w:rsid w:val="00F454E9"/>
    <w:rsid w:val="00F45FC1"/>
    <w:rsid w:val="00F461B9"/>
    <w:rsid w:val="00F46406"/>
    <w:rsid w:val="00F47A82"/>
    <w:rsid w:val="00F52107"/>
    <w:rsid w:val="00F55E0E"/>
    <w:rsid w:val="00F628CA"/>
    <w:rsid w:val="00F63CF6"/>
    <w:rsid w:val="00F642D1"/>
    <w:rsid w:val="00F65B0E"/>
    <w:rsid w:val="00F704E7"/>
    <w:rsid w:val="00F718C8"/>
    <w:rsid w:val="00F722E6"/>
    <w:rsid w:val="00F75CEE"/>
    <w:rsid w:val="00F76416"/>
    <w:rsid w:val="00F7688D"/>
    <w:rsid w:val="00F76EEC"/>
    <w:rsid w:val="00F77150"/>
    <w:rsid w:val="00F8333C"/>
    <w:rsid w:val="00F83D2E"/>
    <w:rsid w:val="00F868B1"/>
    <w:rsid w:val="00F878EF"/>
    <w:rsid w:val="00F913F3"/>
    <w:rsid w:val="00F9384F"/>
    <w:rsid w:val="00F942E4"/>
    <w:rsid w:val="00F960A6"/>
    <w:rsid w:val="00F9692D"/>
    <w:rsid w:val="00F96F53"/>
    <w:rsid w:val="00FA00B4"/>
    <w:rsid w:val="00FA1FAB"/>
    <w:rsid w:val="00FA307B"/>
    <w:rsid w:val="00FA4D58"/>
    <w:rsid w:val="00FB4201"/>
    <w:rsid w:val="00FC0EB6"/>
    <w:rsid w:val="00FC2FF2"/>
    <w:rsid w:val="00FC67FD"/>
    <w:rsid w:val="00FD2774"/>
    <w:rsid w:val="00FD3AEF"/>
    <w:rsid w:val="00FD40D7"/>
    <w:rsid w:val="00FD54FC"/>
    <w:rsid w:val="00FD590A"/>
    <w:rsid w:val="00FD7BC4"/>
    <w:rsid w:val="00FD7C11"/>
    <w:rsid w:val="00FE09B9"/>
    <w:rsid w:val="00FE193C"/>
    <w:rsid w:val="00FE28DF"/>
    <w:rsid w:val="00FE2F5D"/>
    <w:rsid w:val="00FE40D7"/>
    <w:rsid w:val="00FE46D4"/>
    <w:rsid w:val="00FF1174"/>
    <w:rsid w:val="00FF2393"/>
    <w:rsid w:val="00FF2539"/>
    <w:rsid w:val="00FF552F"/>
    <w:rsid w:val="00FF6356"/>
    <w:rsid w:val="00FF7618"/>
    <w:rsid w:val="00FF7951"/>
    <w:rsid w:val="04C279C6"/>
    <w:rsid w:val="0ACB6E78"/>
    <w:rsid w:val="142A5001"/>
    <w:rsid w:val="1F077F2D"/>
    <w:rsid w:val="2D4FCCC3"/>
    <w:rsid w:val="38367464"/>
    <w:rsid w:val="4AE990C3"/>
    <w:rsid w:val="5E63841A"/>
    <w:rsid w:val="64132BB5"/>
    <w:rsid w:val="66D8227F"/>
    <w:rsid w:val="6B997DD6"/>
    <w:rsid w:val="7C07CA28"/>
    <w:rsid w:val="7E284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1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27D"/>
  </w:style>
  <w:style w:type="paragraph" w:styleId="Heading1">
    <w:name w:val="heading 1"/>
    <w:basedOn w:val="Normal"/>
    <w:next w:val="Normal"/>
    <w:link w:val="Heading1Char"/>
    <w:qFormat/>
    <w:rsid w:val="00F269E5"/>
    <w:pPr>
      <w:keepNext/>
      <w:outlineLvl w:val="0"/>
    </w:pPr>
    <w:rPr>
      <w:b/>
      <w:color w:val="000000" w:themeColor="text1"/>
      <w:sz w:val="24"/>
    </w:rPr>
  </w:style>
  <w:style w:type="paragraph" w:styleId="Heading2">
    <w:name w:val="heading 2"/>
    <w:basedOn w:val="Normal"/>
    <w:next w:val="Normal"/>
    <w:link w:val="Heading2Char"/>
    <w:qFormat/>
    <w:rsid w:val="00F269E5"/>
    <w:pPr>
      <w:keepNext/>
      <w:spacing w:before="40"/>
      <w:outlineLvl w:val="1"/>
    </w:pPr>
    <w:rPr>
      <w:b/>
      <w:color w:val="000000" w:themeColor="text1"/>
      <w:sz w:val="24"/>
    </w:rPr>
  </w:style>
  <w:style w:type="paragraph" w:styleId="Heading3">
    <w:name w:val="heading 3"/>
    <w:basedOn w:val="Normal"/>
    <w:next w:val="Normal"/>
    <w:qFormat/>
    <w:rsid w:val="00A16153"/>
    <w:pPr>
      <w:keepNext/>
      <w:spacing w:after="40"/>
      <w:ind w:left="720"/>
      <w:outlineLvl w:val="2"/>
    </w:pPr>
    <w:rPr>
      <w:b/>
      <w:bCs/>
      <w:sz w:val="24"/>
    </w:rPr>
  </w:style>
  <w:style w:type="paragraph" w:styleId="Heading4">
    <w:name w:val="heading 4"/>
    <w:basedOn w:val="Normal"/>
    <w:next w:val="Normal"/>
    <w:qFormat/>
    <w:rsid w:val="00A16153"/>
    <w:pPr>
      <w:keepNext/>
      <w:spacing w:after="80"/>
      <w:ind w:left="720"/>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LForLF">
    <w:name w:val="NLF or LF"/>
    <w:basedOn w:val="BodyText-WD"/>
    <w:rsid w:val="00F269E5"/>
    <w:pPr>
      <w:ind w:hanging="720"/>
    </w:pPr>
  </w:style>
  <w:style w:type="paragraph" w:styleId="Header">
    <w:name w:val="header"/>
    <w:basedOn w:val="Normal"/>
    <w:link w:val="HeaderChar"/>
    <w:unhideWhenUsed/>
    <w:rsid w:val="0064521C"/>
    <w:pPr>
      <w:tabs>
        <w:tab w:val="center" w:pos="4680"/>
        <w:tab w:val="right" w:pos="9360"/>
      </w:tabs>
    </w:pPr>
  </w:style>
  <w:style w:type="character" w:customStyle="1" w:styleId="HeaderChar">
    <w:name w:val="Header Char"/>
    <w:basedOn w:val="DefaultParagraphFont"/>
    <w:link w:val="Header"/>
    <w:rsid w:val="0064521C"/>
  </w:style>
  <w:style w:type="paragraph" w:styleId="Footer">
    <w:name w:val="footer"/>
    <w:basedOn w:val="Normal"/>
    <w:rsid w:val="00F269E5"/>
    <w:pPr>
      <w:tabs>
        <w:tab w:val="center" w:pos="4320"/>
        <w:tab w:val="right" w:pos="8640"/>
      </w:tabs>
    </w:pPr>
    <w:rPr>
      <w:sz w:val="24"/>
    </w:rPr>
  </w:style>
  <w:style w:type="character" w:styleId="PageNumber">
    <w:name w:val="page number"/>
    <w:basedOn w:val="DefaultParagraphFont"/>
    <w:rsid w:val="00F269E5"/>
    <w:rPr>
      <w:rFonts w:ascii="Times New Roman" w:hAnsi="Times New Roman"/>
      <w:sz w:val="24"/>
    </w:r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paragraph" w:customStyle="1" w:styleId="BodyText-WD">
    <w:name w:val="Body Text - WD"/>
    <w:basedOn w:val="Normal"/>
    <w:rsid w:val="00F269E5"/>
    <w:pPr>
      <w:spacing w:after="200"/>
      <w:ind w:left="720"/>
    </w:pPr>
    <w:rPr>
      <w:sz w:val="24"/>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semiHidden/>
    <w:unhideWhenUsed/>
    <w:rsid w:val="004C5F27"/>
    <w:rPr>
      <w:color w:val="605E5C"/>
      <w:shd w:val="clear" w:color="auto" w:fill="E1DFDD"/>
    </w:rPr>
  </w:style>
  <w:style w:type="paragraph" w:styleId="ListParagraph">
    <w:name w:val="List Paragraph"/>
    <w:basedOn w:val="Normal"/>
    <w:uiPriority w:val="34"/>
    <w:qFormat/>
    <w:rsid w:val="008C1ED4"/>
    <w:pPr>
      <w:widowControl w:val="0"/>
    </w:pPr>
    <w:rPr>
      <w:rFonts w:asciiTheme="minorHAnsi" w:eastAsiaTheme="minorHAnsi" w:hAnsiTheme="minorHAnsi" w:cstheme="minorBidi"/>
      <w:sz w:val="22"/>
      <w:szCs w:val="22"/>
    </w:rPr>
  </w:style>
  <w:style w:type="paragraph" w:customStyle="1" w:styleId="HangingLine">
    <w:name w:val="Hanging Line"/>
    <w:basedOn w:val="Normal"/>
    <w:rsid w:val="00A11BE2"/>
    <w:pPr>
      <w:spacing w:after="200"/>
      <w:ind w:left="1080" w:hanging="360"/>
    </w:pPr>
    <w:rPr>
      <w:sz w:val="24"/>
    </w:rPr>
  </w:style>
  <w:style w:type="paragraph" w:customStyle="1" w:styleId="WDBullets">
    <w:name w:val="WD Bullets"/>
    <w:basedOn w:val="ListParagraph"/>
    <w:qFormat/>
    <w:rsid w:val="00F269E5"/>
    <w:pPr>
      <w:numPr>
        <w:numId w:val="20"/>
      </w:numPr>
      <w:spacing w:after="200"/>
      <w:contextualSpacing/>
    </w:pPr>
    <w:rPr>
      <w:rFonts w:ascii="Times New Roman" w:hAnsi="Times New Roman"/>
      <w:sz w:val="24"/>
    </w:rPr>
  </w:style>
  <w:style w:type="character" w:customStyle="1" w:styleId="Heading1Char">
    <w:name w:val="Heading 1 Char"/>
    <w:basedOn w:val="DefaultParagraphFont"/>
    <w:link w:val="Heading1"/>
    <w:rsid w:val="00F269E5"/>
    <w:rPr>
      <w:b/>
      <w:color w:val="000000" w:themeColor="text1"/>
      <w:sz w:val="24"/>
    </w:rPr>
  </w:style>
  <w:style w:type="character" w:customStyle="1" w:styleId="Heading2Char">
    <w:name w:val="Heading 2 Char"/>
    <w:basedOn w:val="DefaultParagraphFont"/>
    <w:link w:val="Heading2"/>
    <w:rsid w:val="00F269E5"/>
    <w:rPr>
      <w:b/>
      <w:color w:val="000000" w:themeColor="text1"/>
      <w:sz w:val="24"/>
    </w:rPr>
  </w:style>
  <w:style w:type="paragraph" w:styleId="Revision">
    <w:name w:val="Revision"/>
    <w:hidden/>
    <w:uiPriority w:val="99"/>
    <w:semiHidden/>
    <w:rsid w:val="003446D8"/>
  </w:style>
  <w:style w:type="character" w:styleId="Mention">
    <w:name w:val="Mention"/>
    <w:basedOn w:val="DefaultParagraphFont"/>
    <w:uiPriority w:val="99"/>
    <w:unhideWhenUsed/>
    <w:rsid w:val="00093B80"/>
    <w:rPr>
      <w:color w:val="2B579A"/>
      <w:shd w:val="clear" w:color="auto" w:fill="E1DFDD"/>
    </w:rPr>
  </w:style>
  <w:style w:type="character" w:styleId="FollowedHyperlink">
    <w:name w:val="FollowedHyperlink"/>
    <w:basedOn w:val="DefaultParagraphFont"/>
    <w:semiHidden/>
    <w:unhideWhenUsed/>
    <w:rsid w:val="001F3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5/subtitle-A/subchapter-A/part-98" TargetMode="External"/><Relationship Id="rId13" Type="http://schemas.openxmlformats.org/officeDocument/2006/relationships/hyperlink" Target="https://txicfw.socialwork.utexas.edu/2024-cost-of-quality-price-modeling-report/" TargetMode="External"/><Relationship Id="rId18" Type="http://schemas.openxmlformats.org/officeDocument/2006/relationships/hyperlink" Target="https://www.twc.texas.gov/programs/child-care/data-reports-plan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txicfw.socialwork.utexas.edu/2025-cost-of-quality-price-modeling-report/" TargetMode="External"/><Relationship Id="rId17" Type="http://schemas.openxmlformats.org/officeDocument/2006/relationships/hyperlink" Target="mailto:childcare.programassistance@twc.texas.gov" TargetMode="External"/><Relationship Id="rId2" Type="http://schemas.openxmlformats.org/officeDocument/2006/relationships/styles" Target="styles.xml"/><Relationship Id="rId16" Type="http://schemas.openxmlformats.org/officeDocument/2006/relationships/hyperlink" Target="https://www.twc.texas.gov/sites/default/files/ogc/mtg24/commission-meeting-material-091024-item9-dp-bcy25-cc-minimum-rates-twc.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xicfw.socialwork.utexas.edu/2025-texas-child-care-market-rate-survey/" TargetMode="External"/><Relationship Id="rId5" Type="http://schemas.openxmlformats.org/officeDocument/2006/relationships/footnotes" Target="footnotes.xml"/><Relationship Id="rId15" Type="http://schemas.openxmlformats.org/officeDocument/2006/relationships/hyperlink" Target="https://texas-sos.appianportalsgov.com/rules-and-meetings?recordId=220442&amp;queryAsDate=07%2F14%2F2025&amp;interface=VIEW_TAC_SUMMARY&amp;$locale=en_US" TargetMode="External"/><Relationship Id="rId23" Type="http://schemas.openxmlformats.org/officeDocument/2006/relationships/theme" Target="theme/theme1.xml"/><Relationship Id="rId10" Type="http://schemas.openxmlformats.org/officeDocument/2006/relationships/hyperlink" Target="https://texas-sos.appianportalsgov.com/rules-and-meetings?$locale=en_US&amp;interface=VIEW_TAC_SUMMARY&amp;queryAsDate=07%2F14%2F2025&amp;recordId=220442" TargetMode="External"/><Relationship Id="rId19" Type="http://schemas.openxmlformats.org/officeDocument/2006/relationships/hyperlink" Target="mailto:childcare.programassistance@twc.texas.gov" TargetMode="External"/><Relationship Id="rId4" Type="http://schemas.openxmlformats.org/officeDocument/2006/relationships/webSettings" Target="webSettings.xml"/><Relationship Id="rId9" Type="http://schemas.openxmlformats.org/officeDocument/2006/relationships/hyperlink" Target="https://www.acf.hhs.gov/occ/policy-guidance/ccdf-acf-pi-2018-01" TargetMode="External"/><Relationship Id="rId14" Type="http://schemas.openxmlformats.org/officeDocument/2006/relationships/hyperlink" Target="https://www.bing.com/ck/a?!&amp;&amp;p=c0a60e1a3a7ec6b681cee266090e951a27d9e14dfc52cf725ea1cb0e77d32b89JmltdHM9MTc1NjQyNTYwMA&amp;ptn=3&amp;ver=2&amp;hsh=4&amp;fclid=122d36cf-9e5d-63ce-090a-220b9fc862ef&amp;u=a1aHR0cHM6Ly9zdGF0aXN0aWNzYnlqaW0uY29tL2Jhc2ljcy9wZXJjZW50aWxlcy8&amp;ntb=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Links>
    <vt:vector size="84" baseType="variant">
      <vt:variant>
        <vt:i4>1310778</vt:i4>
      </vt:variant>
      <vt:variant>
        <vt:i4>36</vt:i4>
      </vt:variant>
      <vt:variant>
        <vt:i4>0</vt:i4>
      </vt:variant>
      <vt:variant>
        <vt:i4>5</vt:i4>
      </vt:variant>
      <vt:variant>
        <vt:lpwstr>mailto:childcare.programassistance@twc.texas.gov</vt:lpwstr>
      </vt:variant>
      <vt:variant>
        <vt:lpwstr/>
      </vt:variant>
      <vt:variant>
        <vt:i4>5046359</vt:i4>
      </vt:variant>
      <vt:variant>
        <vt:i4>33</vt:i4>
      </vt:variant>
      <vt:variant>
        <vt:i4>0</vt:i4>
      </vt:variant>
      <vt:variant>
        <vt:i4>5</vt:i4>
      </vt:variant>
      <vt:variant>
        <vt:lpwstr>https://www.twc.texas.gov/programs/child-care/data-reports-plans</vt:lpwstr>
      </vt:variant>
      <vt:variant>
        <vt:lpwstr/>
      </vt:variant>
      <vt:variant>
        <vt:i4>1310778</vt:i4>
      </vt:variant>
      <vt:variant>
        <vt:i4>30</vt:i4>
      </vt:variant>
      <vt:variant>
        <vt:i4>0</vt:i4>
      </vt:variant>
      <vt:variant>
        <vt:i4>5</vt:i4>
      </vt:variant>
      <vt:variant>
        <vt:lpwstr>mailto:childcare.programassistance@twc.texas.gov</vt:lpwstr>
      </vt:variant>
      <vt:variant>
        <vt:lpwstr/>
      </vt:variant>
      <vt:variant>
        <vt:i4>6488182</vt:i4>
      </vt:variant>
      <vt:variant>
        <vt:i4>27</vt:i4>
      </vt:variant>
      <vt:variant>
        <vt:i4>0</vt:i4>
      </vt:variant>
      <vt:variant>
        <vt:i4>5</vt:i4>
      </vt:variant>
      <vt:variant>
        <vt:lpwstr>https://www.twc.texas.gov/sites/default/files/ogc/mtg24/commission-meeting-material-091024-item9-dp-bcy25-cc-minimum-rates-twc.pdf</vt:lpwstr>
      </vt:variant>
      <vt:variant>
        <vt:lpwstr/>
      </vt:variant>
      <vt:variant>
        <vt:i4>262191</vt:i4>
      </vt:variant>
      <vt:variant>
        <vt:i4>24</vt:i4>
      </vt:variant>
      <vt:variant>
        <vt:i4>0</vt:i4>
      </vt:variant>
      <vt:variant>
        <vt:i4>5</vt:i4>
      </vt:variant>
      <vt:variant>
        <vt:lpwstr>https://texas-sos.appianportalsgov.com/rules-and-meetings?recordId=220442&amp;queryAsDate=07%2F14%2F2025&amp;interface=VIEW_TAC_SUMMARY&amp;$locale=en_US</vt:lpwstr>
      </vt:variant>
      <vt:variant>
        <vt:lpwstr/>
      </vt:variant>
      <vt:variant>
        <vt:i4>1441861</vt:i4>
      </vt:variant>
      <vt:variant>
        <vt:i4>20</vt:i4>
      </vt:variant>
      <vt:variant>
        <vt:i4>0</vt:i4>
      </vt:variant>
      <vt:variant>
        <vt:i4>5</vt:i4>
      </vt:variant>
      <vt:variant>
        <vt:lpwstr>https://www.bing.com/ck/a?!&amp;&amp;p=c0a60e1a3a7ec6b681cee266090e951a27d9e14dfc52cf725ea1cb0e77d32b89JmltdHM9MTc1NjQyNTYwMA&amp;ptn=3&amp;ver=2&amp;hsh=4&amp;fclid=122d36cf-9e5d-63ce-090a-220b9fc862ef&amp;u=a1aHR0cHM6Ly9zdGF0aXN0aWNzYnlqaW0uY29tL2Jhc2ljcy9wZXJjZW50aWxlcy8&amp;ntb=1</vt:lpwstr>
      </vt:variant>
      <vt:variant>
        <vt:lpwstr/>
      </vt:variant>
      <vt:variant>
        <vt:i4>1441861</vt:i4>
      </vt:variant>
      <vt:variant>
        <vt:i4>18</vt:i4>
      </vt:variant>
      <vt:variant>
        <vt:i4>0</vt:i4>
      </vt:variant>
      <vt:variant>
        <vt:i4>5</vt:i4>
      </vt:variant>
      <vt:variant>
        <vt:lpwstr>https://www.bing.com/ck/a?!&amp;&amp;p=c0a60e1a3a7ec6b681cee266090e951a27d9e14dfc52cf725ea1cb0e77d32b89JmltdHM9MTc1NjQyNTYwMA&amp;ptn=3&amp;ver=2&amp;hsh=4&amp;fclid=122d36cf-9e5d-63ce-090a-220b9fc862ef&amp;u=a1aHR0cHM6Ly9zdGF0aXN0aWNzYnlqaW0uY29tL2Jhc2ljcy9wZXJjZW50aWxlcy8&amp;ntb=1</vt:lpwstr>
      </vt:variant>
      <vt:variant>
        <vt:lpwstr/>
      </vt:variant>
      <vt:variant>
        <vt:i4>1769492</vt:i4>
      </vt:variant>
      <vt:variant>
        <vt:i4>15</vt:i4>
      </vt:variant>
      <vt:variant>
        <vt:i4>0</vt:i4>
      </vt:variant>
      <vt:variant>
        <vt:i4>5</vt:i4>
      </vt:variant>
      <vt:variant>
        <vt:lpwstr>https://txicfw.socialwork.utexas.edu/2024-cost-of-quality-price-modeling-report/</vt:lpwstr>
      </vt:variant>
      <vt:variant>
        <vt:lpwstr/>
      </vt:variant>
      <vt:variant>
        <vt:i4>1769493</vt:i4>
      </vt:variant>
      <vt:variant>
        <vt:i4>12</vt:i4>
      </vt:variant>
      <vt:variant>
        <vt:i4>0</vt:i4>
      </vt:variant>
      <vt:variant>
        <vt:i4>5</vt:i4>
      </vt:variant>
      <vt:variant>
        <vt:lpwstr>https://txicfw.socialwork.utexas.edu/2025-cost-of-quality-price-modeling-report/</vt:lpwstr>
      </vt:variant>
      <vt:variant>
        <vt:lpwstr/>
      </vt:variant>
      <vt:variant>
        <vt:i4>7929960</vt:i4>
      </vt:variant>
      <vt:variant>
        <vt:i4>9</vt:i4>
      </vt:variant>
      <vt:variant>
        <vt:i4>0</vt:i4>
      </vt:variant>
      <vt:variant>
        <vt:i4>5</vt:i4>
      </vt:variant>
      <vt:variant>
        <vt:lpwstr>https://txicfw.socialwork.utexas.edu/2025-texas-child-care-market-rate-survey/</vt:lpwstr>
      </vt:variant>
      <vt:variant>
        <vt:lpwstr/>
      </vt:variant>
      <vt:variant>
        <vt:i4>1900663</vt:i4>
      </vt:variant>
      <vt:variant>
        <vt:i4>6</vt:i4>
      </vt:variant>
      <vt:variant>
        <vt:i4>0</vt:i4>
      </vt:variant>
      <vt:variant>
        <vt:i4>5</vt:i4>
      </vt:variant>
      <vt:variant>
        <vt:lpwstr>https://texas-sos.appianportalsgov.com/rules-and-meetings?$locale=en_US&amp;interface=VIEW_TAC_SUMMARY&amp;queryAsDate=07%2F14%2F2025&amp;recordId=220442</vt:lpwstr>
      </vt:variant>
      <vt:variant>
        <vt:lpwstr/>
      </vt:variant>
      <vt:variant>
        <vt:i4>7602218</vt:i4>
      </vt:variant>
      <vt:variant>
        <vt:i4>3</vt:i4>
      </vt:variant>
      <vt:variant>
        <vt:i4>0</vt:i4>
      </vt:variant>
      <vt:variant>
        <vt:i4>5</vt:i4>
      </vt:variant>
      <vt:variant>
        <vt:lpwstr>https://www.acf.hhs.gov/occ/policy-guidance/ccdf-acf-pi-2018-01</vt:lpwstr>
      </vt:variant>
      <vt:variant>
        <vt:lpwstr/>
      </vt:variant>
      <vt:variant>
        <vt:i4>589896</vt:i4>
      </vt:variant>
      <vt:variant>
        <vt:i4>0</vt:i4>
      </vt:variant>
      <vt:variant>
        <vt:i4>0</vt:i4>
      </vt:variant>
      <vt:variant>
        <vt:i4>5</vt:i4>
      </vt:variant>
      <vt:variant>
        <vt:lpwstr>https://www.ecfr.gov/current/title-45/subtitle-A/subchapter-A/part-98</vt:lpwstr>
      </vt:variant>
      <vt:variant>
        <vt:lpwstr>98.45</vt:lpwstr>
      </vt:variant>
      <vt:variant>
        <vt:i4>5898357</vt:i4>
      </vt:variant>
      <vt:variant>
        <vt:i4>0</vt:i4>
      </vt:variant>
      <vt:variant>
        <vt:i4>0</vt:i4>
      </vt:variant>
      <vt:variant>
        <vt:i4>5</vt:i4>
      </vt:variant>
      <vt:variant>
        <vt:lpwstr>mailto:allison.wilson@twc.texas.gov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2025-09-03T14:27:00Z</dcterms:created>
  <dcterms:modified xsi:type="dcterms:W3CDTF">2025-09-03T16:38:00Z</dcterms:modified>
</cp:coreProperties>
</file>