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9EDE" w14:textId="77777777" w:rsidR="00390A07" w:rsidRPr="00AC399C" w:rsidRDefault="00390A07" w:rsidP="00390A07">
      <w:pPr>
        <w:pStyle w:val="Heading1"/>
        <w:spacing w:before="56"/>
        <w:ind w:left="0" w:right="1063"/>
        <w:rPr>
          <w:rFonts w:cs="Times New Roman"/>
        </w:rPr>
      </w:pPr>
      <w:bookmarkStart w:id="0" w:name="TEXAS_WORKFORCE_COMMISSION_LETTER"/>
      <w:bookmarkEnd w:id="0"/>
      <w:r w:rsidRPr="00AC399C">
        <w:rPr>
          <w:rFonts w:cs="Times New Roman"/>
        </w:rPr>
        <w:t>TEXAS WORKFORCE COMMISSION</w:t>
      </w:r>
    </w:p>
    <w:p w14:paraId="5F5985D6" w14:textId="77777777" w:rsidR="00390A07" w:rsidRPr="00AC399C" w:rsidRDefault="00390A07" w:rsidP="00390A07">
      <w:pPr>
        <w:pStyle w:val="Heading1"/>
        <w:spacing w:before="56"/>
        <w:ind w:left="0" w:right="1063"/>
        <w:rPr>
          <w:rFonts w:cs="Times New Roman"/>
          <w:bCs w:val="0"/>
        </w:rPr>
      </w:pPr>
      <w:r w:rsidRPr="00AC399C">
        <w:rPr>
          <w:rFonts w:cs="Times New Roman"/>
        </w:rPr>
        <w:t>Workforce Development Letter</w:t>
      </w:r>
    </w:p>
    <w:tbl>
      <w:tblPr>
        <w:tblW w:w="3489" w:type="dxa"/>
        <w:tblInd w:w="5881" w:type="dxa"/>
        <w:tblLayout w:type="fixed"/>
        <w:tblCellMar>
          <w:left w:w="0" w:type="dxa"/>
          <w:right w:w="0" w:type="dxa"/>
        </w:tblCellMar>
        <w:tblLook w:val="01E0" w:firstRow="1" w:lastRow="1" w:firstColumn="1" w:lastColumn="1" w:noHBand="0" w:noVBand="0"/>
      </w:tblPr>
      <w:tblGrid>
        <w:gridCol w:w="1248"/>
        <w:gridCol w:w="2241"/>
      </w:tblGrid>
      <w:tr w:rsidR="00390A07" w:rsidRPr="00AC399C" w14:paraId="6CD31DB0" w14:textId="77777777" w:rsidTr="003F60A4">
        <w:trPr>
          <w:trHeight w:hRule="exact" w:val="295"/>
        </w:trPr>
        <w:tc>
          <w:tcPr>
            <w:tcW w:w="1248" w:type="dxa"/>
            <w:tcBorders>
              <w:top w:val="single" w:sz="8" w:space="0" w:color="000000"/>
              <w:left w:val="single" w:sz="8" w:space="0" w:color="000000"/>
              <w:bottom w:val="single" w:sz="8" w:space="0" w:color="000000"/>
              <w:right w:val="nil"/>
            </w:tcBorders>
          </w:tcPr>
          <w:p w14:paraId="08703EC2" w14:textId="77777777" w:rsidR="00390A07" w:rsidRPr="00AC399C" w:rsidRDefault="00390A07" w:rsidP="003F60A4">
            <w:pPr>
              <w:pStyle w:val="TableParagraph"/>
              <w:spacing w:line="273" w:lineRule="exact"/>
              <w:ind w:left="96"/>
              <w:rPr>
                <w:rFonts w:ascii="Times New Roman" w:eastAsia="Times New Roman" w:hAnsi="Times New Roman" w:cs="Times New Roman"/>
                <w:sz w:val="24"/>
                <w:szCs w:val="24"/>
              </w:rPr>
            </w:pPr>
            <w:r w:rsidRPr="00AC399C">
              <w:rPr>
                <w:rFonts w:ascii="Times New Roman" w:hAnsi="Times New Roman" w:cs="Times New Roman"/>
                <w:b/>
                <w:sz w:val="24"/>
                <w:szCs w:val="24"/>
              </w:rPr>
              <w:t>ID/No:</w:t>
            </w:r>
          </w:p>
        </w:tc>
        <w:tc>
          <w:tcPr>
            <w:tcW w:w="2241" w:type="dxa"/>
            <w:tcBorders>
              <w:top w:val="single" w:sz="8" w:space="0" w:color="000000"/>
              <w:left w:val="nil"/>
              <w:bottom w:val="single" w:sz="8" w:space="0" w:color="000000"/>
              <w:right w:val="single" w:sz="8" w:space="0" w:color="000000"/>
            </w:tcBorders>
          </w:tcPr>
          <w:p w14:paraId="55244E0D" w14:textId="668DB2AD" w:rsidR="00390A07" w:rsidRPr="00AC399C" w:rsidRDefault="00390A07" w:rsidP="003F60A4">
            <w:pPr>
              <w:pStyle w:val="TableParagraph"/>
              <w:spacing w:line="268" w:lineRule="exact"/>
              <w:ind w:left="117"/>
              <w:rPr>
                <w:rFonts w:ascii="Times New Roman" w:eastAsia="Times New Roman" w:hAnsi="Times New Roman" w:cs="Times New Roman"/>
                <w:sz w:val="24"/>
                <w:szCs w:val="24"/>
              </w:rPr>
            </w:pPr>
            <w:r w:rsidRPr="00AC399C">
              <w:rPr>
                <w:rFonts w:ascii="Times New Roman" w:hAnsi="Times New Roman" w:cs="Times New Roman"/>
                <w:sz w:val="24"/>
                <w:szCs w:val="24"/>
              </w:rPr>
              <w:t>WD</w:t>
            </w:r>
            <w:r w:rsidR="007F58E0">
              <w:rPr>
                <w:rFonts w:ascii="Times New Roman" w:hAnsi="Times New Roman" w:cs="Times New Roman"/>
                <w:sz w:val="24"/>
                <w:szCs w:val="24"/>
              </w:rPr>
              <w:t xml:space="preserve"> </w:t>
            </w:r>
            <w:r w:rsidR="00C54067">
              <w:rPr>
                <w:rFonts w:ascii="Times New Roman" w:hAnsi="Times New Roman" w:cs="Times New Roman"/>
                <w:sz w:val="24"/>
                <w:szCs w:val="24"/>
              </w:rPr>
              <w:t>20</w:t>
            </w:r>
            <w:r w:rsidR="00A23D92">
              <w:rPr>
                <w:rFonts w:ascii="Times New Roman" w:hAnsi="Times New Roman" w:cs="Times New Roman"/>
                <w:sz w:val="24"/>
                <w:szCs w:val="24"/>
              </w:rPr>
              <w:t>-23</w:t>
            </w:r>
          </w:p>
        </w:tc>
      </w:tr>
      <w:tr w:rsidR="00390A07" w:rsidRPr="00AC399C" w14:paraId="4F9FEB2E" w14:textId="77777777" w:rsidTr="003F60A4">
        <w:trPr>
          <w:trHeight w:hRule="exact" w:val="298"/>
        </w:trPr>
        <w:tc>
          <w:tcPr>
            <w:tcW w:w="1248" w:type="dxa"/>
            <w:tcBorders>
              <w:top w:val="single" w:sz="8" w:space="0" w:color="000000"/>
              <w:left w:val="single" w:sz="8" w:space="0" w:color="000000"/>
              <w:bottom w:val="single" w:sz="8" w:space="0" w:color="000000"/>
              <w:right w:val="nil"/>
            </w:tcBorders>
          </w:tcPr>
          <w:p w14:paraId="7A26E863" w14:textId="77777777" w:rsidR="00390A07" w:rsidRPr="00AC399C" w:rsidRDefault="00390A07" w:rsidP="003F60A4">
            <w:pPr>
              <w:pStyle w:val="TableParagraph"/>
              <w:spacing w:line="275" w:lineRule="exact"/>
              <w:ind w:left="96"/>
              <w:rPr>
                <w:rFonts w:ascii="Times New Roman" w:eastAsia="Times New Roman" w:hAnsi="Times New Roman" w:cs="Times New Roman"/>
                <w:sz w:val="24"/>
                <w:szCs w:val="24"/>
              </w:rPr>
            </w:pPr>
            <w:r w:rsidRPr="00AC399C">
              <w:rPr>
                <w:rFonts w:ascii="Times New Roman" w:hAnsi="Times New Roman" w:cs="Times New Roman"/>
                <w:b/>
                <w:sz w:val="24"/>
                <w:szCs w:val="24"/>
              </w:rPr>
              <w:t>Date:</w:t>
            </w:r>
          </w:p>
        </w:tc>
        <w:tc>
          <w:tcPr>
            <w:tcW w:w="2241" w:type="dxa"/>
            <w:tcBorders>
              <w:top w:val="single" w:sz="8" w:space="0" w:color="000000"/>
              <w:left w:val="nil"/>
              <w:bottom w:val="single" w:sz="8" w:space="0" w:color="000000"/>
              <w:right w:val="single" w:sz="8" w:space="0" w:color="000000"/>
            </w:tcBorders>
          </w:tcPr>
          <w:p w14:paraId="41AE1D1E" w14:textId="7DA7E577" w:rsidR="00390A07" w:rsidRPr="00AC399C" w:rsidRDefault="00520FD0" w:rsidP="003F60A4">
            <w:pPr>
              <w:pStyle w:val="TableParagraph"/>
              <w:spacing w:line="270" w:lineRule="exact"/>
              <w:ind w:left="117"/>
              <w:rPr>
                <w:rFonts w:ascii="Times New Roman" w:eastAsia="Times New Roman" w:hAnsi="Times New Roman" w:cs="Times New Roman"/>
                <w:sz w:val="24"/>
                <w:szCs w:val="24"/>
              </w:rPr>
            </w:pPr>
            <w:r>
              <w:rPr>
                <w:rFonts w:ascii="Times New Roman" w:eastAsia="Times New Roman" w:hAnsi="Times New Roman" w:cs="Times New Roman"/>
                <w:sz w:val="24"/>
                <w:szCs w:val="24"/>
              </w:rPr>
              <w:t>August 29, 2023</w:t>
            </w:r>
          </w:p>
        </w:tc>
      </w:tr>
      <w:tr w:rsidR="00390A07" w:rsidRPr="00AC399C" w14:paraId="56FEC5D7" w14:textId="77777777" w:rsidTr="003F60A4">
        <w:trPr>
          <w:trHeight w:hRule="exact" w:val="295"/>
        </w:trPr>
        <w:tc>
          <w:tcPr>
            <w:tcW w:w="1248" w:type="dxa"/>
            <w:tcBorders>
              <w:top w:val="single" w:sz="8" w:space="0" w:color="000000"/>
              <w:left w:val="single" w:sz="8" w:space="0" w:color="000000"/>
              <w:bottom w:val="single" w:sz="8" w:space="0" w:color="000000"/>
              <w:right w:val="nil"/>
            </w:tcBorders>
          </w:tcPr>
          <w:p w14:paraId="450E1109" w14:textId="77777777" w:rsidR="00390A07" w:rsidRPr="00AC399C" w:rsidRDefault="00390A07" w:rsidP="003F60A4">
            <w:pPr>
              <w:pStyle w:val="TableParagraph"/>
              <w:spacing w:line="273" w:lineRule="exact"/>
              <w:ind w:left="96"/>
              <w:rPr>
                <w:rFonts w:ascii="Times New Roman" w:eastAsia="Times New Roman" w:hAnsi="Times New Roman" w:cs="Times New Roman"/>
                <w:sz w:val="24"/>
                <w:szCs w:val="24"/>
              </w:rPr>
            </w:pPr>
            <w:r w:rsidRPr="00AC399C">
              <w:rPr>
                <w:rFonts w:ascii="Times New Roman" w:hAnsi="Times New Roman" w:cs="Times New Roman"/>
                <w:b/>
                <w:sz w:val="24"/>
                <w:szCs w:val="24"/>
              </w:rPr>
              <w:t>Keyword:</w:t>
            </w:r>
          </w:p>
        </w:tc>
        <w:tc>
          <w:tcPr>
            <w:tcW w:w="2241" w:type="dxa"/>
            <w:tcBorders>
              <w:top w:val="single" w:sz="8" w:space="0" w:color="000000"/>
              <w:left w:val="nil"/>
              <w:bottom w:val="single" w:sz="8" w:space="0" w:color="000000"/>
              <w:right w:val="single" w:sz="8" w:space="0" w:color="000000"/>
            </w:tcBorders>
          </w:tcPr>
          <w:p w14:paraId="47B0717E" w14:textId="24AB4179" w:rsidR="00390A07" w:rsidRPr="00AC399C" w:rsidRDefault="00390A07" w:rsidP="003F60A4">
            <w:pPr>
              <w:pStyle w:val="TableParagraph"/>
              <w:spacing w:line="268" w:lineRule="exact"/>
              <w:ind w:left="117"/>
              <w:rPr>
                <w:rFonts w:ascii="Times New Roman" w:eastAsia="Times New Roman" w:hAnsi="Times New Roman" w:cs="Times New Roman"/>
                <w:sz w:val="24"/>
                <w:szCs w:val="24"/>
              </w:rPr>
            </w:pPr>
            <w:r w:rsidRPr="00AC399C">
              <w:rPr>
                <w:rFonts w:ascii="Times New Roman" w:hAnsi="Times New Roman" w:cs="Times New Roman"/>
                <w:sz w:val="24"/>
                <w:szCs w:val="24"/>
              </w:rPr>
              <w:t>Child</w:t>
            </w:r>
            <w:r w:rsidRPr="00AC399C">
              <w:rPr>
                <w:rFonts w:ascii="Times New Roman" w:hAnsi="Times New Roman" w:cs="Times New Roman"/>
                <w:spacing w:val="-2"/>
                <w:sz w:val="24"/>
                <w:szCs w:val="24"/>
              </w:rPr>
              <w:t xml:space="preserve"> </w:t>
            </w:r>
            <w:r w:rsidRPr="00AC399C">
              <w:rPr>
                <w:rFonts w:ascii="Times New Roman" w:hAnsi="Times New Roman" w:cs="Times New Roman"/>
                <w:sz w:val="24"/>
                <w:szCs w:val="24"/>
              </w:rPr>
              <w:t>Care</w:t>
            </w:r>
          </w:p>
        </w:tc>
      </w:tr>
      <w:tr w:rsidR="00390A07" w:rsidRPr="00AC399C" w14:paraId="5141372A" w14:textId="77777777" w:rsidTr="003F60A4">
        <w:trPr>
          <w:trHeight w:hRule="exact" w:val="298"/>
        </w:trPr>
        <w:tc>
          <w:tcPr>
            <w:tcW w:w="1248" w:type="dxa"/>
            <w:tcBorders>
              <w:top w:val="single" w:sz="8" w:space="0" w:color="000000"/>
              <w:left w:val="single" w:sz="8" w:space="0" w:color="000000"/>
              <w:bottom w:val="single" w:sz="8" w:space="0" w:color="000000"/>
              <w:right w:val="nil"/>
            </w:tcBorders>
          </w:tcPr>
          <w:p w14:paraId="06F8A57F" w14:textId="77777777" w:rsidR="00390A07" w:rsidRPr="00AC399C" w:rsidRDefault="00390A07" w:rsidP="003F60A4">
            <w:pPr>
              <w:pStyle w:val="TableParagraph"/>
              <w:spacing w:line="273" w:lineRule="exact"/>
              <w:ind w:left="96"/>
              <w:rPr>
                <w:rFonts w:ascii="Times New Roman" w:eastAsia="Times New Roman" w:hAnsi="Times New Roman" w:cs="Times New Roman"/>
                <w:sz w:val="24"/>
                <w:szCs w:val="24"/>
              </w:rPr>
            </w:pPr>
            <w:r w:rsidRPr="00AC399C">
              <w:rPr>
                <w:rFonts w:ascii="Times New Roman" w:hAnsi="Times New Roman" w:cs="Times New Roman"/>
                <w:b/>
                <w:sz w:val="24"/>
                <w:szCs w:val="24"/>
              </w:rPr>
              <w:t>Effective:</w:t>
            </w:r>
          </w:p>
        </w:tc>
        <w:tc>
          <w:tcPr>
            <w:tcW w:w="2241" w:type="dxa"/>
            <w:tcBorders>
              <w:top w:val="single" w:sz="8" w:space="0" w:color="000000"/>
              <w:left w:val="nil"/>
              <w:bottom w:val="single" w:sz="8" w:space="0" w:color="000000"/>
              <w:right w:val="single" w:sz="8" w:space="0" w:color="000000"/>
            </w:tcBorders>
          </w:tcPr>
          <w:p w14:paraId="0BF1AB31" w14:textId="34F96F6B" w:rsidR="00390A07" w:rsidRPr="00AC399C" w:rsidRDefault="0023079D" w:rsidP="003F60A4">
            <w:pPr>
              <w:pStyle w:val="TableParagraph"/>
              <w:spacing w:line="268" w:lineRule="exact"/>
              <w:ind w:left="117"/>
              <w:rPr>
                <w:rFonts w:ascii="Times New Roman" w:eastAsia="Times New Roman" w:hAnsi="Times New Roman" w:cs="Times New Roman"/>
                <w:sz w:val="24"/>
                <w:szCs w:val="24"/>
              </w:rPr>
            </w:pPr>
            <w:r>
              <w:rPr>
                <w:rFonts w:ascii="Times New Roman" w:hAnsi="Times New Roman" w:cs="Times New Roman"/>
                <w:sz w:val="24"/>
                <w:szCs w:val="24"/>
              </w:rPr>
              <w:t xml:space="preserve">October 1, </w:t>
            </w:r>
            <w:r w:rsidR="009D7B57">
              <w:rPr>
                <w:rFonts w:ascii="Times New Roman" w:hAnsi="Times New Roman" w:cs="Times New Roman"/>
                <w:sz w:val="24"/>
                <w:szCs w:val="24"/>
              </w:rPr>
              <w:t>2023</w:t>
            </w:r>
          </w:p>
        </w:tc>
      </w:tr>
    </w:tbl>
    <w:p w14:paraId="4DEE2138" w14:textId="77777777" w:rsidR="00390A07" w:rsidRPr="00AC399C" w:rsidRDefault="00390A07" w:rsidP="00390A07">
      <w:pPr>
        <w:spacing w:before="240"/>
        <w:rPr>
          <w:rFonts w:ascii="Times New Roman" w:hAnsi="Times New Roman" w:cs="Times New Roman"/>
          <w:sz w:val="24"/>
          <w:szCs w:val="24"/>
        </w:rPr>
      </w:pPr>
      <w:r w:rsidRPr="00AC399C">
        <w:rPr>
          <w:rFonts w:ascii="Times New Roman" w:hAnsi="Times New Roman" w:cs="Times New Roman"/>
          <w:b/>
          <w:sz w:val="24"/>
          <w:szCs w:val="24"/>
        </w:rPr>
        <w:t>To:</w:t>
      </w:r>
      <w:r w:rsidRPr="00AC399C">
        <w:rPr>
          <w:rFonts w:ascii="Times New Roman" w:hAnsi="Times New Roman" w:cs="Times New Roman"/>
          <w:b/>
          <w:sz w:val="24"/>
          <w:szCs w:val="24"/>
        </w:rPr>
        <w:tab/>
      </w:r>
      <w:r w:rsidRPr="00AC399C">
        <w:rPr>
          <w:rFonts w:ascii="Times New Roman" w:hAnsi="Times New Roman" w:cs="Times New Roman"/>
          <w:b/>
          <w:sz w:val="24"/>
          <w:szCs w:val="24"/>
        </w:rPr>
        <w:tab/>
      </w:r>
      <w:r w:rsidRPr="00AC399C">
        <w:rPr>
          <w:rFonts w:ascii="Times New Roman" w:hAnsi="Times New Roman" w:cs="Times New Roman"/>
          <w:sz w:val="24"/>
          <w:szCs w:val="24"/>
        </w:rPr>
        <w:t>Local Workforce Development Board Executive</w:t>
      </w:r>
      <w:r w:rsidRPr="00AC399C">
        <w:rPr>
          <w:rFonts w:ascii="Times New Roman" w:hAnsi="Times New Roman" w:cs="Times New Roman"/>
          <w:spacing w:val="-14"/>
          <w:sz w:val="24"/>
          <w:szCs w:val="24"/>
        </w:rPr>
        <w:t xml:space="preserve"> </w:t>
      </w:r>
      <w:r w:rsidRPr="00AC399C">
        <w:rPr>
          <w:rFonts w:ascii="Times New Roman" w:hAnsi="Times New Roman" w:cs="Times New Roman"/>
          <w:sz w:val="24"/>
          <w:szCs w:val="24"/>
        </w:rPr>
        <w:t>Directors</w:t>
      </w:r>
    </w:p>
    <w:p w14:paraId="437D4ED0" w14:textId="77777777" w:rsidR="00390A07" w:rsidRPr="00AC399C" w:rsidRDefault="00390A07" w:rsidP="00390A07">
      <w:pPr>
        <w:ind w:left="720" w:firstLine="720"/>
        <w:rPr>
          <w:rFonts w:ascii="Times New Roman" w:hAnsi="Times New Roman" w:cs="Times New Roman"/>
          <w:sz w:val="24"/>
          <w:szCs w:val="24"/>
        </w:rPr>
      </w:pPr>
      <w:r w:rsidRPr="00AC399C">
        <w:rPr>
          <w:rFonts w:ascii="Times New Roman" w:hAnsi="Times New Roman" w:cs="Times New Roman"/>
          <w:sz w:val="24"/>
          <w:szCs w:val="24"/>
        </w:rPr>
        <w:t>Commission Executive</w:t>
      </w:r>
      <w:r w:rsidRPr="00AC399C">
        <w:rPr>
          <w:rFonts w:ascii="Times New Roman" w:hAnsi="Times New Roman" w:cs="Times New Roman"/>
          <w:spacing w:val="-9"/>
          <w:sz w:val="24"/>
          <w:szCs w:val="24"/>
        </w:rPr>
        <w:t xml:space="preserve"> </w:t>
      </w:r>
      <w:r w:rsidRPr="00AC399C">
        <w:rPr>
          <w:rFonts w:ascii="Times New Roman" w:hAnsi="Times New Roman" w:cs="Times New Roman"/>
          <w:sz w:val="24"/>
          <w:szCs w:val="24"/>
        </w:rPr>
        <w:t>Offices</w:t>
      </w:r>
    </w:p>
    <w:p w14:paraId="0836752C" w14:textId="2D8FBD81" w:rsidR="00BA5F11" w:rsidRDefault="00390A07" w:rsidP="00520FD0">
      <w:pPr>
        <w:ind w:left="720" w:firstLine="720"/>
        <w:rPr>
          <w:rFonts w:ascii="Times New Roman" w:hAnsi="Times New Roman" w:cs="Times New Roman"/>
          <w:sz w:val="24"/>
          <w:szCs w:val="24"/>
        </w:rPr>
      </w:pPr>
      <w:r w:rsidRPr="00AC399C">
        <w:rPr>
          <w:rFonts w:ascii="Times New Roman" w:hAnsi="Times New Roman" w:cs="Times New Roman"/>
          <w:sz w:val="24"/>
          <w:szCs w:val="24"/>
        </w:rPr>
        <w:t>Integrated Service Area</w:t>
      </w:r>
      <w:r w:rsidRPr="00AC399C">
        <w:rPr>
          <w:rFonts w:ascii="Times New Roman" w:hAnsi="Times New Roman" w:cs="Times New Roman"/>
          <w:spacing w:val="-11"/>
          <w:sz w:val="24"/>
          <w:szCs w:val="24"/>
        </w:rPr>
        <w:t xml:space="preserve"> </w:t>
      </w:r>
      <w:r w:rsidRPr="00AC399C">
        <w:rPr>
          <w:rFonts w:ascii="Times New Roman" w:hAnsi="Times New Roman" w:cs="Times New Roman"/>
          <w:sz w:val="24"/>
          <w:szCs w:val="24"/>
        </w:rPr>
        <w:t>Managers</w:t>
      </w:r>
    </w:p>
    <w:p w14:paraId="7E65C0FF" w14:textId="429AF2A8" w:rsidR="00520FD0" w:rsidRDefault="00520FD0" w:rsidP="00520FD0">
      <w:pPr>
        <w:ind w:left="72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9561FC" wp14:editId="0442CF23">
            <wp:extent cx="1888446" cy="828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1860" cy="842789"/>
                    </a:xfrm>
                    <a:prstGeom prst="rect">
                      <a:avLst/>
                    </a:prstGeom>
                    <a:noFill/>
                    <a:ln>
                      <a:noFill/>
                    </a:ln>
                  </pic:spPr>
                </pic:pic>
              </a:graphicData>
            </a:graphic>
          </wp:inline>
        </w:drawing>
      </w:r>
    </w:p>
    <w:p w14:paraId="394569DD" w14:textId="12CF6E7E" w:rsidR="00390A07" w:rsidRPr="00AC399C" w:rsidRDefault="00390A07" w:rsidP="00BA5F11">
      <w:pPr>
        <w:ind w:left="720" w:firstLine="720"/>
        <w:rPr>
          <w:rFonts w:ascii="Times New Roman" w:hAnsi="Times New Roman" w:cs="Times New Roman"/>
          <w:sz w:val="24"/>
          <w:szCs w:val="24"/>
        </w:rPr>
      </w:pPr>
    </w:p>
    <w:p w14:paraId="36FB1721" w14:textId="20DDA6A1" w:rsidR="00390A07" w:rsidRPr="00BA5F11" w:rsidRDefault="00390A07" w:rsidP="00BA5F11">
      <w:pPr>
        <w:spacing w:after="120"/>
        <w:ind w:left="1440" w:hanging="1440"/>
        <w:rPr>
          <w:rFonts w:ascii="Times New Roman" w:hAnsi="Times New Roman" w:cs="Times New Roman"/>
          <w:b/>
          <w:spacing w:val="-1"/>
          <w:sz w:val="24"/>
          <w:szCs w:val="24"/>
        </w:rPr>
      </w:pPr>
      <w:r w:rsidRPr="00AC399C">
        <w:rPr>
          <w:rFonts w:ascii="Times New Roman" w:hAnsi="Times New Roman" w:cs="Times New Roman"/>
          <w:b/>
          <w:spacing w:val="-1"/>
          <w:sz w:val="24"/>
          <w:szCs w:val="24"/>
        </w:rPr>
        <w:t>From:</w:t>
      </w:r>
      <w:r w:rsidRPr="00AC399C">
        <w:rPr>
          <w:rFonts w:ascii="Times New Roman" w:hAnsi="Times New Roman" w:cs="Times New Roman"/>
          <w:b/>
          <w:spacing w:val="-1"/>
          <w:sz w:val="24"/>
          <w:szCs w:val="24"/>
        </w:rPr>
        <w:tab/>
      </w:r>
      <w:bookmarkStart w:id="1" w:name="_Hlk526857932"/>
      <w:r w:rsidR="00E75E6D">
        <w:rPr>
          <w:rFonts w:ascii="Times New Roman" w:hAnsi="Times New Roman" w:cs="Times New Roman"/>
          <w:spacing w:val="-1"/>
          <w:sz w:val="24"/>
          <w:szCs w:val="24"/>
        </w:rPr>
        <w:t>Reagan Miller, Director, Child Care &amp; Early Learning Division</w:t>
      </w:r>
      <w:r w:rsidR="00AC67EF">
        <w:rPr>
          <w:rFonts w:ascii="Times New Roman" w:hAnsi="Times New Roman" w:cs="Times New Roman"/>
          <w:spacing w:val="-1"/>
          <w:sz w:val="24"/>
          <w:szCs w:val="24"/>
        </w:rPr>
        <w:br/>
      </w:r>
    </w:p>
    <w:bookmarkEnd w:id="1"/>
    <w:p w14:paraId="6A3875E9" w14:textId="514079AA" w:rsidR="00010083" w:rsidRPr="00AC399C" w:rsidRDefault="00390A07" w:rsidP="00AC399C">
      <w:pPr>
        <w:ind w:left="1440" w:hanging="1440"/>
        <w:rPr>
          <w:rFonts w:ascii="Times New Roman" w:hAnsi="Times New Roman" w:cs="Times New Roman"/>
          <w:b/>
          <w:sz w:val="24"/>
          <w:szCs w:val="24"/>
        </w:rPr>
      </w:pPr>
      <w:r w:rsidRPr="00AC399C">
        <w:rPr>
          <w:rFonts w:ascii="Times New Roman" w:hAnsi="Times New Roman" w:cs="Times New Roman"/>
          <w:b/>
          <w:spacing w:val="-1"/>
          <w:sz w:val="24"/>
          <w:szCs w:val="24"/>
        </w:rPr>
        <w:t>Subject:</w:t>
      </w:r>
      <w:r w:rsidRPr="00AC399C">
        <w:rPr>
          <w:rFonts w:ascii="Times New Roman" w:hAnsi="Times New Roman" w:cs="Times New Roman"/>
          <w:spacing w:val="-1"/>
          <w:sz w:val="24"/>
          <w:szCs w:val="24"/>
        </w:rPr>
        <w:tab/>
      </w:r>
      <w:r w:rsidR="0027138D" w:rsidRPr="001A0E48">
        <w:rPr>
          <w:rFonts w:ascii="Times New Roman" w:hAnsi="Times New Roman" w:cs="Times New Roman"/>
          <w:b/>
          <w:bCs/>
          <w:spacing w:val="-1"/>
          <w:sz w:val="24"/>
          <w:szCs w:val="24"/>
        </w:rPr>
        <w:t>B</w:t>
      </w:r>
      <w:r w:rsidR="004A08D7">
        <w:rPr>
          <w:rFonts w:ascii="Times New Roman" w:hAnsi="Times New Roman" w:cs="Times New Roman"/>
          <w:b/>
          <w:bCs/>
          <w:spacing w:val="-1"/>
          <w:sz w:val="24"/>
          <w:szCs w:val="24"/>
        </w:rPr>
        <w:t xml:space="preserve">oard </w:t>
      </w:r>
      <w:r w:rsidR="0027138D" w:rsidRPr="001A0E48">
        <w:rPr>
          <w:rFonts w:ascii="Times New Roman" w:hAnsi="Times New Roman" w:cs="Times New Roman"/>
          <w:b/>
          <w:bCs/>
          <w:spacing w:val="-1"/>
          <w:sz w:val="24"/>
          <w:szCs w:val="24"/>
        </w:rPr>
        <w:t>C</w:t>
      </w:r>
      <w:r w:rsidR="004A08D7">
        <w:rPr>
          <w:rFonts w:ascii="Times New Roman" w:hAnsi="Times New Roman" w:cs="Times New Roman"/>
          <w:b/>
          <w:bCs/>
          <w:spacing w:val="-1"/>
          <w:sz w:val="24"/>
          <w:szCs w:val="24"/>
        </w:rPr>
        <w:t xml:space="preserve">ontract </w:t>
      </w:r>
      <w:r w:rsidR="0027138D" w:rsidRPr="001A0E48">
        <w:rPr>
          <w:rFonts w:ascii="Times New Roman" w:hAnsi="Times New Roman" w:cs="Times New Roman"/>
          <w:b/>
          <w:bCs/>
          <w:spacing w:val="-1"/>
          <w:sz w:val="24"/>
          <w:szCs w:val="24"/>
        </w:rPr>
        <w:t>Y</w:t>
      </w:r>
      <w:r w:rsidR="004A08D7">
        <w:rPr>
          <w:rFonts w:ascii="Times New Roman" w:hAnsi="Times New Roman" w:cs="Times New Roman"/>
          <w:b/>
          <w:bCs/>
          <w:spacing w:val="-1"/>
          <w:sz w:val="24"/>
          <w:szCs w:val="24"/>
        </w:rPr>
        <w:t>ear 20</w:t>
      </w:r>
      <w:r w:rsidR="0027138D" w:rsidRPr="001A0E48">
        <w:rPr>
          <w:rFonts w:ascii="Times New Roman" w:hAnsi="Times New Roman" w:cs="Times New Roman"/>
          <w:b/>
          <w:bCs/>
          <w:spacing w:val="-1"/>
          <w:sz w:val="24"/>
          <w:szCs w:val="24"/>
        </w:rPr>
        <w:t xml:space="preserve">24 </w:t>
      </w:r>
      <w:r w:rsidR="00EA1234">
        <w:rPr>
          <w:rFonts w:ascii="Times New Roman" w:hAnsi="Times New Roman" w:cs="Times New Roman"/>
          <w:b/>
          <w:spacing w:val="-1"/>
          <w:sz w:val="24"/>
          <w:szCs w:val="24"/>
        </w:rPr>
        <w:t xml:space="preserve">Child Care Provider </w:t>
      </w:r>
      <w:r w:rsidR="002D74AB">
        <w:rPr>
          <w:rFonts w:ascii="Times New Roman" w:hAnsi="Times New Roman" w:cs="Times New Roman"/>
          <w:b/>
          <w:spacing w:val="-1"/>
          <w:sz w:val="24"/>
          <w:szCs w:val="24"/>
        </w:rPr>
        <w:t>Payment</w:t>
      </w:r>
      <w:r w:rsidR="00DD0B34">
        <w:rPr>
          <w:rFonts w:ascii="Times New Roman" w:hAnsi="Times New Roman" w:cs="Times New Roman"/>
          <w:b/>
          <w:spacing w:val="-1"/>
          <w:sz w:val="24"/>
          <w:szCs w:val="24"/>
        </w:rPr>
        <w:t xml:space="preserve"> Rates</w:t>
      </w:r>
    </w:p>
    <w:p w14:paraId="131059A4" w14:textId="77777777" w:rsidR="00010083" w:rsidRPr="00AC399C" w:rsidRDefault="00010083" w:rsidP="00F76B85">
      <w:pPr>
        <w:rPr>
          <w:rFonts w:ascii="Times New Roman" w:hAnsi="Times New Roman" w:cs="Times New Roman"/>
          <w:sz w:val="24"/>
          <w:szCs w:val="24"/>
        </w:rPr>
      </w:pPr>
      <w:r w:rsidRPr="00AC399C">
        <w:rPr>
          <w:rFonts w:ascii="Times New Roman" w:hAnsi="Times New Roman" w:cs="Times New Roman"/>
          <w:noProof/>
          <w:sz w:val="24"/>
          <w:szCs w:val="24"/>
        </w:rPr>
        <mc:AlternateContent>
          <mc:Choice Requires="wps">
            <w:drawing>
              <wp:inline distT="0" distB="0" distL="0" distR="0" wp14:anchorId="754BB4ED" wp14:editId="23D1AE31">
                <wp:extent cx="5686425" cy="0"/>
                <wp:effectExtent l="0" t="0" r="0" b="0"/>
                <wp:docPr id="10" name="Straight Connector 10"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CBF15C" id="Straight Connector 10"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H0H913ZAAAAAgEAAA8AAABkcnMvZG93bnJldi54bWxMj0FPwkAQ&#10;he8k/IfNmHghsBWDwdotIWpvXkSJ16E7to3d2dJdoPrrHbzI5SUvb/LeN9lqcK06Uh8azwZuZgko&#10;4tLbhisD72/FdAkqRGSLrWcy8E0BVvl4lGFq/Ylf6biJlZISDikaqGPsUq1DWZPDMPMdsWSfvncY&#10;xfaVtj2epNy1ep4kd9phw7JQY0ePNZVfm4MzEIot7YufSTlJPm4rT/P908szGnN9NawfQEUa4v8x&#10;nPEFHXJh2vkD26BaA/JI/FPJlveLBajd2eo805fo+S8AAAD//wMAUEsBAi0AFAAGAAgAAAAhALaD&#10;OJL+AAAA4QEAABMAAAAAAAAAAAAAAAAAAAAAAFtDb250ZW50X1R5cGVzXS54bWxQSwECLQAUAAYA&#10;CAAAACEAOP0h/9YAAACUAQAACwAAAAAAAAAAAAAAAAAvAQAAX3JlbHMvLnJlbHNQSwECLQAUAAYA&#10;CAAAACEANR8zLK0BAABIAwAADgAAAAAAAAAAAAAAAAAuAgAAZHJzL2Uyb0RvYy54bWxQSwECLQAU&#10;AAYACAAAACEAfQf3XdkAAAACAQAADwAAAAAAAAAAAAAAAAAHBAAAZHJzL2Rvd25yZXYueG1sUEsF&#10;BgAAAAAEAAQA8wAAAA0FAAAAAA==&#10;">
                <w10:anchorlock/>
              </v:line>
            </w:pict>
          </mc:Fallback>
        </mc:AlternateContent>
      </w:r>
      <w:bookmarkStart w:id="2" w:name="_Hlk526849563"/>
    </w:p>
    <w:bookmarkEnd w:id="2"/>
    <w:p w14:paraId="1F1D7229" w14:textId="4FDFA922" w:rsidR="007C326F" w:rsidRPr="00AC399C" w:rsidRDefault="00A22B6B" w:rsidP="002E3582">
      <w:pPr>
        <w:spacing w:line="274" w:lineRule="exact"/>
        <w:rPr>
          <w:rFonts w:ascii="Times New Roman" w:eastAsia="Times New Roman" w:hAnsi="Times New Roman" w:cs="Times New Roman"/>
          <w:sz w:val="24"/>
          <w:szCs w:val="24"/>
        </w:rPr>
      </w:pPr>
      <w:r w:rsidRPr="00AC399C">
        <w:rPr>
          <w:rFonts w:ascii="Times New Roman" w:hAnsi="Times New Roman" w:cs="Times New Roman"/>
          <w:b/>
          <w:sz w:val="24"/>
          <w:szCs w:val="24"/>
        </w:rPr>
        <w:t>PURPOSE:</w:t>
      </w:r>
    </w:p>
    <w:p w14:paraId="47B147C4" w14:textId="04F68329" w:rsidR="004976DE" w:rsidRDefault="00495C13" w:rsidP="00AC399C">
      <w:pPr>
        <w:pStyle w:val="BodyText"/>
        <w:spacing w:line="240" w:lineRule="auto"/>
        <w:ind w:right="0"/>
        <w:rPr>
          <w:rFonts w:cs="Times New Roman"/>
          <w:szCs w:val="24"/>
        </w:rPr>
      </w:pPr>
      <w:r w:rsidRPr="00AC399C">
        <w:rPr>
          <w:rFonts w:cs="Times New Roman"/>
          <w:szCs w:val="24"/>
        </w:rPr>
        <w:t>The purpose of this WD Letter is t</w:t>
      </w:r>
      <w:r w:rsidR="00E74BBB" w:rsidRPr="00AC399C">
        <w:rPr>
          <w:rFonts w:cs="Times New Roman"/>
          <w:szCs w:val="24"/>
        </w:rPr>
        <w:t>o</w:t>
      </w:r>
      <w:r w:rsidR="003A53F9" w:rsidRPr="00AC399C">
        <w:rPr>
          <w:rFonts w:cs="Times New Roman"/>
          <w:szCs w:val="24"/>
        </w:rPr>
        <w:t xml:space="preserve"> provide information and guidance to Local Workforce Development Boards (Boards) </w:t>
      </w:r>
      <w:r w:rsidR="0062132D" w:rsidRPr="00AC399C">
        <w:rPr>
          <w:rFonts w:cs="Times New Roman"/>
          <w:szCs w:val="24"/>
        </w:rPr>
        <w:t xml:space="preserve">on </w:t>
      </w:r>
      <w:r w:rsidR="00D624D3">
        <w:rPr>
          <w:rFonts w:cs="Times New Roman"/>
          <w:szCs w:val="24"/>
        </w:rPr>
        <w:t xml:space="preserve">the Board Contract Year 2024 (BCY’24) </w:t>
      </w:r>
      <w:r w:rsidR="00FF34CD">
        <w:rPr>
          <w:rFonts w:cs="Times New Roman"/>
          <w:szCs w:val="24"/>
        </w:rPr>
        <w:t xml:space="preserve">child care provider </w:t>
      </w:r>
      <w:r w:rsidR="002D74AB">
        <w:rPr>
          <w:rFonts w:cs="Times New Roman"/>
          <w:szCs w:val="24"/>
        </w:rPr>
        <w:t>payment</w:t>
      </w:r>
      <w:r w:rsidR="00FF34CD">
        <w:rPr>
          <w:rFonts w:cs="Times New Roman"/>
          <w:szCs w:val="24"/>
        </w:rPr>
        <w:t xml:space="preserve"> rates.</w:t>
      </w:r>
    </w:p>
    <w:p w14:paraId="002F7EB5" w14:textId="77777777" w:rsidR="009E4037" w:rsidRPr="00AC399C" w:rsidRDefault="009E4037" w:rsidP="009E4037">
      <w:pPr>
        <w:pStyle w:val="Heading1"/>
        <w:spacing w:before="69" w:line="274" w:lineRule="exact"/>
        <w:ind w:left="0"/>
        <w:rPr>
          <w:rFonts w:cs="Times New Roman"/>
          <w:b w:val="0"/>
          <w:bCs w:val="0"/>
        </w:rPr>
      </w:pPr>
      <w:r w:rsidRPr="00AC399C">
        <w:rPr>
          <w:rFonts w:cs="Times New Roman"/>
        </w:rPr>
        <w:t>RESCISSIONS:</w:t>
      </w:r>
    </w:p>
    <w:p w14:paraId="391CA478" w14:textId="7436E3CD" w:rsidR="009E4037" w:rsidRPr="00AC399C" w:rsidRDefault="00CE611E" w:rsidP="009E4037">
      <w:pPr>
        <w:pStyle w:val="BodyText"/>
        <w:spacing w:line="240" w:lineRule="auto"/>
        <w:ind w:right="0"/>
        <w:rPr>
          <w:rFonts w:cs="Times New Roman"/>
          <w:szCs w:val="24"/>
        </w:rPr>
      </w:pPr>
      <w:r>
        <w:rPr>
          <w:rFonts w:cs="Times New Roman"/>
          <w:szCs w:val="24"/>
        </w:rPr>
        <w:t xml:space="preserve">WD </w:t>
      </w:r>
      <w:r w:rsidR="00625F64">
        <w:rPr>
          <w:rFonts w:cs="Times New Roman"/>
          <w:szCs w:val="24"/>
        </w:rPr>
        <w:t xml:space="preserve">Letter </w:t>
      </w:r>
      <w:r w:rsidR="009D7B57">
        <w:rPr>
          <w:rFonts w:cs="Times New Roman"/>
          <w:szCs w:val="24"/>
        </w:rPr>
        <w:t>22-22</w:t>
      </w:r>
    </w:p>
    <w:p w14:paraId="771AFEDE" w14:textId="3012050F" w:rsidR="007C326F" w:rsidRDefault="00A22B6B" w:rsidP="002E3582">
      <w:pPr>
        <w:pStyle w:val="Heading1"/>
        <w:spacing w:line="274" w:lineRule="exact"/>
        <w:ind w:left="0"/>
        <w:rPr>
          <w:rFonts w:cs="Times New Roman"/>
        </w:rPr>
      </w:pPr>
      <w:r w:rsidRPr="00AC399C">
        <w:rPr>
          <w:rFonts w:cs="Times New Roman"/>
        </w:rPr>
        <w:t>BACKGROUND:</w:t>
      </w:r>
    </w:p>
    <w:p w14:paraId="1C343D62" w14:textId="59CD41B6" w:rsidR="00EC3731" w:rsidRDefault="001A0476" w:rsidP="00725912">
      <w:pPr>
        <w:pStyle w:val="BodyText"/>
        <w:ind w:right="0"/>
        <w:rPr>
          <w:rFonts w:cs="Times New Roman"/>
          <w:color w:val="242424"/>
          <w:shd w:val="clear" w:color="auto" w:fill="FFFFFF"/>
        </w:rPr>
      </w:pPr>
      <w:r>
        <w:rPr>
          <w:rStyle w:val="normaltextrun"/>
          <w:color w:val="000000"/>
          <w:shd w:val="clear" w:color="auto" w:fill="FFFFFF"/>
        </w:rPr>
        <w:t>Under the federal Child Care Development Fund (CCDF) regulations and program guidance (</w:t>
      </w:r>
      <w:hyperlink r:id="rId12" w:anchor="98.45" w:tgtFrame="_blank" w:history="1">
        <w:r>
          <w:rPr>
            <w:rStyle w:val="normaltextrun"/>
            <w:color w:val="0563C1"/>
            <w:u w:val="single"/>
            <w:shd w:val="clear" w:color="auto" w:fill="FFFFFF"/>
          </w:rPr>
          <w:t>§98.45 Equal Access</w:t>
        </w:r>
      </w:hyperlink>
      <w:r>
        <w:rPr>
          <w:rStyle w:val="normaltextrun"/>
          <w:color w:val="000000"/>
          <w:shd w:val="clear" w:color="auto" w:fill="FFFFFF"/>
        </w:rPr>
        <w:t xml:space="preserve"> and </w:t>
      </w:r>
      <w:hyperlink r:id="rId13" w:tgtFrame="_blank" w:history="1">
        <w:r>
          <w:rPr>
            <w:rStyle w:val="normaltextrun"/>
            <w:color w:val="0563C1"/>
            <w:u w:val="single"/>
            <w:shd w:val="clear" w:color="auto" w:fill="FFFFFF"/>
          </w:rPr>
          <w:t>CCDF-ACF-PI-2018-04</w:t>
        </w:r>
      </w:hyperlink>
      <w:r>
        <w:rPr>
          <w:rStyle w:val="normaltextrun"/>
          <w:color w:val="000000"/>
          <w:shd w:val="clear" w:color="auto" w:fill="FFFFFF"/>
        </w:rPr>
        <w:t xml:space="preserve">), </w:t>
      </w:r>
      <w:r w:rsidR="0039146B">
        <w:rPr>
          <w:rStyle w:val="normaltextrun"/>
          <w:color w:val="000000"/>
          <w:shd w:val="clear" w:color="auto" w:fill="FFFFFF"/>
        </w:rPr>
        <w:t>s</w:t>
      </w:r>
      <w:r>
        <w:rPr>
          <w:rStyle w:val="normaltextrun"/>
          <w:color w:val="000000"/>
          <w:shd w:val="clear" w:color="auto" w:fill="FFFFFF"/>
        </w:rPr>
        <w:t>tates are required to ensure equal access to child care services for children served in the Child Care Services (CCS) program. States must consider the most recent Market Rate Survey</w:t>
      </w:r>
      <w:r w:rsidR="00DF4038">
        <w:rPr>
          <w:rStyle w:val="normaltextrun"/>
          <w:color w:val="000000"/>
          <w:shd w:val="clear" w:color="auto" w:fill="FFFFFF"/>
        </w:rPr>
        <w:t xml:space="preserve"> </w:t>
      </w:r>
      <w:r>
        <w:rPr>
          <w:rStyle w:val="normaltextrun"/>
          <w:color w:val="000000"/>
          <w:shd w:val="clear" w:color="auto" w:fill="FFFFFF"/>
        </w:rPr>
        <w:t xml:space="preserve">as well as data from their narrow cost analysis and use this information when setting provider </w:t>
      </w:r>
      <w:r w:rsidR="002D74AB">
        <w:rPr>
          <w:rStyle w:val="normaltextrun"/>
          <w:color w:val="000000"/>
          <w:shd w:val="clear" w:color="auto" w:fill="FFFFFF"/>
        </w:rPr>
        <w:t>payment</w:t>
      </w:r>
      <w:r>
        <w:rPr>
          <w:rStyle w:val="normaltextrun"/>
          <w:color w:val="000000"/>
          <w:shd w:val="clear" w:color="auto" w:fill="FFFFFF"/>
        </w:rPr>
        <w:t xml:space="preserve"> rates. </w:t>
      </w:r>
      <w:r w:rsidR="002E3452">
        <w:rPr>
          <w:rStyle w:val="normaltextrun"/>
          <w:color w:val="000000"/>
          <w:shd w:val="clear" w:color="auto" w:fill="FFFFFF"/>
        </w:rPr>
        <w:t>Additionally</w:t>
      </w:r>
      <w:r w:rsidR="00C81F25">
        <w:rPr>
          <w:rStyle w:val="normaltextrun"/>
          <w:color w:val="000000"/>
          <w:shd w:val="clear" w:color="auto" w:fill="FFFFFF"/>
        </w:rPr>
        <w:t xml:space="preserve">, the </w:t>
      </w:r>
      <w:r w:rsidR="0090310C" w:rsidRPr="004D5959">
        <w:rPr>
          <w:rFonts w:cs="Times New Roman"/>
          <w:color w:val="242424"/>
          <w:shd w:val="clear" w:color="auto" w:fill="FFFFFF"/>
        </w:rPr>
        <w:t xml:space="preserve">US Office of Child Care </w:t>
      </w:r>
      <w:r w:rsidR="0090310C">
        <w:rPr>
          <w:rFonts w:cs="Times New Roman"/>
          <w:color w:val="242424"/>
          <w:shd w:val="clear" w:color="auto" w:fill="FFFFFF"/>
        </w:rPr>
        <w:t>encourages</w:t>
      </w:r>
      <w:r w:rsidR="0090310C" w:rsidRPr="004D5959">
        <w:rPr>
          <w:rFonts w:cs="Times New Roman"/>
          <w:color w:val="242424"/>
          <w:shd w:val="clear" w:color="auto" w:fill="FFFFFF"/>
        </w:rPr>
        <w:t xml:space="preserve"> states to </w:t>
      </w:r>
      <w:r w:rsidR="0022703F">
        <w:rPr>
          <w:rFonts w:cs="Times New Roman"/>
          <w:color w:val="242424"/>
          <w:shd w:val="clear" w:color="auto" w:fill="FFFFFF"/>
        </w:rPr>
        <w:t>set the</w:t>
      </w:r>
      <w:r w:rsidR="0090310C" w:rsidRPr="004D5959">
        <w:rPr>
          <w:rFonts w:cs="Times New Roman"/>
          <w:color w:val="242424"/>
          <w:shd w:val="clear" w:color="auto" w:fill="FFFFFF"/>
        </w:rPr>
        <w:t xml:space="preserve"> lowest maximum </w:t>
      </w:r>
      <w:r w:rsidR="002D74AB">
        <w:rPr>
          <w:rFonts w:cs="Times New Roman"/>
          <w:color w:val="242424"/>
          <w:shd w:val="clear" w:color="auto" w:fill="FFFFFF"/>
        </w:rPr>
        <w:t>payment</w:t>
      </w:r>
      <w:r w:rsidR="0090310C" w:rsidRPr="004D5959">
        <w:rPr>
          <w:rFonts w:cs="Times New Roman"/>
          <w:color w:val="242424"/>
          <w:shd w:val="clear" w:color="auto" w:fill="FFFFFF"/>
        </w:rPr>
        <w:t xml:space="preserve"> rates to the 75</w:t>
      </w:r>
      <w:r w:rsidR="0090310C" w:rsidDel="001C2164">
        <w:rPr>
          <w:rFonts w:cs="Times New Roman"/>
          <w:color w:val="242424"/>
          <w:shd w:val="clear" w:color="auto" w:fill="FFFFFF"/>
        </w:rPr>
        <w:t>th</w:t>
      </w:r>
      <w:r w:rsidR="0090310C">
        <w:rPr>
          <w:rFonts w:cs="Times New Roman"/>
          <w:color w:val="242424"/>
          <w:shd w:val="clear" w:color="auto" w:fill="FFFFFF"/>
        </w:rPr>
        <w:t xml:space="preserve"> </w:t>
      </w:r>
      <w:r w:rsidR="0090310C" w:rsidRPr="004D5959">
        <w:rPr>
          <w:rFonts w:cs="Times New Roman"/>
          <w:color w:val="242424"/>
          <w:shd w:val="clear" w:color="auto" w:fill="FFFFFF"/>
        </w:rPr>
        <w:t>percentile</w:t>
      </w:r>
      <w:r w:rsidR="00A95A02">
        <w:rPr>
          <w:rFonts w:cs="Times New Roman"/>
          <w:color w:val="242424"/>
          <w:shd w:val="clear" w:color="auto" w:fill="FFFFFF"/>
        </w:rPr>
        <w:t xml:space="preserve"> of the Market Rate Survey</w:t>
      </w:r>
      <w:r w:rsidR="0090310C" w:rsidRPr="004D5959">
        <w:rPr>
          <w:rFonts w:cs="Times New Roman"/>
          <w:color w:val="242424"/>
          <w:shd w:val="clear" w:color="auto" w:fill="FFFFFF"/>
        </w:rPr>
        <w:t>. </w:t>
      </w:r>
    </w:p>
    <w:p w14:paraId="24476F21" w14:textId="5C499FB8" w:rsidR="00666D5C" w:rsidRDefault="00666D5C" w:rsidP="00725912">
      <w:pPr>
        <w:pStyle w:val="BodyText"/>
        <w:ind w:right="0"/>
        <w:rPr>
          <w:rFonts w:cs="Times New Roman"/>
          <w:color w:val="242424"/>
          <w:shd w:val="clear" w:color="auto" w:fill="FFFFFF"/>
        </w:rPr>
      </w:pPr>
      <w:r>
        <w:rPr>
          <w:rStyle w:val="normaltextrun"/>
          <w:color w:val="000000"/>
          <w:shd w:val="clear" w:color="auto" w:fill="FFFFFF"/>
        </w:rPr>
        <w:t>For BCY’2</w:t>
      </w:r>
      <w:r w:rsidR="00873A07">
        <w:rPr>
          <w:rStyle w:val="normaltextrun"/>
          <w:color w:val="000000"/>
          <w:shd w:val="clear" w:color="auto" w:fill="FFFFFF"/>
        </w:rPr>
        <w:t xml:space="preserve">4, </w:t>
      </w:r>
      <w:r w:rsidR="00E92CA2">
        <w:rPr>
          <w:rStyle w:val="normaltextrun"/>
          <w:color w:val="000000"/>
          <w:shd w:val="clear" w:color="auto" w:fill="FFFFFF"/>
        </w:rPr>
        <w:t>TWC used</w:t>
      </w:r>
      <w:r w:rsidR="00873A07">
        <w:rPr>
          <w:rStyle w:val="normaltextrun"/>
          <w:color w:val="000000"/>
          <w:shd w:val="clear" w:color="auto" w:fill="FFFFFF"/>
        </w:rPr>
        <w:t xml:space="preserve"> </w:t>
      </w:r>
      <w:r w:rsidR="00C91A1D">
        <w:rPr>
          <w:rStyle w:val="normaltextrun"/>
          <w:color w:val="000000"/>
          <w:shd w:val="clear" w:color="auto" w:fill="FFFFFF"/>
        </w:rPr>
        <w:t>the</w:t>
      </w:r>
      <w:r>
        <w:rPr>
          <w:rStyle w:val="normaltextrun"/>
          <w:color w:val="000000"/>
          <w:shd w:val="clear" w:color="auto" w:fill="FFFFFF"/>
        </w:rPr>
        <w:t xml:space="preserve"> </w:t>
      </w:r>
      <w:hyperlink r:id="rId14" w:history="1">
        <w:r>
          <w:rPr>
            <w:rStyle w:val="Hyperlink"/>
            <w:shd w:val="clear" w:color="auto" w:fill="FFFFFF"/>
          </w:rPr>
          <w:t>2023 Texas Child Care Market Rate Survey</w:t>
        </w:r>
      </w:hyperlink>
      <w:r>
        <w:rPr>
          <w:rStyle w:val="normaltextrun"/>
          <w:color w:val="000000"/>
          <w:shd w:val="clear" w:color="auto" w:fill="FFFFFF"/>
        </w:rPr>
        <w:t xml:space="preserve"> </w:t>
      </w:r>
      <w:r w:rsidR="00653E3E">
        <w:rPr>
          <w:rStyle w:val="normaltextrun"/>
          <w:color w:val="000000"/>
          <w:shd w:val="clear" w:color="auto" w:fill="FFFFFF"/>
        </w:rPr>
        <w:t>in addition to</w:t>
      </w:r>
      <w:r w:rsidR="002868DF">
        <w:rPr>
          <w:rStyle w:val="normaltextrun"/>
          <w:color w:val="000000"/>
          <w:shd w:val="clear" w:color="auto" w:fill="FFFFFF"/>
        </w:rPr>
        <w:t xml:space="preserve"> the </w:t>
      </w:r>
      <w:r w:rsidR="001419B3">
        <w:rPr>
          <w:rStyle w:val="normaltextrun"/>
          <w:color w:val="000000"/>
          <w:shd w:val="clear" w:color="auto" w:fill="FFFFFF"/>
        </w:rPr>
        <w:t>“</w:t>
      </w:r>
      <w:hyperlink r:id="rId15" w:history="1">
        <w:r w:rsidR="00C87F26">
          <w:rPr>
            <w:rStyle w:val="Hyperlink"/>
            <w:shd w:val="clear" w:color="auto" w:fill="FFFFFF"/>
          </w:rPr>
          <w:t>2023 Cost of Quality Price Modeling Report</w:t>
        </w:r>
      </w:hyperlink>
      <w:r w:rsidR="009D5B66">
        <w:rPr>
          <w:rStyle w:val="Hyperlink"/>
          <w:shd w:val="clear" w:color="auto" w:fill="FFFFFF"/>
        </w:rPr>
        <w:t>.</w:t>
      </w:r>
      <w:r w:rsidR="001419B3">
        <w:rPr>
          <w:rStyle w:val="normaltextrun"/>
          <w:color w:val="000000"/>
          <w:shd w:val="clear" w:color="auto" w:fill="FFFFFF"/>
        </w:rPr>
        <w:t>”</w:t>
      </w:r>
      <w:r w:rsidR="00502E2D" w:rsidRPr="00502E2D">
        <w:rPr>
          <w:color w:val="000000"/>
          <w:shd w:val="clear" w:color="auto" w:fill="FFFFFF"/>
        </w:rPr>
        <w:t xml:space="preserve"> </w:t>
      </w:r>
      <w:r w:rsidR="00502E2D">
        <w:rPr>
          <w:rStyle w:val="normaltextrun"/>
          <w:color w:val="000000"/>
          <w:shd w:val="clear" w:color="auto" w:fill="FFFFFF"/>
        </w:rPr>
        <w:t>The</w:t>
      </w:r>
      <w:r w:rsidR="00CA2F05" w:rsidDel="00F3429B">
        <w:rPr>
          <w:rStyle w:val="normaltextrun"/>
          <w:color w:val="000000"/>
          <w:shd w:val="clear" w:color="auto" w:fill="FFFFFF"/>
        </w:rPr>
        <w:t xml:space="preserve"> </w:t>
      </w:r>
      <w:r w:rsidR="00502E2D" w:rsidDel="00F3429B">
        <w:rPr>
          <w:rStyle w:val="normaltextrun"/>
          <w:color w:val="000000"/>
          <w:shd w:val="clear" w:color="auto" w:fill="FFFFFF"/>
        </w:rPr>
        <w:t xml:space="preserve">Cost of Quality Price Modeling </w:t>
      </w:r>
      <w:r w:rsidR="00502E2D">
        <w:rPr>
          <w:rStyle w:val="normaltextrun"/>
          <w:color w:val="000000"/>
          <w:shd w:val="clear" w:color="auto" w:fill="FFFFFF"/>
        </w:rPr>
        <w:t>Report includes “baseline rates,</w:t>
      </w:r>
      <w:r w:rsidR="003A4FD8">
        <w:rPr>
          <w:rStyle w:val="normaltextrun"/>
          <w:color w:val="000000"/>
          <w:shd w:val="clear" w:color="auto" w:fill="FFFFFF"/>
        </w:rPr>
        <w:t>”</w:t>
      </w:r>
      <w:r w:rsidR="00502E2D">
        <w:rPr>
          <w:rStyle w:val="normaltextrun"/>
          <w:color w:val="000000"/>
          <w:shd w:val="clear" w:color="auto" w:fill="FFFFFF"/>
        </w:rPr>
        <w:t xml:space="preserve"> which are defined as “prices charged by providers of child care that at a minimum meet state licensing standards.”  </w:t>
      </w:r>
    </w:p>
    <w:p w14:paraId="0F076856" w14:textId="75AC0C2F" w:rsidR="00447842" w:rsidRDefault="00903363" w:rsidP="00725912">
      <w:pPr>
        <w:pStyle w:val="BodyText"/>
        <w:ind w:right="0"/>
      </w:pPr>
      <w:r>
        <w:rPr>
          <w:rStyle w:val="normaltextrun"/>
          <w:color w:val="000000"/>
          <w:shd w:val="clear" w:color="auto" w:fill="FFFFFF"/>
        </w:rPr>
        <w:t>Texas Workforce Commission (</w:t>
      </w:r>
      <w:r w:rsidR="00E32350">
        <w:rPr>
          <w:rStyle w:val="normaltextrun"/>
          <w:color w:val="000000"/>
          <w:shd w:val="clear" w:color="auto" w:fill="FFFFFF"/>
        </w:rPr>
        <w:t>TWC</w:t>
      </w:r>
      <w:r>
        <w:rPr>
          <w:rStyle w:val="normaltextrun"/>
          <w:color w:val="000000"/>
          <w:shd w:val="clear" w:color="auto" w:fill="FFFFFF"/>
        </w:rPr>
        <w:t>)</w:t>
      </w:r>
      <w:r w:rsidR="005C130D">
        <w:rPr>
          <w:rStyle w:val="normaltextrun"/>
          <w:color w:val="000000"/>
          <w:shd w:val="clear" w:color="auto" w:fill="FFFFFF"/>
        </w:rPr>
        <w:t xml:space="preserve"> Chapter 809</w:t>
      </w:r>
      <w:r w:rsidR="00E32350">
        <w:rPr>
          <w:rStyle w:val="normaltextrun"/>
          <w:color w:val="000000"/>
          <w:shd w:val="clear" w:color="auto" w:fill="FFFFFF"/>
        </w:rPr>
        <w:t xml:space="preserve"> </w:t>
      </w:r>
      <w:r w:rsidR="005C130D">
        <w:rPr>
          <w:rStyle w:val="normaltextrun"/>
          <w:color w:val="000000"/>
          <w:shd w:val="clear" w:color="auto" w:fill="FFFFFF"/>
        </w:rPr>
        <w:t>C</w:t>
      </w:r>
      <w:r w:rsidR="00E32350">
        <w:rPr>
          <w:rStyle w:val="normaltextrun"/>
          <w:color w:val="000000"/>
          <w:shd w:val="clear" w:color="auto" w:fill="FFFFFF"/>
        </w:rPr>
        <w:t xml:space="preserve">hild </w:t>
      </w:r>
      <w:r w:rsidR="005C130D">
        <w:rPr>
          <w:rStyle w:val="normaltextrun"/>
          <w:color w:val="000000"/>
          <w:shd w:val="clear" w:color="auto" w:fill="FFFFFF"/>
        </w:rPr>
        <w:t>C</w:t>
      </w:r>
      <w:r w:rsidR="00E32350">
        <w:rPr>
          <w:rStyle w:val="normaltextrun"/>
          <w:color w:val="000000"/>
          <w:shd w:val="clear" w:color="auto" w:fill="FFFFFF"/>
        </w:rPr>
        <w:t xml:space="preserve">are </w:t>
      </w:r>
      <w:r w:rsidR="005C130D">
        <w:rPr>
          <w:rStyle w:val="normaltextrun"/>
          <w:color w:val="000000"/>
          <w:shd w:val="clear" w:color="auto" w:fill="FFFFFF"/>
        </w:rPr>
        <w:t xml:space="preserve">Services </w:t>
      </w:r>
      <w:r w:rsidR="00E32350">
        <w:rPr>
          <w:rStyle w:val="normaltextrun"/>
          <w:color w:val="000000"/>
          <w:shd w:val="clear" w:color="auto" w:fill="FFFFFF"/>
        </w:rPr>
        <w:t>rul</w:t>
      </w:r>
      <w:r w:rsidR="00E73287">
        <w:rPr>
          <w:rStyle w:val="normaltextrun"/>
          <w:color w:val="000000"/>
          <w:shd w:val="clear" w:color="auto" w:fill="FFFFFF"/>
        </w:rPr>
        <w:t>e</w:t>
      </w:r>
      <w:r w:rsidR="00E92CA2">
        <w:rPr>
          <w:rStyle w:val="normaltextrun"/>
          <w:color w:val="000000"/>
          <w:shd w:val="clear" w:color="auto" w:fill="FFFFFF"/>
        </w:rPr>
        <w:t xml:space="preserve"> </w:t>
      </w:r>
      <w:hyperlink r:id="rId16" w:tgtFrame="_blank" w:history="1">
        <w:r w:rsidR="00E32350" w:rsidRPr="00E92CA2">
          <w:rPr>
            <w:rStyle w:val="Hyperlink"/>
          </w:rPr>
          <w:t>§809.20(a)</w:t>
        </w:r>
      </w:hyperlink>
      <w:r w:rsidR="00E32350" w:rsidRPr="00E92CA2">
        <w:rPr>
          <w:rStyle w:val="Hyperlink"/>
        </w:rPr>
        <w:t xml:space="preserve"> </w:t>
      </w:r>
      <w:r w:rsidR="00E32350">
        <w:rPr>
          <w:rStyle w:val="normaltextrun"/>
          <w:color w:val="000000"/>
          <w:shd w:val="clear" w:color="auto" w:fill="FFFFFF"/>
        </w:rPr>
        <w:t>require</w:t>
      </w:r>
      <w:r w:rsidR="006A204A">
        <w:rPr>
          <w:rStyle w:val="normaltextrun"/>
          <w:color w:val="000000"/>
          <w:shd w:val="clear" w:color="auto" w:fill="FFFFFF"/>
        </w:rPr>
        <w:t>s</w:t>
      </w:r>
      <w:r w:rsidR="00E32350">
        <w:rPr>
          <w:rStyle w:val="normaltextrun"/>
          <w:color w:val="000000"/>
          <w:shd w:val="clear" w:color="auto" w:fill="FFFFFF"/>
        </w:rPr>
        <w:t xml:space="preserve"> Boards to establish maximum </w:t>
      </w:r>
      <w:r w:rsidR="002D74AB">
        <w:rPr>
          <w:rStyle w:val="normaltextrun"/>
          <w:color w:val="000000"/>
          <w:shd w:val="clear" w:color="auto" w:fill="FFFFFF"/>
        </w:rPr>
        <w:t>payment</w:t>
      </w:r>
      <w:r w:rsidR="00E32350">
        <w:rPr>
          <w:rStyle w:val="normaltextrun"/>
          <w:color w:val="000000"/>
          <w:shd w:val="clear" w:color="auto" w:fill="FFFFFF"/>
        </w:rPr>
        <w:t xml:space="preserve"> rates at or above a level established by TWC’s three-member Commission (Commission). </w:t>
      </w:r>
      <w:r w:rsidR="008113B8">
        <w:t>On</w:t>
      </w:r>
      <w:r w:rsidR="00982B3C">
        <w:t xml:space="preserve"> </w:t>
      </w:r>
      <w:r w:rsidR="00982B3C" w:rsidRPr="00653E3E">
        <w:t>August 22, 2023</w:t>
      </w:r>
      <w:r w:rsidR="00317DC6">
        <w:t xml:space="preserve">, the </w:t>
      </w:r>
      <w:r w:rsidR="00317DC6" w:rsidDel="00E32350">
        <w:t>Commission</w:t>
      </w:r>
      <w:r w:rsidR="00442338" w:rsidDel="00E32350">
        <w:t xml:space="preserve"> </w:t>
      </w:r>
      <w:r w:rsidR="00317DC6">
        <w:t>took action</w:t>
      </w:r>
      <w:r w:rsidR="00A81EA0">
        <w:t xml:space="preserve"> </w:t>
      </w:r>
      <w:r w:rsidR="007F5343">
        <w:t xml:space="preserve">to set </w:t>
      </w:r>
      <w:r w:rsidR="000B777C">
        <w:t xml:space="preserve">the lowest threshold for </w:t>
      </w:r>
      <w:r w:rsidR="007F5343">
        <w:t xml:space="preserve">child care maximum </w:t>
      </w:r>
      <w:r w:rsidR="002D74AB">
        <w:t>payment</w:t>
      </w:r>
      <w:r w:rsidR="007F5343">
        <w:t xml:space="preserve"> rates at</w:t>
      </w:r>
      <w:r w:rsidR="000C1941">
        <w:t xml:space="preserve"> </w:t>
      </w:r>
      <w:r w:rsidR="006C558D">
        <w:t>the</w:t>
      </w:r>
      <w:r w:rsidR="00A84A1E">
        <w:t xml:space="preserve"> 75</w:t>
      </w:r>
      <w:r w:rsidR="00A03E85" w:rsidRPr="00A03E85">
        <w:t>th</w:t>
      </w:r>
      <w:r w:rsidR="00A03E85">
        <w:t xml:space="preserve"> </w:t>
      </w:r>
      <w:r w:rsidR="00A84A1E">
        <w:lastRenderedPageBreak/>
        <w:t>percentile</w:t>
      </w:r>
      <w:r w:rsidR="00320241">
        <w:t xml:space="preserve"> of the </w:t>
      </w:r>
      <w:r w:rsidR="002E3183">
        <w:t xml:space="preserve">2023 </w:t>
      </w:r>
      <w:r w:rsidR="003E7F72">
        <w:t>Texas Child Care Market Rate Survey</w:t>
      </w:r>
      <w:r w:rsidR="002E3183">
        <w:t xml:space="preserve">, </w:t>
      </w:r>
      <w:r w:rsidR="009962C1">
        <w:t>or based on the baseline rate</w:t>
      </w:r>
      <w:r w:rsidR="009962C1" w:rsidDel="005D0BDB">
        <w:t xml:space="preserve"> </w:t>
      </w:r>
      <w:r w:rsidR="003E7F72">
        <w:t>from the Report, whichever is higher</w:t>
      </w:r>
      <w:r w:rsidR="00BF2BAA" w:rsidDel="002E3183">
        <w:t>.</w:t>
      </w:r>
    </w:p>
    <w:p w14:paraId="6CA65AFF" w14:textId="6B0D279C" w:rsidR="00CF5E49" w:rsidRPr="00C417D7" w:rsidRDefault="00C417D7" w:rsidP="00725912">
      <w:pPr>
        <w:pStyle w:val="Default"/>
        <w:spacing w:after="240"/>
        <w:ind w:left="720"/>
        <w:rPr>
          <w:rFonts w:ascii="Times New Roman" w:hAnsi="Times New Roman" w:cs="Times New Roman"/>
        </w:rPr>
      </w:pPr>
      <w:r w:rsidRPr="004D5959">
        <w:rPr>
          <w:rFonts w:ascii="Times New Roman" w:hAnsi="Times New Roman" w:cs="Times New Roman"/>
          <w:color w:val="242424"/>
          <w:shd w:val="clear" w:color="auto" w:fill="FFFFFF"/>
        </w:rPr>
        <w:t>T</w:t>
      </w:r>
      <w:r w:rsidR="002C0087">
        <w:rPr>
          <w:rFonts w:ascii="Times New Roman" w:hAnsi="Times New Roman" w:cs="Times New Roman"/>
          <w:color w:val="242424"/>
          <w:shd w:val="clear" w:color="auto" w:fill="FFFFFF"/>
        </w:rPr>
        <w:t>exas Rising Star</w:t>
      </w:r>
      <w:r w:rsidR="002C0087" w:rsidDel="00C56F38">
        <w:rPr>
          <w:rFonts w:ascii="Times New Roman" w:hAnsi="Times New Roman" w:cs="Times New Roman"/>
          <w:color w:val="242424"/>
          <w:shd w:val="clear" w:color="auto" w:fill="FFFFFF"/>
        </w:rPr>
        <w:t xml:space="preserve"> </w:t>
      </w:r>
      <w:r w:rsidRPr="004D5959">
        <w:rPr>
          <w:rFonts w:ascii="Times New Roman" w:hAnsi="Times New Roman" w:cs="Times New Roman"/>
          <w:color w:val="242424"/>
          <w:shd w:val="clear" w:color="auto" w:fill="FFFFFF"/>
        </w:rPr>
        <w:t xml:space="preserve">and </w:t>
      </w:r>
      <w:r w:rsidRPr="00952803">
        <w:rPr>
          <w:rFonts w:ascii="Times New Roman" w:hAnsi="Times New Roman" w:cs="Times New Roman"/>
          <w:color w:val="242424"/>
          <w:shd w:val="clear" w:color="auto" w:fill="FFFFFF"/>
        </w:rPr>
        <w:t>Texas School Ready</w:t>
      </w:r>
      <w:r w:rsidR="00C56F38">
        <w:rPr>
          <w:rFonts w:ascii="Times New Roman" w:hAnsi="Times New Roman" w:cs="Times New Roman"/>
          <w:color w:val="242424"/>
          <w:shd w:val="clear" w:color="auto" w:fill="FFFFFF"/>
        </w:rPr>
        <w:t xml:space="preserve"> (TSR)</w:t>
      </w:r>
      <w:r w:rsidR="007C4C8B">
        <w:rPr>
          <w:rFonts w:ascii="Times New Roman" w:hAnsi="Times New Roman" w:cs="Times New Roman"/>
          <w:color w:val="242424"/>
          <w:shd w:val="clear" w:color="auto" w:fill="FFFFFF"/>
        </w:rPr>
        <w:t xml:space="preserve"> </w:t>
      </w:r>
      <w:r w:rsidR="006F63DA">
        <w:rPr>
          <w:rFonts w:ascii="Times New Roman" w:hAnsi="Times New Roman" w:cs="Times New Roman"/>
          <w:color w:val="242424"/>
          <w:shd w:val="clear" w:color="auto" w:fill="FFFFFF"/>
        </w:rPr>
        <w:t xml:space="preserve">maximum </w:t>
      </w:r>
      <w:r w:rsidR="002D74AB">
        <w:rPr>
          <w:rFonts w:ascii="Times New Roman" w:hAnsi="Times New Roman" w:cs="Times New Roman"/>
          <w:color w:val="242424"/>
          <w:shd w:val="clear" w:color="auto" w:fill="FFFFFF"/>
        </w:rPr>
        <w:t>payment</w:t>
      </w:r>
      <w:r w:rsidRPr="00952803">
        <w:rPr>
          <w:rFonts w:ascii="Times New Roman" w:hAnsi="Times New Roman" w:cs="Times New Roman"/>
          <w:color w:val="242424"/>
          <w:shd w:val="clear" w:color="auto" w:fill="FFFFFF"/>
        </w:rPr>
        <w:t xml:space="preserve"> </w:t>
      </w:r>
      <w:r w:rsidR="00C56F38">
        <w:rPr>
          <w:rFonts w:ascii="Times New Roman" w:hAnsi="Times New Roman" w:cs="Times New Roman"/>
          <w:color w:val="242424"/>
          <w:shd w:val="clear" w:color="auto" w:fill="FFFFFF"/>
        </w:rPr>
        <w:t>r</w:t>
      </w:r>
      <w:r w:rsidRPr="00952803">
        <w:rPr>
          <w:rFonts w:ascii="Times New Roman" w:hAnsi="Times New Roman" w:cs="Times New Roman"/>
          <w:color w:val="242424"/>
          <w:shd w:val="clear" w:color="auto" w:fill="FFFFFF"/>
        </w:rPr>
        <w:t xml:space="preserve">ates </w:t>
      </w:r>
      <w:r w:rsidR="00834EFF">
        <w:rPr>
          <w:rFonts w:ascii="Times New Roman" w:hAnsi="Times New Roman" w:cs="Times New Roman"/>
          <w:color w:val="242424"/>
          <w:shd w:val="clear" w:color="auto" w:fill="FFFFFF"/>
        </w:rPr>
        <w:t>continue to be tiered</w:t>
      </w:r>
      <w:r w:rsidRPr="00952803">
        <w:rPr>
          <w:rFonts w:ascii="Times New Roman" w:hAnsi="Times New Roman" w:cs="Times New Roman"/>
          <w:color w:val="242424"/>
          <w:shd w:val="clear" w:color="auto" w:fill="FFFFFF"/>
        </w:rPr>
        <w:t xml:space="preserve"> in accordance</w:t>
      </w:r>
      <w:r w:rsidR="00ED11A9" w:rsidRPr="00952803">
        <w:rPr>
          <w:rFonts w:ascii="Times New Roman" w:hAnsi="Times New Roman" w:cs="Times New Roman"/>
          <w:color w:val="242424"/>
          <w:shd w:val="clear" w:color="auto" w:fill="FFFFFF"/>
        </w:rPr>
        <w:t xml:space="preserve"> with</w:t>
      </w:r>
      <w:r w:rsidRPr="00952803">
        <w:rPr>
          <w:rFonts w:ascii="Times New Roman" w:hAnsi="Times New Roman" w:cs="Times New Roman"/>
          <w:color w:val="242424"/>
          <w:shd w:val="clear" w:color="auto" w:fill="FFFFFF"/>
        </w:rPr>
        <w:t xml:space="preserve"> </w:t>
      </w:r>
      <w:hyperlink r:id="rId17" w:history="1">
        <w:r w:rsidR="004440E8" w:rsidRPr="004440E8">
          <w:rPr>
            <w:rStyle w:val="Hyperlink"/>
            <w:rFonts w:ascii="Times New Roman" w:hAnsi="Times New Roman" w:cs="Times New Roman"/>
            <w:shd w:val="clear" w:color="auto" w:fill="FFFFFF"/>
          </w:rPr>
          <w:t>Texas Workforce Commission Chapter 809 Child Care Services rule</w:t>
        </w:r>
        <w:r w:rsidR="006B02A5" w:rsidRPr="004440E8" w:rsidDel="004440E8">
          <w:rPr>
            <w:rStyle w:val="Hyperlink"/>
            <w:rFonts w:ascii="Times New Roman" w:hAnsi="Times New Roman" w:cs="Times New Roman"/>
          </w:rPr>
          <w:t xml:space="preserve"> </w:t>
        </w:r>
        <w:r w:rsidR="006B02A5" w:rsidRPr="004440E8">
          <w:rPr>
            <w:rStyle w:val="Hyperlink"/>
            <w:rFonts w:ascii="Times New Roman" w:hAnsi="Times New Roman" w:cs="Times New Roman"/>
          </w:rPr>
          <w:t>§809.20</w:t>
        </w:r>
      </w:hyperlink>
      <w:r w:rsidR="006F63DA" w:rsidRPr="000A0683">
        <w:rPr>
          <w:rStyle w:val="Hyperlink"/>
          <w:rFonts w:ascii="Times New Roman" w:hAnsi="Times New Roman" w:cs="Times New Roman"/>
          <w:color w:val="auto"/>
          <w:u w:val="none"/>
        </w:rPr>
        <w:t>.</w:t>
      </w:r>
    </w:p>
    <w:p w14:paraId="028D0EDA" w14:textId="6134F2A1" w:rsidR="007C326F" w:rsidRPr="00AC399C" w:rsidRDefault="00A22B6B" w:rsidP="00D24CEE">
      <w:pPr>
        <w:pStyle w:val="Heading1"/>
        <w:ind w:left="0"/>
        <w:rPr>
          <w:rFonts w:cs="Times New Roman"/>
          <w:b w:val="0"/>
          <w:bCs w:val="0"/>
        </w:rPr>
      </w:pPr>
      <w:r w:rsidRPr="00AC399C">
        <w:rPr>
          <w:rFonts w:cs="Times New Roman"/>
        </w:rPr>
        <w:t>PROCEDURES:</w:t>
      </w:r>
    </w:p>
    <w:p w14:paraId="3003A928" w14:textId="59FCB23A" w:rsidR="008C0D2B" w:rsidRPr="00AC399C" w:rsidRDefault="004A64A1" w:rsidP="00D24CEE">
      <w:pPr>
        <w:pStyle w:val="BodyText"/>
        <w:spacing w:line="240" w:lineRule="auto"/>
        <w:ind w:right="0"/>
        <w:rPr>
          <w:rFonts w:cs="Times New Roman"/>
          <w:szCs w:val="24"/>
        </w:rPr>
      </w:pPr>
      <w:r w:rsidRPr="00AC399C">
        <w:rPr>
          <w:rFonts w:eastAsia="Times New Roman" w:cs="Times New Roman"/>
          <w:b/>
          <w:bCs/>
          <w:szCs w:val="24"/>
        </w:rPr>
        <w:t>No Local Flexibility (NLF)</w:t>
      </w:r>
      <w:r w:rsidRPr="00AC399C">
        <w:rPr>
          <w:rFonts w:eastAsia="Times New Roman" w:cs="Times New Roman"/>
          <w:bCs/>
          <w:szCs w:val="24"/>
        </w:rPr>
        <w:t>: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p>
    <w:p w14:paraId="78B68EE2" w14:textId="6219B43C" w:rsidR="005F6B40" w:rsidRDefault="004A64A1" w:rsidP="007E7116">
      <w:pPr>
        <w:pStyle w:val="BodyText"/>
        <w:spacing w:line="240" w:lineRule="auto"/>
        <w:ind w:right="0"/>
        <w:rPr>
          <w:rFonts w:cs="Times New Roman"/>
          <w:b/>
          <w:szCs w:val="24"/>
          <w:u w:val="single"/>
        </w:rPr>
      </w:pPr>
      <w:r w:rsidRPr="00AC399C">
        <w:rPr>
          <w:rFonts w:eastAsia="Times New Roman" w:cs="Times New Roman"/>
          <w:b/>
          <w:bCs/>
          <w:szCs w:val="24"/>
        </w:rPr>
        <w:t>Local Flexibility (LF)</w:t>
      </w:r>
      <w:r w:rsidRPr="00AC399C">
        <w:rPr>
          <w:rFonts w:eastAsia="Times New Roman" w:cs="Times New Roman"/>
          <w:bCs/>
          <w:szCs w:val="24"/>
        </w:rPr>
        <w:t>: This rating indicates that Boards have local flexibility in</w:t>
      </w:r>
      <w:r w:rsidR="000D7A5C" w:rsidRPr="00AC399C">
        <w:rPr>
          <w:rFonts w:eastAsia="Times New Roman" w:cs="Times New Roman"/>
          <w:bCs/>
          <w:szCs w:val="24"/>
        </w:rPr>
        <w:t xml:space="preserve"> </w:t>
      </w:r>
      <w:r w:rsidRPr="00AC399C">
        <w:rPr>
          <w:rFonts w:eastAsia="Times New Roman" w:cs="Times New Roman"/>
          <w:bCs/>
          <w:szCs w:val="24"/>
        </w:rPr>
        <w:t>determining whether and/or how to implement guidance or recommended practices set forth in this WD Letter. All information with an LF rating is indicated by “may” or “recommend.”</w:t>
      </w:r>
    </w:p>
    <w:p w14:paraId="6BB6DD8B" w14:textId="4CB8A1F9" w:rsidR="00234C13" w:rsidRDefault="00A6754F" w:rsidP="00516EDC">
      <w:pPr>
        <w:pStyle w:val="BodyText"/>
        <w:ind w:right="0" w:hanging="720"/>
        <w:rPr>
          <w:rFonts w:cs="Times New Roman"/>
          <w:b/>
          <w:szCs w:val="24"/>
          <w:u w:val="single"/>
        </w:rPr>
      </w:pPr>
      <w:r w:rsidRPr="3C830A87">
        <w:rPr>
          <w:rFonts w:cs="Times New Roman"/>
          <w:b/>
          <w:bCs/>
          <w:u w:val="single"/>
        </w:rPr>
        <w:t>NLF</w:t>
      </w:r>
      <w:r w:rsidRPr="3C830A87">
        <w:rPr>
          <w:rFonts w:cs="Times New Roman"/>
          <w:b/>
          <w:bCs/>
        </w:rPr>
        <w:t xml:space="preserve">: </w:t>
      </w:r>
      <w:r w:rsidRPr="00AC399C">
        <w:rPr>
          <w:rFonts w:cs="Times New Roman"/>
          <w:b/>
          <w:szCs w:val="24"/>
        </w:rPr>
        <w:tab/>
      </w:r>
      <w:bookmarkStart w:id="3" w:name="_Hlk20927974"/>
      <w:r w:rsidR="007E7116">
        <w:rPr>
          <w:rFonts w:cs="Times New Roman"/>
          <w:szCs w:val="24"/>
        </w:rPr>
        <w:t xml:space="preserve">Boards must be aware that </w:t>
      </w:r>
      <w:r w:rsidR="00E33930">
        <w:rPr>
          <w:rFonts w:cs="Times New Roman"/>
          <w:szCs w:val="24"/>
        </w:rPr>
        <w:t>maximum</w:t>
      </w:r>
      <w:r w:rsidR="00533E81">
        <w:rPr>
          <w:rFonts w:cs="Times New Roman"/>
          <w:szCs w:val="24"/>
        </w:rPr>
        <w:t xml:space="preserve"> </w:t>
      </w:r>
      <w:r w:rsidR="002D74AB">
        <w:rPr>
          <w:rFonts w:cs="Times New Roman"/>
          <w:szCs w:val="24"/>
        </w:rPr>
        <w:t>payment</w:t>
      </w:r>
      <w:r w:rsidR="007C4C8B">
        <w:rPr>
          <w:rFonts w:cs="Times New Roman"/>
          <w:szCs w:val="24"/>
        </w:rPr>
        <w:t xml:space="preserve"> </w:t>
      </w:r>
      <w:r w:rsidR="00736B3A" w:rsidRPr="00317DC6">
        <w:rPr>
          <w:rFonts w:cs="Times New Roman"/>
          <w:szCs w:val="24"/>
        </w:rPr>
        <w:t xml:space="preserve">rates for </w:t>
      </w:r>
      <w:r w:rsidR="00713CB9">
        <w:rPr>
          <w:rFonts w:cs="Times New Roman"/>
          <w:szCs w:val="24"/>
        </w:rPr>
        <w:t xml:space="preserve">licensed homes and registered homes </w:t>
      </w:r>
      <w:r w:rsidR="009910B5">
        <w:rPr>
          <w:rFonts w:cs="Times New Roman"/>
          <w:szCs w:val="24"/>
        </w:rPr>
        <w:t xml:space="preserve">will be set at the </w:t>
      </w:r>
      <w:bookmarkEnd w:id="3"/>
      <w:r w:rsidR="00850CCB">
        <w:rPr>
          <w:rFonts w:cs="Times New Roman"/>
          <w:szCs w:val="24"/>
        </w:rPr>
        <w:t xml:space="preserve">75th percentile in accordance </w:t>
      </w:r>
      <w:r w:rsidR="00C82865">
        <w:rPr>
          <w:rFonts w:cs="Times New Roman"/>
          <w:szCs w:val="24"/>
        </w:rPr>
        <w:t xml:space="preserve">with </w:t>
      </w:r>
      <w:r w:rsidR="007E7116">
        <w:rPr>
          <w:rFonts w:cs="Times New Roman"/>
          <w:szCs w:val="24"/>
        </w:rPr>
        <w:t xml:space="preserve">the </w:t>
      </w:r>
      <w:r w:rsidR="00727640">
        <w:rPr>
          <w:rFonts w:cs="Times New Roman"/>
          <w:szCs w:val="24"/>
        </w:rPr>
        <w:t xml:space="preserve">most recent </w:t>
      </w:r>
      <w:r w:rsidR="001A2BB4">
        <w:rPr>
          <w:rFonts w:cs="Times New Roman"/>
          <w:szCs w:val="24"/>
        </w:rPr>
        <w:t>Market Rate Survey</w:t>
      </w:r>
      <w:r w:rsidR="007E7116">
        <w:rPr>
          <w:rFonts w:cs="Times New Roman"/>
          <w:szCs w:val="24"/>
        </w:rPr>
        <w:t xml:space="preserve">. </w:t>
      </w:r>
      <w:r w:rsidR="00C23E43" w:rsidRPr="00372D9C">
        <w:rPr>
          <w:rFonts w:cs="Times New Roman"/>
          <w:szCs w:val="24"/>
        </w:rPr>
        <w:t>These rate increases are effective October 1</w:t>
      </w:r>
      <w:r w:rsidR="00C23E43">
        <w:rPr>
          <w:rFonts w:cs="Times New Roman"/>
          <w:szCs w:val="24"/>
        </w:rPr>
        <w:t>, 2023</w:t>
      </w:r>
      <w:r w:rsidR="00AB4F33">
        <w:rPr>
          <w:rFonts w:cs="Times New Roman"/>
          <w:szCs w:val="24"/>
        </w:rPr>
        <w:t>.</w:t>
      </w:r>
    </w:p>
    <w:p w14:paraId="519E8333" w14:textId="18DBCDD9" w:rsidR="001C3DAB" w:rsidRDefault="001C3DAB" w:rsidP="00516EDC">
      <w:pPr>
        <w:pStyle w:val="BodyText"/>
        <w:ind w:right="0" w:hanging="720"/>
        <w:rPr>
          <w:rFonts w:cs="Times New Roman"/>
          <w:szCs w:val="24"/>
        </w:rPr>
      </w:pPr>
      <w:r w:rsidRPr="3C830A87">
        <w:rPr>
          <w:rFonts w:cs="Times New Roman"/>
          <w:b/>
          <w:bCs/>
          <w:u w:val="single"/>
        </w:rPr>
        <w:t>NLF</w:t>
      </w:r>
      <w:r w:rsidRPr="3C830A87">
        <w:rPr>
          <w:rFonts w:cs="Times New Roman"/>
          <w:b/>
          <w:bCs/>
        </w:rPr>
        <w:t>:</w:t>
      </w:r>
      <w:r>
        <w:rPr>
          <w:rFonts w:cs="Times New Roman"/>
          <w:b/>
          <w:bCs/>
        </w:rPr>
        <w:tab/>
      </w:r>
      <w:r w:rsidR="00F3429B">
        <w:rPr>
          <w:rFonts w:cs="Times New Roman"/>
        </w:rPr>
        <w:t xml:space="preserve">Additionally, </w:t>
      </w:r>
      <w:r w:rsidRPr="0008232F">
        <w:rPr>
          <w:rFonts w:cs="Times New Roman"/>
          <w:szCs w:val="24"/>
        </w:rPr>
        <w:t xml:space="preserve">Boards must be aware </w:t>
      </w:r>
      <w:r>
        <w:rPr>
          <w:rFonts w:cs="Times New Roman"/>
          <w:szCs w:val="24"/>
        </w:rPr>
        <w:t xml:space="preserve">that </w:t>
      </w:r>
      <w:r w:rsidR="009A02A4">
        <w:rPr>
          <w:rFonts w:cs="Times New Roman"/>
          <w:szCs w:val="24"/>
        </w:rPr>
        <w:t xml:space="preserve">for </w:t>
      </w:r>
      <w:r w:rsidR="005969FF">
        <w:rPr>
          <w:rFonts w:cs="Times New Roman"/>
          <w:szCs w:val="24"/>
        </w:rPr>
        <w:t>licensed child care center</w:t>
      </w:r>
      <w:r w:rsidR="003375AF">
        <w:rPr>
          <w:rFonts w:cs="Times New Roman"/>
          <w:szCs w:val="24"/>
        </w:rPr>
        <w:t>s</w:t>
      </w:r>
      <w:r w:rsidR="009A02A4">
        <w:rPr>
          <w:rFonts w:cs="Times New Roman"/>
          <w:szCs w:val="24"/>
        </w:rPr>
        <w:t xml:space="preserve">, </w:t>
      </w:r>
      <w:r w:rsidR="00371E52">
        <w:rPr>
          <w:rFonts w:cs="Times New Roman"/>
          <w:szCs w:val="24"/>
        </w:rPr>
        <w:t>TWC compared</w:t>
      </w:r>
      <w:r w:rsidR="005969FF">
        <w:rPr>
          <w:rFonts w:cs="Times New Roman"/>
          <w:szCs w:val="24"/>
        </w:rPr>
        <w:t xml:space="preserve"> </w:t>
      </w:r>
      <w:r w:rsidR="00E3763A">
        <w:rPr>
          <w:rFonts w:cs="Times New Roman"/>
          <w:szCs w:val="24"/>
        </w:rPr>
        <w:t xml:space="preserve">rates at </w:t>
      </w:r>
      <w:r w:rsidR="00371E52">
        <w:rPr>
          <w:rFonts w:cs="Times New Roman"/>
          <w:szCs w:val="24"/>
        </w:rPr>
        <w:t xml:space="preserve">the </w:t>
      </w:r>
      <w:r w:rsidR="00E3763A">
        <w:rPr>
          <w:rFonts w:cs="Times New Roman"/>
          <w:szCs w:val="24"/>
        </w:rPr>
        <w:t xml:space="preserve">75th percentile </w:t>
      </w:r>
      <w:r w:rsidR="009A02A4">
        <w:rPr>
          <w:rFonts w:cs="Times New Roman"/>
          <w:szCs w:val="24"/>
        </w:rPr>
        <w:t>of the</w:t>
      </w:r>
      <w:r w:rsidR="00140B49">
        <w:rPr>
          <w:rFonts w:cs="Times New Roman"/>
          <w:szCs w:val="24"/>
        </w:rPr>
        <w:t xml:space="preserve"> </w:t>
      </w:r>
      <w:hyperlink r:id="rId18" w:history="1">
        <w:r w:rsidR="00140B49">
          <w:rPr>
            <w:rStyle w:val="Hyperlink"/>
            <w:shd w:val="clear" w:color="auto" w:fill="FFFFFF"/>
          </w:rPr>
          <w:t>2023 Texas Child Care Market Rate Survey</w:t>
        </w:r>
      </w:hyperlink>
      <w:r w:rsidR="009A02A4">
        <w:rPr>
          <w:rFonts w:cs="Times New Roman"/>
          <w:szCs w:val="24"/>
        </w:rPr>
        <w:t xml:space="preserve"> </w:t>
      </w:r>
      <w:r w:rsidR="00E3763A">
        <w:rPr>
          <w:rFonts w:cs="Times New Roman"/>
          <w:szCs w:val="24"/>
        </w:rPr>
        <w:t xml:space="preserve">to the cost </w:t>
      </w:r>
      <w:r w:rsidR="007E7D3C">
        <w:rPr>
          <w:rFonts w:cs="Times New Roman"/>
          <w:szCs w:val="24"/>
        </w:rPr>
        <w:t>of care</w:t>
      </w:r>
      <w:r w:rsidR="00B179A7">
        <w:rPr>
          <w:rFonts w:cs="Times New Roman"/>
          <w:szCs w:val="24"/>
        </w:rPr>
        <w:t xml:space="preserve"> at </w:t>
      </w:r>
      <w:r w:rsidR="00123E3B">
        <w:rPr>
          <w:rFonts w:cs="Times New Roman"/>
          <w:szCs w:val="24"/>
        </w:rPr>
        <w:t xml:space="preserve">a baseline level of </w:t>
      </w:r>
      <w:r w:rsidR="00FB7FBB">
        <w:rPr>
          <w:rFonts w:cs="Times New Roman"/>
          <w:szCs w:val="24"/>
        </w:rPr>
        <w:t>quality</w:t>
      </w:r>
      <w:r w:rsidR="002A50DC">
        <w:rPr>
          <w:rFonts w:cs="Times New Roman"/>
          <w:szCs w:val="24"/>
        </w:rPr>
        <w:t xml:space="preserve"> (</w:t>
      </w:r>
      <w:r w:rsidR="00411BBA">
        <w:rPr>
          <w:rFonts w:cs="Times New Roman"/>
          <w:szCs w:val="24"/>
        </w:rPr>
        <w:t xml:space="preserve">that is, </w:t>
      </w:r>
      <w:r w:rsidR="002A50DC">
        <w:rPr>
          <w:rFonts w:cs="Times New Roman"/>
          <w:szCs w:val="24"/>
        </w:rPr>
        <w:t>meeting basic health and safety standards)</w:t>
      </w:r>
      <w:r w:rsidR="005969FF">
        <w:rPr>
          <w:rFonts w:cs="Times New Roman"/>
          <w:szCs w:val="24"/>
        </w:rPr>
        <w:t xml:space="preserve">, as </w:t>
      </w:r>
      <w:r w:rsidR="00D86165">
        <w:rPr>
          <w:rFonts w:cs="Times New Roman"/>
          <w:szCs w:val="24"/>
        </w:rPr>
        <w:t>modeled</w:t>
      </w:r>
      <w:r w:rsidR="005969FF">
        <w:rPr>
          <w:rFonts w:cs="Times New Roman"/>
          <w:szCs w:val="24"/>
        </w:rPr>
        <w:t xml:space="preserve"> in the</w:t>
      </w:r>
      <w:r w:rsidR="005969FF" w:rsidRPr="00583084">
        <w:t xml:space="preserve"> </w:t>
      </w:r>
      <w:hyperlink r:id="rId19" w:history="1">
        <w:r w:rsidR="00EE0BE5" w:rsidRPr="00EE0BE5">
          <w:rPr>
            <w:rStyle w:val="Hyperlink"/>
          </w:rPr>
          <w:t>2023 Cost of Quality Price Modeling Report</w:t>
        </w:r>
      </w:hyperlink>
      <w:r w:rsidR="00796AAA">
        <w:rPr>
          <w:rFonts w:cs="Times New Roman"/>
          <w:szCs w:val="24"/>
        </w:rPr>
        <w:t xml:space="preserve">. Any </w:t>
      </w:r>
      <w:r w:rsidR="00E7354A">
        <w:rPr>
          <w:rFonts w:cs="Times New Roman"/>
          <w:szCs w:val="24"/>
        </w:rPr>
        <w:t xml:space="preserve">rate </w:t>
      </w:r>
      <w:r w:rsidR="00485422">
        <w:rPr>
          <w:rFonts w:cs="Times New Roman"/>
          <w:szCs w:val="24"/>
        </w:rPr>
        <w:t>that fell below the</w:t>
      </w:r>
      <w:r w:rsidR="00F97761">
        <w:rPr>
          <w:rFonts w:cs="Times New Roman"/>
          <w:szCs w:val="24"/>
        </w:rPr>
        <w:t xml:space="preserve"> baseline </w:t>
      </w:r>
      <w:r w:rsidR="00E40D08">
        <w:rPr>
          <w:rFonts w:cs="Times New Roman"/>
          <w:szCs w:val="24"/>
        </w:rPr>
        <w:t>cost</w:t>
      </w:r>
      <w:r w:rsidR="00F97761">
        <w:rPr>
          <w:rFonts w:cs="Times New Roman"/>
          <w:szCs w:val="24"/>
        </w:rPr>
        <w:t xml:space="preserve"> was increased to </w:t>
      </w:r>
      <w:r w:rsidR="00343203">
        <w:rPr>
          <w:rFonts w:cs="Times New Roman"/>
          <w:szCs w:val="24"/>
        </w:rPr>
        <w:t>meet the baseline.</w:t>
      </w:r>
      <w:r w:rsidR="00372D9C" w:rsidRPr="00372D9C">
        <w:t xml:space="preserve"> </w:t>
      </w:r>
      <w:r w:rsidR="00372D9C" w:rsidRPr="00372D9C">
        <w:rPr>
          <w:rFonts w:cs="Times New Roman"/>
          <w:szCs w:val="24"/>
        </w:rPr>
        <w:t>These rate increases are effective October 1</w:t>
      </w:r>
      <w:r w:rsidR="00C7350C">
        <w:rPr>
          <w:rFonts w:cs="Times New Roman"/>
          <w:szCs w:val="24"/>
        </w:rPr>
        <w:t>, 2023</w:t>
      </w:r>
      <w:r w:rsidR="00372D9C" w:rsidRPr="00372D9C">
        <w:rPr>
          <w:rFonts w:cs="Times New Roman"/>
          <w:szCs w:val="24"/>
        </w:rPr>
        <w:t>.</w:t>
      </w:r>
    </w:p>
    <w:p w14:paraId="657022FB" w14:textId="003E4592" w:rsidR="0008232F" w:rsidRDefault="00234C13" w:rsidP="00516EDC">
      <w:pPr>
        <w:pStyle w:val="BodyText"/>
        <w:ind w:right="0" w:hanging="720"/>
        <w:rPr>
          <w:rFonts w:cs="Times New Roman"/>
          <w:szCs w:val="24"/>
        </w:rPr>
      </w:pPr>
      <w:r w:rsidRPr="3C830A87">
        <w:rPr>
          <w:rFonts w:cs="Times New Roman"/>
          <w:b/>
          <w:bCs/>
          <w:u w:val="single"/>
        </w:rPr>
        <w:t>NLF</w:t>
      </w:r>
      <w:r w:rsidRPr="3C830A87">
        <w:rPr>
          <w:rFonts w:cs="Times New Roman"/>
          <w:b/>
          <w:bCs/>
        </w:rPr>
        <w:t>:</w:t>
      </w:r>
      <w:r w:rsidR="0008232F">
        <w:rPr>
          <w:rFonts w:cs="Times New Roman"/>
          <w:b/>
          <w:bCs/>
        </w:rPr>
        <w:tab/>
      </w:r>
      <w:r w:rsidR="003D1EEA" w:rsidRPr="003D1EEA">
        <w:rPr>
          <w:rFonts w:cs="Times New Roman"/>
        </w:rPr>
        <w:t>Furthermore,</w:t>
      </w:r>
      <w:r w:rsidR="003D1EEA">
        <w:rPr>
          <w:rFonts w:cs="Times New Roman"/>
          <w:b/>
          <w:bCs/>
        </w:rPr>
        <w:t xml:space="preserve"> </w:t>
      </w:r>
      <w:r w:rsidR="0008232F" w:rsidRPr="0008232F">
        <w:rPr>
          <w:rFonts w:cs="Times New Roman"/>
          <w:szCs w:val="24"/>
        </w:rPr>
        <w:t xml:space="preserve">Boards must be aware that if a local </w:t>
      </w:r>
      <w:r w:rsidR="002D74AB">
        <w:rPr>
          <w:rFonts w:cs="Times New Roman"/>
          <w:szCs w:val="24"/>
        </w:rPr>
        <w:t>payment</w:t>
      </w:r>
      <w:r w:rsidR="0008232F" w:rsidRPr="0008232F">
        <w:rPr>
          <w:rFonts w:cs="Times New Roman"/>
          <w:szCs w:val="24"/>
        </w:rPr>
        <w:t xml:space="preserve"> rate for a category of care </w:t>
      </w:r>
      <w:r w:rsidR="000619ED">
        <w:rPr>
          <w:rFonts w:cs="Times New Roman"/>
          <w:szCs w:val="24"/>
        </w:rPr>
        <w:t>was</w:t>
      </w:r>
      <w:r w:rsidR="00A20F4A" w:rsidRPr="0008232F">
        <w:rPr>
          <w:rFonts w:cs="Times New Roman"/>
          <w:szCs w:val="24"/>
        </w:rPr>
        <w:t xml:space="preserve"> </w:t>
      </w:r>
      <w:r w:rsidR="0008232F" w:rsidRPr="0008232F">
        <w:rPr>
          <w:rFonts w:cs="Times New Roman"/>
          <w:szCs w:val="24"/>
        </w:rPr>
        <w:t xml:space="preserve">in effect before </w:t>
      </w:r>
      <w:r w:rsidR="00943300">
        <w:rPr>
          <w:rFonts w:cs="Times New Roman"/>
          <w:szCs w:val="24"/>
        </w:rPr>
        <w:t>October 1</w:t>
      </w:r>
      <w:r w:rsidR="00357B7E">
        <w:rPr>
          <w:rFonts w:cs="Times New Roman"/>
          <w:szCs w:val="24"/>
        </w:rPr>
        <w:t>, 2023,</w:t>
      </w:r>
      <w:r w:rsidR="00A43719">
        <w:rPr>
          <w:rFonts w:cs="Times New Roman"/>
          <w:szCs w:val="24"/>
        </w:rPr>
        <w:t xml:space="preserve"> </w:t>
      </w:r>
      <w:r w:rsidR="00943300" w:rsidRPr="0008232F">
        <w:rPr>
          <w:rFonts w:cs="Times New Roman"/>
          <w:szCs w:val="24"/>
        </w:rPr>
        <w:t>and</w:t>
      </w:r>
      <w:r w:rsidR="0008232F" w:rsidRPr="0008232F">
        <w:rPr>
          <w:rFonts w:cs="Times New Roman"/>
          <w:szCs w:val="24"/>
        </w:rPr>
        <w:t xml:space="preserve"> is higher than the calculated increased rate for that category, the higher rate </w:t>
      </w:r>
      <w:r w:rsidR="00B93517">
        <w:rPr>
          <w:rFonts w:cs="Times New Roman"/>
          <w:szCs w:val="24"/>
        </w:rPr>
        <w:t>will remain</w:t>
      </w:r>
      <w:r w:rsidR="0008232F" w:rsidRPr="0008232F">
        <w:rPr>
          <w:rFonts w:cs="Times New Roman"/>
          <w:szCs w:val="24"/>
        </w:rPr>
        <w:t xml:space="preserve"> in effect </w:t>
      </w:r>
      <w:r w:rsidR="00A20F4A">
        <w:rPr>
          <w:rFonts w:cs="Times New Roman"/>
          <w:szCs w:val="24"/>
        </w:rPr>
        <w:t>after</w:t>
      </w:r>
      <w:r w:rsidR="00A20F4A" w:rsidRPr="0008232F">
        <w:rPr>
          <w:rFonts w:cs="Times New Roman"/>
          <w:szCs w:val="24"/>
        </w:rPr>
        <w:t xml:space="preserve"> </w:t>
      </w:r>
      <w:r w:rsidR="0008232F">
        <w:rPr>
          <w:rFonts w:cs="Times New Roman"/>
          <w:szCs w:val="24"/>
        </w:rPr>
        <w:t>October 1</w:t>
      </w:r>
      <w:r w:rsidR="00B93517">
        <w:rPr>
          <w:rFonts w:cs="Times New Roman"/>
          <w:szCs w:val="24"/>
        </w:rPr>
        <w:t>, 2023</w:t>
      </w:r>
      <w:r w:rsidR="0008232F" w:rsidRPr="0008232F">
        <w:rPr>
          <w:rFonts w:cs="Times New Roman"/>
          <w:szCs w:val="24"/>
        </w:rPr>
        <w:t xml:space="preserve">. No provider </w:t>
      </w:r>
      <w:r w:rsidR="002D74AB">
        <w:rPr>
          <w:rFonts w:cs="Times New Roman"/>
          <w:szCs w:val="24"/>
        </w:rPr>
        <w:t>payment</w:t>
      </w:r>
      <w:r w:rsidR="007C4C8B">
        <w:rPr>
          <w:rFonts w:cs="Times New Roman"/>
          <w:szCs w:val="24"/>
        </w:rPr>
        <w:t xml:space="preserve"> </w:t>
      </w:r>
      <w:r w:rsidR="0008232F" w:rsidRPr="0008232F">
        <w:rPr>
          <w:rFonts w:cs="Times New Roman"/>
          <w:szCs w:val="24"/>
        </w:rPr>
        <w:t xml:space="preserve">rates </w:t>
      </w:r>
      <w:r w:rsidR="000619ED">
        <w:rPr>
          <w:rFonts w:cs="Times New Roman"/>
          <w:szCs w:val="24"/>
        </w:rPr>
        <w:t>will</w:t>
      </w:r>
      <w:r w:rsidR="000619ED" w:rsidRPr="0008232F">
        <w:rPr>
          <w:rFonts w:cs="Times New Roman"/>
          <w:szCs w:val="24"/>
        </w:rPr>
        <w:t xml:space="preserve"> </w:t>
      </w:r>
      <w:r w:rsidR="0008232F" w:rsidRPr="0008232F">
        <w:rPr>
          <w:rFonts w:cs="Times New Roman"/>
          <w:szCs w:val="24"/>
        </w:rPr>
        <w:t xml:space="preserve">be </w:t>
      </w:r>
      <w:r w:rsidR="0008232F">
        <w:rPr>
          <w:rFonts w:cs="Times New Roman"/>
          <w:szCs w:val="24"/>
        </w:rPr>
        <w:t>reduced based on this guidance.</w:t>
      </w:r>
    </w:p>
    <w:p w14:paraId="39FE8735" w14:textId="73C99C9A" w:rsidR="00CB6926" w:rsidRDefault="00CB6926" w:rsidP="008E3ADF">
      <w:pPr>
        <w:pStyle w:val="BodyText"/>
        <w:spacing w:after="0"/>
        <w:ind w:right="0" w:hanging="720"/>
        <w:rPr>
          <w:rFonts w:cs="Times New Roman"/>
          <w:szCs w:val="24"/>
        </w:rPr>
      </w:pPr>
      <w:r w:rsidRPr="3C830A87">
        <w:rPr>
          <w:rFonts w:cs="Times New Roman"/>
          <w:b/>
          <w:bCs/>
          <w:u w:val="single"/>
        </w:rPr>
        <w:t>NLF</w:t>
      </w:r>
      <w:r w:rsidRPr="3C830A87">
        <w:rPr>
          <w:rFonts w:cs="Times New Roman"/>
          <w:b/>
          <w:bCs/>
        </w:rPr>
        <w:t>:</w:t>
      </w:r>
      <w:r>
        <w:rPr>
          <w:rFonts w:cs="Times New Roman"/>
          <w:b/>
          <w:bCs/>
        </w:rPr>
        <w:tab/>
      </w:r>
      <w:r w:rsidR="00F7704D">
        <w:t>Boards must be aware that Texas Rising Star</w:t>
      </w:r>
      <w:r w:rsidR="00C956AA">
        <w:t>–</w:t>
      </w:r>
      <w:r w:rsidR="00335F40">
        <w:rPr>
          <w:rFonts w:cs="Times New Roman"/>
          <w:szCs w:val="24"/>
        </w:rPr>
        <w:t xml:space="preserve">certified </w:t>
      </w:r>
      <w:r w:rsidR="00451ABC">
        <w:rPr>
          <w:rFonts w:cs="Times New Roman"/>
          <w:szCs w:val="24"/>
        </w:rPr>
        <w:t>providers receive a</w:t>
      </w:r>
      <w:r w:rsidR="00BA4EEE">
        <w:rPr>
          <w:rFonts w:cs="Times New Roman"/>
          <w:szCs w:val="24"/>
        </w:rPr>
        <w:t xml:space="preserve">n increased </w:t>
      </w:r>
      <w:r w:rsidR="002D74AB">
        <w:rPr>
          <w:rFonts w:cs="Times New Roman"/>
          <w:szCs w:val="24"/>
        </w:rPr>
        <w:t>payment</w:t>
      </w:r>
      <w:r w:rsidR="00BA4EEE">
        <w:rPr>
          <w:rFonts w:cs="Times New Roman"/>
          <w:szCs w:val="24"/>
        </w:rPr>
        <w:t xml:space="preserve"> rate</w:t>
      </w:r>
      <w:r w:rsidR="00756463">
        <w:rPr>
          <w:rFonts w:cs="Times New Roman"/>
          <w:szCs w:val="24"/>
        </w:rPr>
        <w:t>,</w:t>
      </w:r>
      <w:r w:rsidR="00BA4EEE">
        <w:rPr>
          <w:rFonts w:cs="Times New Roman"/>
          <w:szCs w:val="24"/>
        </w:rPr>
        <w:t xml:space="preserve"> as follows:</w:t>
      </w:r>
    </w:p>
    <w:p w14:paraId="040C703B" w14:textId="2E976AFF" w:rsidR="00E505B0" w:rsidRDefault="00A040D4" w:rsidP="00F60182">
      <w:pPr>
        <w:pStyle w:val="BodyText"/>
        <w:numPr>
          <w:ilvl w:val="0"/>
          <w:numId w:val="21"/>
        </w:numPr>
        <w:spacing w:after="0"/>
        <w:ind w:right="0"/>
        <w:rPr>
          <w:rFonts w:cs="Times New Roman"/>
          <w:szCs w:val="24"/>
        </w:rPr>
      </w:pPr>
      <w:r>
        <w:rPr>
          <w:rFonts w:cs="Times New Roman"/>
          <w:szCs w:val="24"/>
        </w:rPr>
        <w:t xml:space="preserve">Texas </w:t>
      </w:r>
      <w:r w:rsidR="00AA0842">
        <w:rPr>
          <w:rFonts w:cs="Times New Roman"/>
          <w:szCs w:val="24"/>
        </w:rPr>
        <w:t xml:space="preserve">Rising </w:t>
      </w:r>
      <w:r w:rsidR="00AD2A6B">
        <w:rPr>
          <w:rFonts w:cs="Times New Roman"/>
          <w:szCs w:val="24"/>
        </w:rPr>
        <w:t>Star</w:t>
      </w:r>
      <w:r w:rsidR="00AA0842">
        <w:rPr>
          <w:rFonts w:cs="Times New Roman"/>
          <w:szCs w:val="24"/>
        </w:rPr>
        <w:t xml:space="preserve"> </w:t>
      </w:r>
      <w:r w:rsidR="0046070C">
        <w:rPr>
          <w:rFonts w:cs="Times New Roman"/>
          <w:szCs w:val="24"/>
        </w:rPr>
        <w:t>Four</w:t>
      </w:r>
      <w:r w:rsidR="00210C6B">
        <w:rPr>
          <w:rFonts w:cs="Times New Roman"/>
          <w:szCs w:val="24"/>
        </w:rPr>
        <w:t>-</w:t>
      </w:r>
      <w:r w:rsidR="00612D4B">
        <w:rPr>
          <w:rFonts w:cs="Times New Roman"/>
          <w:szCs w:val="24"/>
        </w:rPr>
        <w:t xml:space="preserve">Star </w:t>
      </w:r>
      <w:r w:rsidR="00210C6B">
        <w:rPr>
          <w:rFonts w:cs="Times New Roman"/>
          <w:szCs w:val="24"/>
        </w:rPr>
        <w:t>providers</w:t>
      </w:r>
      <w:r w:rsidR="004F3038">
        <w:rPr>
          <w:rFonts w:cs="Times New Roman"/>
          <w:szCs w:val="24"/>
        </w:rPr>
        <w:t xml:space="preserve">’ </w:t>
      </w:r>
      <w:r w:rsidR="002D74AB">
        <w:rPr>
          <w:rFonts w:cs="Times New Roman"/>
          <w:szCs w:val="24"/>
        </w:rPr>
        <w:t>payment</w:t>
      </w:r>
      <w:r w:rsidR="004F3038">
        <w:rPr>
          <w:rFonts w:cs="Times New Roman"/>
          <w:szCs w:val="24"/>
        </w:rPr>
        <w:t xml:space="preserve"> rates</w:t>
      </w:r>
      <w:r w:rsidR="00210C6B">
        <w:rPr>
          <w:rFonts w:cs="Times New Roman"/>
          <w:szCs w:val="24"/>
        </w:rPr>
        <w:t xml:space="preserve"> </w:t>
      </w:r>
      <w:r w:rsidR="004F3038">
        <w:rPr>
          <w:rFonts w:cs="Times New Roman"/>
          <w:szCs w:val="24"/>
        </w:rPr>
        <w:t xml:space="preserve">must be set </w:t>
      </w:r>
      <w:r w:rsidR="00210C6B">
        <w:rPr>
          <w:rFonts w:cs="Times New Roman"/>
          <w:szCs w:val="24"/>
        </w:rPr>
        <w:t xml:space="preserve">at </w:t>
      </w:r>
      <w:r w:rsidR="005156C5">
        <w:rPr>
          <w:rFonts w:cs="Times New Roman"/>
          <w:szCs w:val="24"/>
        </w:rPr>
        <w:t>9 percent greater</w:t>
      </w:r>
      <w:r w:rsidR="00F52E7B">
        <w:rPr>
          <w:rFonts w:cs="Times New Roman"/>
          <w:szCs w:val="24"/>
        </w:rPr>
        <w:t xml:space="preserve"> than </w:t>
      </w:r>
      <w:r w:rsidR="00C11C8C" w:rsidRPr="00C11C8C">
        <w:rPr>
          <w:rFonts w:cs="Times New Roman"/>
          <w:szCs w:val="24"/>
        </w:rPr>
        <w:t>non–Texas Rising Star providers’ regular child care rates.</w:t>
      </w:r>
    </w:p>
    <w:p w14:paraId="4AA7CADE" w14:textId="7F342951" w:rsidR="00210C6B" w:rsidRDefault="00A040D4" w:rsidP="00F60182">
      <w:pPr>
        <w:pStyle w:val="BodyText"/>
        <w:numPr>
          <w:ilvl w:val="0"/>
          <w:numId w:val="21"/>
        </w:numPr>
        <w:spacing w:after="0"/>
        <w:ind w:right="0"/>
        <w:rPr>
          <w:rFonts w:cs="Times New Roman"/>
          <w:szCs w:val="24"/>
        </w:rPr>
      </w:pPr>
      <w:r>
        <w:rPr>
          <w:rFonts w:cs="Times New Roman"/>
          <w:szCs w:val="24"/>
        </w:rPr>
        <w:t xml:space="preserve">Texas </w:t>
      </w:r>
      <w:r w:rsidR="00AA0842">
        <w:rPr>
          <w:rFonts w:cs="Times New Roman"/>
          <w:szCs w:val="24"/>
        </w:rPr>
        <w:t xml:space="preserve">Rising </w:t>
      </w:r>
      <w:r w:rsidR="00AD2A6B">
        <w:rPr>
          <w:rFonts w:cs="Times New Roman"/>
          <w:szCs w:val="24"/>
        </w:rPr>
        <w:t>Star</w:t>
      </w:r>
      <w:r w:rsidR="00AA0842">
        <w:rPr>
          <w:rFonts w:cs="Times New Roman"/>
          <w:szCs w:val="24"/>
        </w:rPr>
        <w:t xml:space="preserve"> </w:t>
      </w:r>
      <w:r w:rsidR="0046070C">
        <w:rPr>
          <w:rFonts w:cs="Times New Roman"/>
          <w:szCs w:val="24"/>
        </w:rPr>
        <w:t>Three</w:t>
      </w:r>
      <w:r w:rsidR="00210C6B">
        <w:rPr>
          <w:rFonts w:cs="Times New Roman"/>
          <w:szCs w:val="24"/>
        </w:rPr>
        <w:t>-</w:t>
      </w:r>
      <w:r w:rsidR="00A10979">
        <w:rPr>
          <w:rFonts w:cs="Times New Roman"/>
          <w:szCs w:val="24"/>
        </w:rPr>
        <w:t xml:space="preserve">Star </w:t>
      </w:r>
      <w:r w:rsidR="00210C6B">
        <w:rPr>
          <w:rFonts w:cs="Times New Roman"/>
          <w:szCs w:val="24"/>
        </w:rPr>
        <w:t>providers</w:t>
      </w:r>
      <w:r w:rsidR="004F3038">
        <w:rPr>
          <w:rFonts w:cs="Times New Roman"/>
          <w:szCs w:val="24"/>
        </w:rPr>
        <w:t xml:space="preserve">’ </w:t>
      </w:r>
      <w:r w:rsidR="002D74AB">
        <w:rPr>
          <w:rFonts w:cs="Times New Roman"/>
          <w:szCs w:val="24"/>
        </w:rPr>
        <w:t>payment</w:t>
      </w:r>
      <w:r w:rsidR="004F3038">
        <w:rPr>
          <w:rFonts w:cs="Times New Roman"/>
          <w:szCs w:val="24"/>
        </w:rPr>
        <w:t xml:space="preserve"> rates must be set</w:t>
      </w:r>
      <w:r w:rsidR="00210C6B">
        <w:rPr>
          <w:rFonts w:cs="Times New Roman"/>
          <w:szCs w:val="24"/>
        </w:rPr>
        <w:t xml:space="preserve"> at </w:t>
      </w:r>
      <w:r w:rsidR="005156C5">
        <w:rPr>
          <w:rFonts w:cs="Times New Roman"/>
          <w:szCs w:val="24"/>
        </w:rPr>
        <w:t xml:space="preserve">7 </w:t>
      </w:r>
      <w:r w:rsidR="00210C6B">
        <w:rPr>
          <w:rFonts w:cs="Times New Roman"/>
          <w:szCs w:val="24"/>
        </w:rPr>
        <w:t>percent</w:t>
      </w:r>
      <w:r w:rsidR="005156C5">
        <w:rPr>
          <w:rFonts w:cs="Times New Roman"/>
          <w:szCs w:val="24"/>
        </w:rPr>
        <w:t xml:space="preserve"> greater</w:t>
      </w:r>
      <w:r w:rsidR="00210C6B">
        <w:rPr>
          <w:rFonts w:cs="Times New Roman"/>
          <w:szCs w:val="24"/>
        </w:rPr>
        <w:t xml:space="preserve"> </w:t>
      </w:r>
      <w:r w:rsidR="00732257">
        <w:rPr>
          <w:rFonts w:cs="Times New Roman"/>
          <w:szCs w:val="24"/>
        </w:rPr>
        <w:t xml:space="preserve">than </w:t>
      </w:r>
      <w:r w:rsidR="00C11C8C" w:rsidRPr="00C11C8C">
        <w:rPr>
          <w:rFonts w:cs="Times New Roman"/>
          <w:szCs w:val="24"/>
        </w:rPr>
        <w:t>non–Texas Rising Star providers’ regular child care rates.</w:t>
      </w:r>
    </w:p>
    <w:p w14:paraId="1ADD35EB" w14:textId="4D1F2B2A" w:rsidR="00A04603" w:rsidRPr="0008232F" w:rsidRDefault="00ED5E21" w:rsidP="00516EDC">
      <w:pPr>
        <w:pStyle w:val="BodyText"/>
        <w:numPr>
          <w:ilvl w:val="0"/>
          <w:numId w:val="21"/>
        </w:numPr>
        <w:ind w:right="0"/>
        <w:rPr>
          <w:rFonts w:cs="Times New Roman"/>
          <w:szCs w:val="24"/>
        </w:rPr>
      </w:pPr>
      <w:r>
        <w:rPr>
          <w:rFonts w:cs="Times New Roman"/>
          <w:szCs w:val="24"/>
        </w:rPr>
        <w:t xml:space="preserve">Texas </w:t>
      </w:r>
      <w:r w:rsidR="00AA0842">
        <w:rPr>
          <w:rFonts w:cs="Times New Roman"/>
          <w:szCs w:val="24"/>
        </w:rPr>
        <w:t xml:space="preserve">Rising </w:t>
      </w:r>
      <w:r w:rsidR="00AD2A6B">
        <w:rPr>
          <w:rFonts w:cs="Times New Roman"/>
          <w:szCs w:val="24"/>
        </w:rPr>
        <w:t>Star</w:t>
      </w:r>
      <w:r w:rsidR="00AA0842">
        <w:rPr>
          <w:rFonts w:cs="Times New Roman"/>
          <w:szCs w:val="24"/>
        </w:rPr>
        <w:t xml:space="preserve"> </w:t>
      </w:r>
      <w:r w:rsidR="0046070C">
        <w:rPr>
          <w:rFonts w:cs="Times New Roman"/>
          <w:szCs w:val="24"/>
        </w:rPr>
        <w:t>Two</w:t>
      </w:r>
      <w:r w:rsidR="00A04603">
        <w:rPr>
          <w:rFonts w:cs="Times New Roman"/>
          <w:szCs w:val="24"/>
        </w:rPr>
        <w:t>-</w:t>
      </w:r>
      <w:r w:rsidR="00A10979">
        <w:rPr>
          <w:rFonts w:cs="Times New Roman"/>
          <w:szCs w:val="24"/>
        </w:rPr>
        <w:t xml:space="preserve">Star </w:t>
      </w:r>
      <w:r w:rsidR="00A04603">
        <w:rPr>
          <w:rFonts w:cs="Times New Roman"/>
          <w:szCs w:val="24"/>
        </w:rPr>
        <w:t>providers</w:t>
      </w:r>
      <w:r w:rsidR="004440E8">
        <w:rPr>
          <w:rFonts w:cs="Times New Roman"/>
          <w:szCs w:val="24"/>
        </w:rPr>
        <w:t xml:space="preserve">’ </w:t>
      </w:r>
      <w:r w:rsidR="002D74AB">
        <w:rPr>
          <w:rFonts w:cs="Times New Roman"/>
          <w:szCs w:val="24"/>
        </w:rPr>
        <w:t>payment</w:t>
      </w:r>
      <w:r w:rsidR="004440E8">
        <w:rPr>
          <w:rFonts w:cs="Times New Roman"/>
          <w:szCs w:val="24"/>
        </w:rPr>
        <w:t xml:space="preserve"> rates must be set</w:t>
      </w:r>
      <w:r w:rsidR="00A04603">
        <w:rPr>
          <w:rFonts w:cs="Times New Roman"/>
          <w:szCs w:val="24"/>
        </w:rPr>
        <w:t xml:space="preserve"> at </w:t>
      </w:r>
      <w:r w:rsidR="005156C5">
        <w:rPr>
          <w:rFonts w:cs="Times New Roman"/>
          <w:szCs w:val="24"/>
        </w:rPr>
        <w:t>5</w:t>
      </w:r>
      <w:r w:rsidR="00A04603">
        <w:rPr>
          <w:rFonts w:cs="Times New Roman"/>
          <w:szCs w:val="24"/>
        </w:rPr>
        <w:t xml:space="preserve"> p</w:t>
      </w:r>
      <w:r w:rsidR="003F60A4">
        <w:rPr>
          <w:rFonts w:cs="Times New Roman"/>
          <w:szCs w:val="24"/>
        </w:rPr>
        <w:t xml:space="preserve">ercent </w:t>
      </w:r>
      <w:r w:rsidR="006373B3">
        <w:rPr>
          <w:rFonts w:cs="Times New Roman"/>
          <w:szCs w:val="24"/>
        </w:rPr>
        <w:t>greater</w:t>
      </w:r>
      <w:r w:rsidR="00732257">
        <w:rPr>
          <w:rFonts w:cs="Times New Roman"/>
          <w:szCs w:val="24"/>
        </w:rPr>
        <w:t xml:space="preserve"> than non</w:t>
      </w:r>
      <w:r w:rsidR="00756463">
        <w:rPr>
          <w:rFonts w:cs="Times New Roman"/>
          <w:szCs w:val="24"/>
        </w:rPr>
        <w:t xml:space="preserve">–Texas Rising Star </w:t>
      </w:r>
      <w:r w:rsidR="00732257">
        <w:rPr>
          <w:rFonts w:cs="Times New Roman"/>
          <w:szCs w:val="24"/>
        </w:rPr>
        <w:t>providers</w:t>
      </w:r>
      <w:r w:rsidR="0046070C">
        <w:rPr>
          <w:rFonts w:cs="Times New Roman"/>
          <w:szCs w:val="24"/>
        </w:rPr>
        <w:t>’</w:t>
      </w:r>
      <w:r w:rsidR="00240DB9">
        <w:rPr>
          <w:rFonts w:cs="Times New Roman"/>
          <w:szCs w:val="24"/>
        </w:rPr>
        <w:t xml:space="preserve"> regular child care rates</w:t>
      </w:r>
      <w:r w:rsidR="00B63825">
        <w:rPr>
          <w:rFonts w:cs="Times New Roman"/>
          <w:szCs w:val="24"/>
        </w:rPr>
        <w:t>.</w:t>
      </w:r>
    </w:p>
    <w:p w14:paraId="0778EE5C" w14:textId="0EEBA361" w:rsidR="0008232F" w:rsidRDefault="0008232F" w:rsidP="00516EDC">
      <w:pPr>
        <w:pStyle w:val="BodyText"/>
        <w:ind w:right="0" w:hanging="720"/>
        <w:rPr>
          <w:rFonts w:cs="Times New Roman"/>
          <w:szCs w:val="24"/>
        </w:rPr>
      </w:pPr>
      <w:r w:rsidRPr="3C830A87">
        <w:rPr>
          <w:rFonts w:cs="Times New Roman"/>
          <w:b/>
          <w:bCs/>
          <w:u w:val="single"/>
        </w:rPr>
        <w:t>NLF</w:t>
      </w:r>
      <w:r w:rsidRPr="3C830A87">
        <w:rPr>
          <w:rFonts w:cs="Times New Roman"/>
          <w:b/>
          <w:bCs/>
        </w:rPr>
        <w:t>:</w:t>
      </w:r>
      <w:r>
        <w:rPr>
          <w:rFonts w:cs="Times New Roman"/>
          <w:b/>
          <w:bCs/>
        </w:rPr>
        <w:tab/>
      </w:r>
      <w:r w:rsidRPr="0008232F">
        <w:rPr>
          <w:rFonts w:cs="Times New Roman"/>
          <w:szCs w:val="24"/>
        </w:rPr>
        <w:t xml:space="preserve">Boards must </w:t>
      </w:r>
      <w:r w:rsidR="00756463">
        <w:rPr>
          <w:rFonts w:cs="Times New Roman"/>
          <w:szCs w:val="24"/>
        </w:rPr>
        <w:t xml:space="preserve">also </w:t>
      </w:r>
      <w:r w:rsidRPr="0008232F">
        <w:rPr>
          <w:rFonts w:cs="Times New Roman"/>
          <w:szCs w:val="24"/>
        </w:rPr>
        <w:t>be aware that TWC will calculate and enter</w:t>
      </w:r>
      <w:r>
        <w:rPr>
          <w:rFonts w:cs="Times New Roman"/>
          <w:szCs w:val="24"/>
        </w:rPr>
        <w:t xml:space="preserve"> </w:t>
      </w:r>
      <w:r w:rsidRPr="0008232F">
        <w:rPr>
          <w:rFonts w:cs="Times New Roman"/>
          <w:szCs w:val="24"/>
        </w:rPr>
        <w:t xml:space="preserve">the </w:t>
      </w:r>
      <w:r w:rsidR="002D74AB">
        <w:rPr>
          <w:rFonts w:cs="Times New Roman"/>
          <w:szCs w:val="24"/>
        </w:rPr>
        <w:t>payment</w:t>
      </w:r>
      <w:r w:rsidR="002226D7">
        <w:rPr>
          <w:rFonts w:cs="Times New Roman"/>
          <w:szCs w:val="24"/>
        </w:rPr>
        <w:t xml:space="preserve"> </w:t>
      </w:r>
      <w:r w:rsidRPr="0008232F">
        <w:rPr>
          <w:rFonts w:cs="Times New Roman"/>
          <w:szCs w:val="24"/>
        </w:rPr>
        <w:t>rates</w:t>
      </w:r>
      <w:r w:rsidR="002226D7">
        <w:rPr>
          <w:rFonts w:cs="Times New Roman"/>
          <w:szCs w:val="24"/>
        </w:rPr>
        <w:t xml:space="preserve"> </w:t>
      </w:r>
      <w:r w:rsidR="004C5DC1" w:rsidRPr="0008232F" w:rsidDel="002226D7">
        <w:rPr>
          <w:rFonts w:cs="Times New Roman"/>
          <w:szCs w:val="24"/>
        </w:rPr>
        <w:t>for each</w:t>
      </w:r>
      <w:r w:rsidR="004C5DC1" w:rsidDel="002226D7">
        <w:rPr>
          <w:rFonts w:cs="Times New Roman"/>
          <w:szCs w:val="24"/>
        </w:rPr>
        <w:t xml:space="preserve"> </w:t>
      </w:r>
      <w:r w:rsidR="004C5DC1" w:rsidRPr="0008232F">
        <w:rPr>
          <w:rFonts w:cs="Times New Roman"/>
          <w:szCs w:val="24"/>
        </w:rPr>
        <w:t>Board</w:t>
      </w:r>
      <w:r w:rsidR="004C5DC1">
        <w:rPr>
          <w:rFonts w:cs="Times New Roman"/>
          <w:szCs w:val="24"/>
        </w:rPr>
        <w:t xml:space="preserve"> and</w:t>
      </w:r>
      <w:r w:rsidR="002226D7">
        <w:rPr>
          <w:rFonts w:cs="Times New Roman"/>
          <w:szCs w:val="24"/>
        </w:rPr>
        <w:t xml:space="preserve"> each category of care</w:t>
      </w:r>
      <w:r w:rsidRPr="0008232F">
        <w:rPr>
          <w:rFonts w:cs="Times New Roman"/>
          <w:szCs w:val="24"/>
        </w:rPr>
        <w:t xml:space="preserve"> into </w:t>
      </w:r>
      <w:r w:rsidR="00007BE0">
        <w:rPr>
          <w:rFonts w:cs="Times New Roman"/>
          <w:szCs w:val="24"/>
        </w:rPr>
        <w:t>TWC’s child care case management system</w:t>
      </w:r>
      <w:r w:rsidR="009233F3">
        <w:rPr>
          <w:rFonts w:cs="Times New Roman"/>
          <w:szCs w:val="24"/>
        </w:rPr>
        <w:t>.</w:t>
      </w:r>
    </w:p>
    <w:p w14:paraId="6A80D92B" w14:textId="38889D5B" w:rsidR="001F4DF6" w:rsidRDefault="0008232F" w:rsidP="00516EDC">
      <w:pPr>
        <w:pStyle w:val="BodyText"/>
        <w:ind w:right="0" w:hanging="720"/>
      </w:pPr>
      <w:r w:rsidRPr="3C830A87">
        <w:rPr>
          <w:rFonts w:cs="Times New Roman"/>
          <w:b/>
          <w:bCs/>
          <w:u w:val="single"/>
        </w:rPr>
        <w:t>NLF</w:t>
      </w:r>
      <w:r w:rsidRPr="3C830A87">
        <w:rPr>
          <w:rFonts w:cs="Times New Roman"/>
          <w:b/>
          <w:bCs/>
        </w:rPr>
        <w:t>:</w:t>
      </w:r>
      <w:r>
        <w:rPr>
          <w:rFonts w:cs="Times New Roman"/>
          <w:b/>
          <w:bCs/>
        </w:rPr>
        <w:tab/>
      </w:r>
      <w:r w:rsidRPr="0008232F">
        <w:rPr>
          <w:rFonts w:cs="Times New Roman"/>
          <w:szCs w:val="24"/>
        </w:rPr>
        <w:t xml:space="preserve">Boards must ensure that provider agreements </w:t>
      </w:r>
      <w:r w:rsidR="00297196">
        <w:rPr>
          <w:rFonts w:cs="Times New Roman"/>
          <w:szCs w:val="24"/>
        </w:rPr>
        <w:t xml:space="preserve">or </w:t>
      </w:r>
      <w:r w:rsidR="00787A5B">
        <w:rPr>
          <w:rFonts w:cs="Times New Roman"/>
          <w:szCs w:val="24"/>
        </w:rPr>
        <w:t xml:space="preserve">associated rate addendums </w:t>
      </w:r>
      <w:r w:rsidRPr="0008232F">
        <w:rPr>
          <w:rFonts w:cs="Times New Roman"/>
          <w:szCs w:val="24"/>
        </w:rPr>
        <w:t>contain</w:t>
      </w:r>
      <w:r w:rsidR="00527895">
        <w:rPr>
          <w:rFonts w:cs="Times New Roman"/>
          <w:szCs w:val="24"/>
        </w:rPr>
        <w:t>ing</w:t>
      </w:r>
      <w:r w:rsidRPr="0008232F">
        <w:rPr>
          <w:rFonts w:cs="Times New Roman"/>
          <w:szCs w:val="24"/>
        </w:rPr>
        <w:t xml:space="preserve"> specific </w:t>
      </w:r>
      <w:r w:rsidR="002D74AB">
        <w:rPr>
          <w:rFonts w:cs="Times New Roman"/>
          <w:szCs w:val="24"/>
        </w:rPr>
        <w:t>payment</w:t>
      </w:r>
      <w:r w:rsidR="002226D7">
        <w:rPr>
          <w:rFonts w:cs="Times New Roman"/>
          <w:szCs w:val="24"/>
        </w:rPr>
        <w:t xml:space="preserve"> </w:t>
      </w:r>
      <w:r w:rsidRPr="0008232F">
        <w:rPr>
          <w:rFonts w:cs="Times New Roman"/>
          <w:szCs w:val="24"/>
        </w:rPr>
        <w:t>rate</w:t>
      </w:r>
      <w:r>
        <w:rPr>
          <w:rFonts w:cs="Times New Roman"/>
          <w:szCs w:val="24"/>
        </w:rPr>
        <w:t xml:space="preserve"> </w:t>
      </w:r>
      <w:r w:rsidRPr="0008232F">
        <w:rPr>
          <w:rFonts w:cs="Times New Roman"/>
          <w:szCs w:val="24"/>
        </w:rPr>
        <w:t xml:space="preserve">information are updated to reflect the new rates. Boards must </w:t>
      </w:r>
      <w:r w:rsidR="00C20062">
        <w:rPr>
          <w:rFonts w:cs="Times New Roman"/>
          <w:szCs w:val="24"/>
        </w:rPr>
        <w:t xml:space="preserve">also </w:t>
      </w:r>
      <w:r w:rsidRPr="0008232F">
        <w:rPr>
          <w:rFonts w:cs="Times New Roman"/>
          <w:szCs w:val="24"/>
        </w:rPr>
        <w:lastRenderedPageBreak/>
        <w:t>ensure that all</w:t>
      </w:r>
      <w:r>
        <w:rPr>
          <w:rFonts w:cs="Times New Roman"/>
          <w:szCs w:val="24"/>
        </w:rPr>
        <w:t xml:space="preserve"> </w:t>
      </w:r>
      <w:r w:rsidRPr="0008232F">
        <w:rPr>
          <w:rFonts w:cs="Times New Roman"/>
          <w:szCs w:val="24"/>
        </w:rPr>
        <w:t xml:space="preserve">affected agreements are updated by </w:t>
      </w:r>
      <w:r>
        <w:rPr>
          <w:rFonts w:cs="Times New Roman"/>
          <w:szCs w:val="24"/>
        </w:rPr>
        <w:t>November 30</w:t>
      </w:r>
      <w:r w:rsidR="00063575">
        <w:rPr>
          <w:rFonts w:cs="Times New Roman"/>
          <w:szCs w:val="24"/>
        </w:rPr>
        <w:t xml:space="preserve"> of each</w:t>
      </w:r>
      <w:r w:rsidR="00F74131">
        <w:rPr>
          <w:rFonts w:cs="Times New Roman"/>
          <w:szCs w:val="24"/>
        </w:rPr>
        <w:t xml:space="preserve"> year</w:t>
      </w:r>
      <w:r w:rsidRPr="0008232F">
        <w:rPr>
          <w:rFonts w:cs="Times New Roman"/>
          <w:szCs w:val="24"/>
        </w:rPr>
        <w:t>.</w:t>
      </w:r>
    </w:p>
    <w:p w14:paraId="37D566FC" w14:textId="77777777" w:rsidR="007C326F" w:rsidRPr="00AC399C" w:rsidRDefault="00A22B6B" w:rsidP="00520FD0">
      <w:pPr>
        <w:pStyle w:val="Heading1"/>
        <w:spacing w:before="120" w:line="274" w:lineRule="exact"/>
        <w:ind w:left="0"/>
        <w:rPr>
          <w:rFonts w:cs="Times New Roman"/>
          <w:b w:val="0"/>
          <w:bCs w:val="0"/>
        </w:rPr>
      </w:pPr>
      <w:r w:rsidRPr="00AC399C">
        <w:rPr>
          <w:rFonts w:cs="Times New Roman"/>
        </w:rPr>
        <w:t>INQUIRIES:</w:t>
      </w:r>
    </w:p>
    <w:p w14:paraId="10DCAFF6" w14:textId="0E377C48" w:rsidR="007C326F" w:rsidRPr="00AC399C" w:rsidRDefault="00A22B6B" w:rsidP="008C0D2B">
      <w:pPr>
        <w:pStyle w:val="BodyText"/>
        <w:spacing w:line="240" w:lineRule="auto"/>
        <w:ind w:right="0"/>
        <w:rPr>
          <w:rFonts w:cs="Times New Roman"/>
          <w:szCs w:val="24"/>
        </w:rPr>
      </w:pPr>
      <w:r w:rsidRPr="00426CCD">
        <w:rPr>
          <w:rFonts w:cs="Times New Roman"/>
          <w:szCs w:val="24"/>
        </w:rPr>
        <w:t>Send inquiries regarding this WD Letter to</w:t>
      </w:r>
      <w:r w:rsidR="00E75E6D" w:rsidRPr="00426CCD">
        <w:rPr>
          <w:rFonts w:cs="Times New Roman"/>
          <w:szCs w:val="24"/>
        </w:rPr>
        <w:t xml:space="preserve"> </w:t>
      </w:r>
      <w:hyperlink r:id="rId20" w:history="1">
        <w:r w:rsidR="0073634F" w:rsidRPr="00426CCD">
          <w:rPr>
            <w:rStyle w:val="Hyperlink"/>
            <w:rFonts w:cs="Times New Roman"/>
            <w:szCs w:val="24"/>
          </w:rPr>
          <w:t>childcare.programassistance@twc.texas.gov</w:t>
        </w:r>
      </w:hyperlink>
      <w:r w:rsidR="00E75E6D" w:rsidRPr="00E75E6D">
        <w:rPr>
          <w:rFonts w:cs="Times New Roman"/>
          <w:spacing w:val="-5"/>
          <w:szCs w:val="24"/>
        </w:rPr>
        <w:t>.</w:t>
      </w:r>
    </w:p>
    <w:p w14:paraId="65999EBD" w14:textId="2389AB1E" w:rsidR="00107603" w:rsidRPr="00AC399C" w:rsidRDefault="00107603" w:rsidP="00107603">
      <w:pPr>
        <w:pStyle w:val="Heading1"/>
        <w:spacing w:before="69" w:line="274" w:lineRule="exact"/>
        <w:ind w:left="0"/>
        <w:rPr>
          <w:rFonts w:cs="Times New Roman"/>
          <w:b w:val="0"/>
          <w:bCs w:val="0"/>
        </w:rPr>
      </w:pPr>
      <w:r w:rsidRPr="00AC399C">
        <w:rPr>
          <w:rFonts w:cs="Times New Roman"/>
        </w:rPr>
        <w:t>ATTACHMENT</w:t>
      </w:r>
      <w:r w:rsidR="00983C4E">
        <w:rPr>
          <w:rFonts w:cs="Times New Roman"/>
        </w:rPr>
        <w:t>S</w:t>
      </w:r>
      <w:r w:rsidRPr="00AC399C">
        <w:rPr>
          <w:rFonts w:cs="Times New Roman"/>
        </w:rPr>
        <w:t>:</w:t>
      </w:r>
    </w:p>
    <w:p w14:paraId="3101A95B" w14:textId="1A5CB350" w:rsidR="00012384" w:rsidRPr="00AC399C" w:rsidRDefault="00D63202" w:rsidP="0009100F">
      <w:pPr>
        <w:pStyle w:val="BodyText"/>
        <w:ind w:right="0"/>
        <w:rPr>
          <w:rFonts w:cs="Times New Roman"/>
          <w:szCs w:val="24"/>
        </w:rPr>
      </w:pPr>
      <w:r w:rsidRPr="00AC399C">
        <w:rPr>
          <w:rFonts w:cs="Times New Roman"/>
          <w:szCs w:val="24"/>
        </w:rPr>
        <w:t xml:space="preserve">Attachment </w:t>
      </w:r>
      <w:r w:rsidR="005151FB">
        <w:rPr>
          <w:rFonts w:cs="Times New Roman"/>
          <w:szCs w:val="24"/>
        </w:rPr>
        <w:t>1</w:t>
      </w:r>
      <w:r w:rsidRPr="00AC399C">
        <w:rPr>
          <w:rFonts w:cs="Times New Roman"/>
          <w:szCs w:val="24"/>
        </w:rPr>
        <w:t xml:space="preserve">: </w:t>
      </w:r>
      <w:r w:rsidR="00382F90">
        <w:rPr>
          <w:rFonts w:cs="Times New Roman"/>
          <w:szCs w:val="24"/>
        </w:rPr>
        <w:t>Board Contract Y</w:t>
      </w:r>
      <w:r w:rsidR="00E11ADC">
        <w:rPr>
          <w:rFonts w:cs="Times New Roman"/>
          <w:szCs w:val="24"/>
        </w:rPr>
        <w:t>ear</w:t>
      </w:r>
      <w:r w:rsidR="00103900">
        <w:rPr>
          <w:rFonts w:cs="Times New Roman"/>
          <w:szCs w:val="24"/>
        </w:rPr>
        <w:t xml:space="preserve"> 20</w:t>
      </w:r>
      <w:r w:rsidR="00F8097D">
        <w:rPr>
          <w:rFonts w:cs="Times New Roman"/>
          <w:szCs w:val="24"/>
        </w:rPr>
        <w:t>2</w:t>
      </w:r>
      <w:r w:rsidR="009D3332">
        <w:rPr>
          <w:rFonts w:cs="Times New Roman"/>
          <w:szCs w:val="24"/>
        </w:rPr>
        <w:t>4</w:t>
      </w:r>
      <w:r w:rsidR="0008232F" w:rsidRPr="0008232F">
        <w:rPr>
          <w:rFonts w:cs="Times New Roman"/>
          <w:szCs w:val="24"/>
        </w:rPr>
        <w:t xml:space="preserve"> Chil</w:t>
      </w:r>
      <w:r w:rsidR="0008232F">
        <w:rPr>
          <w:rFonts w:cs="Times New Roman"/>
          <w:szCs w:val="24"/>
        </w:rPr>
        <w:t xml:space="preserve">d Care Provider </w:t>
      </w:r>
      <w:r w:rsidR="002D74AB">
        <w:rPr>
          <w:rFonts w:cs="Times New Roman"/>
          <w:szCs w:val="24"/>
        </w:rPr>
        <w:t>Payment</w:t>
      </w:r>
      <w:r w:rsidR="002670DD">
        <w:rPr>
          <w:rFonts w:cs="Times New Roman"/>
          <w:szCs w:val="24"/>
        </w:rPr>
        <w:t xml:space="preserve"> Rate</w:t>
      </w:r>
      <w:r w:rsidR="0008232F">
        <w:rPr>
          <w:rFonts w:cs="Times New Roman"/>
          <w:szCs w:val="24"/>
        </w:rPr>
        <w:t>s</w:t>
      </w:r>
    </w:p>
    <w:p w14:paraId="3230ACD4" w14:textId="77777777" w:rsidR="00040B7E" w:rsidRPr="00AC399C" w:rsidRDefault="00040B7E" w:rsidP="00040B7E">
      <w:pPr>
        <w:pStyle w:val="Heading1"/>
        <w:spacing w:before="56" w:line="274" w:lineRule="exact"/>
        <w:ind w:left="0"/>
        <w:rPr>
          <w:rFonts w:cs="Times New Roman"/>
          <w:b w:val="0"/>
          <w:bCs w:val="0"/>
        </w:rPr>
      </w:pPr>
      <w:r w:rsidRPr="00AC399C">
        <w:rPr>
          <w:rFonts w:cs="Times New Roman"/>
        </w:rPr>
        <w:t>REFERENCES:</w:t>
      </w:r>
    </w:p>
    <w:p w14:paraId="4C2513FC" w14:textId="303E56B2" w:rsidR="009207AE" w:rsidRPr="0009100F" w:rsidRDefault="009207AE" w:rsidP="0009100F">
      <w:pPr>
        <w:ind w:left="720"/>
        <w:rPr>
          <w:rFonts w:ascii="Times New Roman" w:hAnsi="Times New Roman" w:cs="Times New Roman"/>
          <w:sz w:val="24"/>
          <w:szCs w:val="24"/>
        </w:rPr>
      </w:pPr>
      <w:r w:rsidRPr="0009100F">
        <w:rPr>
          <w:rFonts w:ascii="Times New Roman" w:hAnsi="Times New Roman" w:cs="Times New Roman"/>
          <w:sz w:val="24"/>
          <w:szCs w:val="24"/>
        </w:rPr>
        <w:t xml:space="preserve">Title 45 Code of Federal Regulations §98.45, Equal </w:t>
      </w:r>
      <w:r w:rsidR="006379EF">
        <w:rPr>
          <w:rFonts w:ascii="Times New Roman" w:hAnsi="Times New Roman" w:cs="Times New Roman"/>
          <w:sz w:val="24"/>
          <w:szCs w:val="24"/>
        </w:rPr>
        <w:t>A</w:t>
      </w:r>
      <w:r w:rsidRPr="0009100F">
        <w:rPr>
          <w:rFonts w:ascii="Times New Roman" w:hAnsi="Times New Roman" w:cs="Times New Roman"/>
          <w:sz w:val="24"/>
          <w:szCs w:val="24"/>
        </w:rPr>
        <w:t>ccess</w:t>
      </w:r>
    </w:p>
    <w:p w14:paraId="47239593" w14:textId="2B727740" w:rsidR="006E0196" w:rsidRPr="0009100F" w:rsidRDefault="00F564A6" w:rsidP="004F3038">
      <w:pPr>
        <w:ind w:left="1080" w:hanging="360"/>
        <w:rPr>
          <w:rFonts w:ascii="Times New Roman" w:hAnsi="Times New Roman" w:cs="Times New Roman"/>
          <w:sz w:val="24"/>
          <w:szCs w:val="24"/>
        </w:rPr>
      </w:pPr>
      <w:bookmarkStart w:id="4" w:name="_Hlk113884701"/>
      <w:r>
        <w:rPr>
          <w:rFonts w:ascii="Times New Roman" w:hAnsi="Times New Roman" w:cs="Times New Roman"/>
          <w:sz w:val="24"/>
          <w:szCs w:val="24"/>
        </w:rPr>
        <w:t>Texas Workforce Commission</w:t>
      </w:r>
      <w:r w:rsidR="0008232F" w:rsidRPr="0009100F">
        <w:rPr>
          <w:rFonts w:ascii="Times New Roman" w:hAnsi="Times New Roman" w:cs="Times New Roman"/>
          <w:sz w:val="24"/>
          <w:szCs w:val="24"/>
        </w:rPr>
        <w:t xml:space="preserve"> </w:t>
      </w:r>
      <w:r w:rsidR="00313B77">
        <w:rPr>
          <w:rFonts w:ascii="Times New Roman" w:hAnsi="Times New Roman" w:cs="Times New Roman"/>
          <w:sz w:val="24"/>
          <w:szCs w:val="24"/>
        </w:rPr>
        <w:t xml:space="preserve">Chapter 809 </w:t>
      </w:r>
      <w:r w:rsidR="0008232F" w:rsidRPr="0009100F">
        <w:rPr>
          <w:rFonts w:ascii="Times New Roman" w:hAnsi="Times New Roman" w:cs="Times New Roman"/>
          <w:sz w:val="24"/>
          <w:szCs w:val="24"/>
        </w:rPr>
        <w:t>Child Care S</w:t>
      </w:r>
      <w:r w:rsidR="00C63D3B" w:rsidRPr="0009100F">
        <w:rPr>
          <w:rFonts w:ascii="Times New Roman" w:hAnsi="Times New Roman" w:cs="Times New Roman"/>
          <w:sz w:val="24"/>
          <w:szCs w:val="24"/>
        </w:rPr>
        <w:t xml:space="preserve">ervices </w:t>
      </w:r>
      <w:r w:rsidR="002666BC">
        <w:rPr>
          <w:rFonts w:ascii="Times New Roman" w:hAnsi="Times New Roman" w:cs="Times New Roman"/>
          <w:sz w:val="24"/>
          <w:szCs w:val="24"/>
        </w:rPr>
        <w:t>R</w:t>
      </w:r>
      <w:r w:rsidR="002666BC" w:rsidRPr="0009100F">
        <w:rPr>
          <w:rFonts w:ascii="Times New Roman" w:hAnsi="Times New Roman" w:cs="Times New Roman"/>
          <w:sz w:val="24"/>
          <w:szCs w:val="24"/>
        </w:rPr>
        <w:t xml:space="preserve">ule </w:t>
      </w:r>
      <w:r w:rsidR="00C63D3B" w:rsidRPr="0009100F">
        <w:rPr>
          <w:rFonts w:ascii="Times New Roman" w:hAnsi="Times New Roman" w:cs="Times New Roman"/>
          <w:sz w:val="24"/>
          <w:szCs w:val="24"/>
        </w:rPr>
        <w:t>§809.20, Maximum Provider Reimbursement Rates</w:t>
      </w:r>
      <w:bookmarkEnd w:id="4"/>
    </w:p>
    <w:sectPr w:rsidR="006E0196" w:rsidRPr="0009100F" w:rsidSect="00455A82">
      <w:footerReference w:type="default" r:id="rId21"/>
      <w:pgSz w:w="12240" w:h="15840"/>
      <w:pgMar w:top="1440" w:right="1440" w:bottom="1440" w:left="1440" w:header="0" w:footer="5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ABE8" w14:textId="77777777" w:rsidR="000E7FC1" w:rsidRDefault="000E7FC1">
      <w:r>
        <w:separator/>
      </w:r>
    </w:p>
  </w:endnote>
  <w:endnote w:type="continuationSeparator" w:id="0">
    <w:p w14:paraId="19D6FEC6" w14:textId="77777777" w:rsidR="000E7FC1" w:rsidRDefault="000E7FC1">
      <w:r>
        <w:continuationSeparator/>
      </w:r>
    </w:p>
  </w:endnote>
  <w:endnote w:type="continuationNotice" w:id="1">
    <w:p w14:paraId="4910D6E7" w14:textId="77777777" w:rsidR="000E7FC1" w:rsidRDefault="000E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0123" w14:textId="33CB7FA3" w:rsidR="003F60A4" w:rsidRPr="002E3582" w:rsidRDefault="0069663F" w:rsidP="003B3D65">
    <w:pPr>
      <w:pStyle w:val="BodyText"/>
      <w:ind w:left="4320" w:hanging="4320"/>
    </w:pPr>
    <w:sdt>
      <w:sdtPr>
        <w:id w:val="-1477915587"/>
        <w:docPartObj>
          <w:docPartGallery w:val="Page Numbers (Bottom of Page)"/>
          <w:docPartUnique/>
        </w:docPartObj>
      </w:sdtPr>
      <w:sdtEndPr>
        <w:rPr>
          <w:rFonts w:cs="Times New Roman"/>
          <w:noProof/>
          <w:szCs w:val="24"/>
        </w:rPr>
      </w:sdtEndPr>
      <w:sdtContent>
        <w:r w:rsidR="003F60A4">
          <w:rPr>
            <w:rFonts w:cs="Times New Roman"/>
            <w:szCs w:val="24"/>
          </w:rPr>
          <w:t xml:space="preserve">WD Letter </w:t>
        </w:r>
        <w:r w:rsidR="00103900">
          <w:rPr>
            <w:rFonts w:cs="Times New Roman"/>
            <w:szCs w:val="24"/>
          </w:rPr>
          <w:t>2</w:t>
        </w:r>
        <w:r w:rsidR="0072727A">
          <w:rPr>
            <w:rFonts w:cs="Times New Roman"/>
            <w:szCs w:val="24"/>
          </w:rPr>
          <w:t>0-23</w:t>
        </w:r>
      </w:sdtContent>
    </w:sdt>
    <w:r w:rsidR="003F60A4">
      <w:ptab w:relativeTo="margin" w:alignment="center" w:leader="none"/>
    </w:r>
    <w:r w:rsidR="003F60A4">
      <w:fldChar w:fldCharType="begin"/>
    </w:r>
    <w:r w:rsidR="003F60A4">
      <w:instrText xml:space="preserve"> PAGE   \* MERGEFORMAT </w:instrText>
    </w:r>
    <w:r w:rsidR="003F60A4">
      <w:fldChar w:fldCharType="separate"/>
    </w:r>
    <w:r w:rsidR="003F60A4">
      <w:rPr>
        <w:noProof/>
      </w:rPr>
      <w:t>1</w:t>
    </w:r>
    <w:r w:rsidR="003F60A4">
      <w:rPr>
        <w:noProof/>
      </w:rPr>
      <w:fldChar w:fldCharType="end"/>
    </w:r>
    <w:r w:rsidR="003F60A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A99F" w14:textId="77777777" w:rsidR="000E7FC1" w:rsidRDefault="000E7FC1">
      <w:r>
        <w:separator/>
      </w:r>
    </w:p>
  </w:footnote>
  <w:footnote w:type="continuationSeparator" w:id="0">
    <w:p w14:paraId="6B68ECF9" w14:textId="77777777" w:rsidR="000E7FC1" w:rsidRDefault="000E7FC1">
      <w:r>
        <w:continuationSeparator/>
      </w:r>
    </w:p>
  </w:footnote>
  <w:footnote w:type="continuationNotice" w:id="1">
    <w:p w14:paraId="5052AA86" w14:textId="77777777" w:rsidR="000E7FC1" w:rsidRDefault="000E7F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CEE"/>
    <w:multiLevelType w:val="hybridMultilevel"/>
    <w:tmpl w:val="C52CB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D349A"/>
    <w:multiLevelType w:val="hybridMultilevel"/>
    <w:tmpl w:val="4B22BF14"/>
    <w:lvl w:ilvl="0" w:tplc="3AA89C14">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CBA"/>
    <w:multiLevelType w:val="hybridMultilevel"/>
    <w:tmpl w:val="BD584D70"/>
    <w:lvl w:ilvl="0" w:tplc="3AA89C14">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727C3"/>
    <w:multiLevelType w:val="hybridMultilevel"/>
    <w:tmpl w:val="E1589564"/>
    <w:lvl w:ilvl="0" w:tplc="836C3E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04C4B"/>
    <w:multiLevelType w:val="hybridMultilevel"/>
    <w:tmpl w:val="5A2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35322"/>
    <w:multiLevelType w:val="hybridMultilevel"/>
    <w:tmpl w:val="2EBC415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 w15:restartNumberingAfterBreak="0">
    <w:nsid w:val="16C83CB0"/>
    <w:multiLevelType w:val="hybridMultilevel"/>
    <w:tmpl w:val="C21887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EE5002C"/>
    <w:multiLevelType w:val="hybridMultilevel"/>
    <w:tmpl w:val="B0DC8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CD05671"/>
    <w:multiLevelType w:val="hybridMultilevel"/>
    <w:tmpl w:val="928C8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FF1C00"/>
    <w:multiLevelType w:val="hybridMultilevel"/>
    <w:tmpl w:val="B532E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B0E5A0D"/>
    <w:multiLevelType w:val="hybridMultilevel"/>
    <w:tmpl w:val="D7F22190"/>
    <w:lvl w:ilvl="0" w:tplc="FC46C72E">
      <w:start w:val="1"/>
      <w:numFmt w:val="bullet"/>
      <w:lvlText w:val=""/>
      <w:lvlJc w:val="left"/>
      <w:pPr>
        <w:ind w:left="1180" w:hanging="360"/>
      </w:pPr>
      <w:rPr>
        <w:rFonts w:ascii="Symbol" w:eastAsia="Symbol" w:hAnsi="Symbol" w:hint="default"/>
        <w:w w:val="100"/>
        <w:sz w:val="24"/>
        <w:szCs w:val="24"/>
      </w:rPr>
    </w:lvl>
    <w:lvl w:ilvl="1" w:tplc="B0C2B2FE">
      <w:start w:val="1"/>
      <w:numFmt w:val="bullet"/>
      <w:lvlText w:val="•"/>
      <w:lvlJc w:val="left"/>
      <w:pPr>
        <w:ind w:left="1944" w:hanging="360"/>
      </w:pPr>
      <w:rPr>
        <w:rFonts w:hint="default"/>
      </w:rPr>
    </w:lvl>
    <w:lvl w:ilvl="2" w:tplc="5AB2F2C6">
      <w:start w:val="1"/>
      <w:numFmt w:val="bullet"/>
      <w:lvlText w:val="•"/>
      <w:lvlJc w:val="left"/>
      <w:pPr>
        <w:ind w:left="2708" w:hanging="360"/>
      </w:pPr>
      <w:rPr>
        <w:rFonts w:hint="default"/>
      </w:rPr>
    </w:lvl>
    <w:lvl w:ilvl="3" w:tplc="2662048A">
      <w:start w:val="1"/>
      <w:numFmt w:val="bullet"/>
      <w:lvlText w:val="•"/>
      <w:lvlJc w:val="left"/>
      <w:pPr>
        <w:ind w:left="3472" w:hanging="360"/>
      </w:pPr>
      <w:rPr>
        <w:rFonts w:hint="default"/>
      </w:rPr>
    </w:lvl>
    <w:lvl w:ilvl="4" w:tplc="646CDD04">
      <w:start w:val="1"/>
      <w:numFmt w:val="bullet"/>
      <w:lvlText w:val="•"/>
      <w:lvlJc w:val="left"/>
      <w:pPr>
        <w:ind w:left="4236" w:hanging="360"/>
      </w:pPr>
      <w:rPr>
        <w:rFonts w:hint="default"/>
      </w:rPr>
    </w:lvl>
    <w:lvl w:ilvl="5" w:tplc="5C409DC8">
      <w:start w:val="1"/>
      <w:numFmt w:val="bullet"/>
      <w:lvlText w:val="•"/>
      <w:lvlJc w:val="left"/>
      <w:pPr>
        <w:ind w:left="5000" w:hanging="360"/>
      </w:pPr>
      <w:rPr>
        <w:rFonts w:hint="default"/>
      </w:rPr>
    </w:lvl>
    <w:lvl w:ilvl="6" w:tplc="B2D6724A">
      <w:start w:val="1"/>
      <w:numFmt w:val="bullet"/>
      <w:lvlText w:val="•"/>
      <w:lvlJc w:val="left"/>
      <w:pPr>
        <w:ind w:left="5764" w:hanging="360"/>
      </w:pPr>
      <w:rPr>
        <w:rFonts w:hint="default"/>
      </w:rPr>
    </w:lvl>
    <w:lvl w:ilvl="7" w:tplc="DEBC4BE0">
      <w:start w:val="1"/>
      <w:numFmt w:val="bullet"/>
      <w:lvlText w:val="•"/>
      <w:lvlJc w:val="left"/>
      <w:pPr>
        <w:ind w:left="6528" w:hanging="360"/>
      </w:pPr>
      <w:rPr>
        <w:rFonts w:hint="default"/>
      </w:rPr>
    </w:lvl>
    <w:lvl w:ilvl="8" w:tplc="5B4C0B2C">
      <w:start w:val="1"/>
      <w:numFmt w:val="bullet"/>
      <w:lvlText w:val="•"/>
      <w:lvlJc w:val="left"/>
      <w:pPr>
        <w:ind w:left="7292" w:hanging="360"/>
      </w:pPr>
      <w:rPr>
        <w:rFonts w:hint="default"/>
      </w:rPr>
    </w:lvl>
  </w:abstractNum>
  <w:abstractNum w:abstractNumId="11" w15:restartNumberingAfterBreak="0">
    <w:nsid w:val="46E03D2C"/>
    <w:multiLevelType w:val="hybridMultilevel"/>
    <w:tmpl w:val="0FCC5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95B24"/>
    <w:multiLevelType w:val="hybridMultilevel"/>
    <w:tmpl w:val="92B8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00D25"/>
    <w:multiLevelType w:val="hybridMultilevel"/>
    <w:tmpl w:val="050009AA"/>
    <w:lvl w:ilvl="0" w:tplc="296C6B3E">
      <w:start w:val="1"/>
      <w:numFmt w:val="bullet"/>
      <w:lvlText w:val=""/>
      <w:lvlJc w:val="left"/>
      <w:pPr>
        <w:ind w:left="1300" w:hanging="360"/>
      </w:pPr>
      <w:rPr>
        <w:rFonts w:ascii="Symbol" w:eastAsia="Symbol" w:hAnsi="Symbol" w:hint="default"/>
        <w:w w:val="100"/>
        <w:sz w:val="24"/>
        <w:szCs w:val="24"/>
      </w:rPr>
    </w:lvl>
    <w:lvl w:ilvl="1" w:tplc="968CDEF4">
      <w:start w:val="1"/>
      <w:numFmt w:val="bullet"/>
      <w:lvlText w:val="•"/>
      <w:lvlJc w:val="left"/>
      <w:pPr>
        <w:ind w:left="2104" w:hanging="360"/>
      </w:pPr>
      <w:rPr>
        <w:rFonts w:hint="default"/>
      </w:rPr>
    </w:lvl>
    <w:lvl w:ilvl="2" w:tplc="FA90101E">
      <w:start w:val="1"/>
      <w:numFmt w:val="bullet"/>
      <w:lvlText w:val="•"/>
      <w:lvlJc w:val="left"/>
      <w:pPr>
        <w:ind w:left="2908" w:hanging="360"/>
      </w:pPr>
      <w:rPr>
        <w:rFonts w:hint="default"/>
      </w:rPr>
    </w:lvl>
    <w:lvl w:ilvl="3" w:tplc="D30AC598">
      <w:start w:val="1"/>
      <w:numFmt w:val="bullet"/>
      <w:lvlText w:val="•"/>
      <w:lvlJc w:val="left"/>
      <w:pPr>
        <w:ind w:left="3712" w:hanging="360"/>
      </w:pPr>
      <w:rPr>
        <w:rFonts w:hint="default"/>
      </w:rPr>
    </w:lvl>
    <w:lvl w:ilvl="4" w:tplc="F1062C56">
      <w:start w:val="1"/>
      <w:numFmt w:val="bullet"/>
      <w:lvlText w:val="•"/>
      <w:lvlJc w:val="left"/>
      <w:pPr>
        <w:ind w:left="4516" w:hanging="360"/>
      </w:pPr>
      <w:rPr>
        <w:rFonts w:hint="default"/>
      </w:rPr>
    </w:lvl>
    <w:lvl w:ilvl="5" w:tplc="23E804E8">
      <w:start w:val="1"/>
      <w:numFmt w:val="bullet"/>
      <w:lvlText w:val="•"/>
      <w:lvlJc w:val="left"/>
      <w:pPr>
        <w:ind w:left="5320" w:hanging="360"/>
      </w:pPr>
      <w:rPr>
        <w:rFonts w:hint="default"/>
      </w:rPr>
    </w:lvl>
    <w:lvl w:ilvl="6" w:tplc="B9743B30">
      <w:start w:val="1"/>
      <w:numFmt w:val="bullet"/>
      <w:lvlText w:val="•"/>
      <w:lvlJc w:val="left"/>
      <w:pPr>
        <w:ind w:left="6124" w:hanging="360"/>
      </w:pPr>
      <w:rPr>
        <w:rFonts w:hint="default"/>
      </w:rPr>
    </w:lvl>
    <w:lvl w:ilvl="7" w:tplc="ED986CC6">
      <w:start w:val="1"/>
      <w:numFmt w:val="bullet"/>
      <w:lvlText w:val="•"/>
      <w:lvlJc w:val="left"/>
      <w:pPr>
        <w:ind w:left="6928" w:hanging="360"/>
      </w:pPr>
      <w:rPr>
        <w:rFonts w:hint="default"/>
      </w:rPr>
    </w:lvl>
    <w:lvl w:ilvl="8" w:tplc="619AD224">
      <w:start w:val="1"/>
      <w:numFmt w:val="bullet"/>
      <w:lvlText w:val="•"/>
      <w:lvlJc w:val="left"/>
      <w:pPr>
        <w:ind w:left="7732" w:hanging="360"/>
      </w:pPr>
      <w:rPr>
        <w:rFonts w:hint="default"/>
      </w:rPr>
    </w:lvl>
  </w:abstractNum>
  <w:abstractNum w:abstractNumId="14" w15:restartNumberingAfterBreak="0">
    <w:nsid w:val="533B54E7"/>
    <w:multiLevelType w:val="hybridMultilevel"/>
    <w:tmpl w:val="EDB6F68A"/>
    <w:lvl w:ilvl="0" w:tplc="AD8C84C2">
      <w:start w:val="1"/>
      <w:numFmt w:val="bullet"/>
      <w:lvlText w:val=""/>
      <w:lvlJc w:val="left"/>
      <w:pPr>
        <w:ind w:left="1180" w:hanging="360"/>
      </w:pPr>
      <w:rPr>
        <w:rFonts w:ascii="Symbol" w:eastAsia="Symbol" w:hAnsi="Symbol" w:hint="default"/>
        <w:w w:val="100"/>
        <w:sz w:val="24"/>
        <w:szCs w:val="24"/>
      </w:rPr>
    </w:lvl>
    <w:lvl w:ilvl="1" w:tplc="6900A19C">
      <w:start w:val="1"/>
      <w:numFmt w:val="bullet"/>
      <w:lvlText w:val="•"/>
      <w:lvlJc w:val="left"/>
      <w:pPr>
        <w:ind w:left="1944" w:hanging="360"/>
      </w:pPr>
      <w:rPr>
        <w:rFonts w:hint="default"/>
      </w:rPr>
    </w:lvl>
    <w:lvl w:ilvl="2" w:tplc="6B68E700">
      <w:start w:val="1"/>
      <w:numFmt w:val="bullet"/>
      <w:lvlText w:val="•"/>
      <w:lvlJc w:val="left"/>
      <w:pPr>
        <w:ind w:left="2708" w:hanging="360"/>
      </w:pPr>
      <w:rPr>
        <w:rFonts w:hint="default"/>
      </w:rPr>
    </w:lvl>
    <w:lvl w:ilvl="3" w:tplc="9F5E6E42">
      <w:start w:val="1"/>
      <w:numFmt w:val="bullet"/>
      <w:lvlText w:val="•"/>
      <w:lvlJc w:val="left"/>
      <w:pPr>
        <w:ind w:left="3472" w:hanging="360"/>
      </w:pPr>
      <w:rPr>
        <w:rFonts w:hint="default"/>
      </w:rPr>
    </w:lvl>
    <w:lvl w:ilvl="4" w:tplc="3B6A9F4E">
      <w:start w:val="1"/>
      <w:numFmt w:val="bullet"/>
      <w:lvlText w:val="•"/>
      <w:lvlJc w:val="left"/>
      <w:pPr>
        <w:ind w:left="4236" w:hanging="360"/>
      </w:pPr>
      <w:rPr>
        <w:rFonts w:hint="default"/>
      </w:rPr>
    </w:lvl>
    <w:lvl w:ilvl="5" w:tplc="FE7EAB06">
      <w:start w:val="1"/>
      <w:numFmt w:val="bullet"/>
      <w:lvlText w:val="•"/>
      <w:lvlJc w:val="left"/>
      <w:pPr>
        <w:ind w:left="5000" w:hanging="360"/>
      </w:pPr>
      <w:rPr>
        <w:rFonts w:hint="default"/>
      </w:rPr>
    </w:lvl>
    <w:lvl w:ilvl="6" w:tplc="7BD2A6D8">
      <w:start w:val="1"/>
      <w:numFmt w:val="bullet"/>
      <w:lvlText w:val="•"/>
      <w:lvlJc w:val="left"/>
      <w:pPr>
        <w:ind w:left="5764" w:hanging="360"/>
      </w:pPr>
      <w:rPr>
        <w:rFonts w:hint="default"/>
      </w:rPr>
    </w:lvl>
    <w:lvl w:ilvl="7" w:tplc="304A17A0">
      <w:start w:val="1"/>
      <w:numFmt w:val="bullet"/>
      <w:lvlText w:val="•"/>
      <w:lvlJc w:val="left"/>
      <w:pPr>
        <w:ind w:left="6528" w:hanging="360"/>
      </w:pPr>
      <w:rPr>
        <w:rFonts w:hint="default"/>
      </w:rPr>
    </w:lvl>
    <w:lvl w:ilvl="8" w:tplc="BAF85ED6">
      <w:start w:val="1"/>
      <w:numFmt w:val="bullet"/>
      <w:lvlText w:val="•"/>
      <w:lvlJc w:val="left"/>
      <w:pPr>
        <w:ind w:left="7292" w:hanging="360"/>
      </w:pPr>
      <w:rPr>
        <w:rFonts w:hint="default"/>
      </w:rPr>
    </w:lvl>
  </w:abstractNum>
  <w:abstractNum w:abstractNumId="15" w15:restartNumberingAfterBreak="0">
    <w:nsid w:val="555D098A"/>
    <w:multiLevelType w:val="hybridMultilevel"/>
    <w:tmpl w:val="070C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F5BA1"/>
    <w:multiLevelType w:val="hybridMultilevel"/>
    <w:tmpl w:val="E800D76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386805"/>
    <w:multiLevelType w:val="hybridMultilevel"/>
    <w:tmpl w:val="C97E96B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5FC95E81"/>
    <w:multiLevelType w:val="hybridMultilevel"/>
    <w:tmpl w:val="7712522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82774ED"/>
    <w:multiLevelType w:val="hybridMultilevel"/>
    <w:tmpl w:val="1288445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0" w15:restartNumberingAfterBreak="0">
    <w:nsid w:val="73E74892"/>
    <w:multiLevelType w:val="hybridMultilevel"/>
    <w:tmpl w:val="8F9A6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5"/>
    <w:multiLevelType w:val="hybridMultilevel"/>
    <w:tmpl w:val="DEA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50E13"/>
    <w:multiLevelType w:val="hybridMultilevel"/>
    <w:tmpl w:val="84985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730014"/>
    <w:multiLevelType w:val="hybridMultilevel"/>
    <w:tmpl w:val="722A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252670">
    <w:abstractNumId w:val="14"/>
  </w:num>
  <w:num w:numId="2" w16cid:durableId="1296719735">
    <w:abstractNumId w:val="13"/>
  </w:num>
  <w:num w:numId="3" w16cid:durableId="304703628">
    <w:abstractNumId w:val="10"/>
  </w:num>
  <w:num w:numId="4" w16cid:durableId="1382439925">
    <w:abstractNumId w:val="19"/>
  </w:num>
  <w:num w:numId="5" w16cid:durableId="1909531044">
    <w:abstractNumId w:val="5"/>
  </w:num>
  <w:num w:numId="6" w16cid:durableId="1993948841">
    <w:abstractNumId w:val="17"/>
  </w:num>
  <w:num w:numId="7" w16cid:durableId="934244196">
    <w:abstractNumId w:val="11"/>
  </w:num>
  <w:num w:numId="8" w16cid:durableId="659622618">
    <w:abstractNumId w:val="23"/>
  </w:num>
  <w:num w:numId="9" w16cid:durableId="1711563428">
    <w:abstractNumId w:val="22"/>
  </w:num>
  <w:num w:numId="10" w16cid:durableId="744181472">
    <w:abstractNumId w:val="8"/>
  </w:num>
  <w:num w:numId="11" w16cid:durableId="507913918">
    <w:abstractNumId w:val="12"/>
  </w:num>
  <w:num w:numId="12" w16cid:durableId="763653793">
    <w:abstractNumId w:val="16"/>
  </w:num>
  <w:num w:numId="13" w16cid:durableId="312295528">
    <w:abstractNumId w:val="7"/>
  </w:num>
  <w:num w:numId="14" w16cid:durableId="959846171">
    <w:abstractNumId w:val="18"/>
  </w:num>
  <w:num w:numId="15" w16cid:durableId="312374371">
    <w:abstractNumId w:val="6"/>
  </w:num>
  <w:num w:numId="16" w16cid:durableId="1719041834">
    <w:abstractNumId w:val="20"/>
  </w:num>
  <w:num w:numId="17" w16cid:durableId="86729713">
    <w:abstractNumId w:val="3"/>
  </w:num>
  <w:num w:numId="18" w16cid:durableId="637801232">
    <w:abstractNumId w:val="15"/>
  </w:num>
  <w:num w:numId="19" w16cid:durableId="1237008565">
    <w:abstractNumId w:val="21"/>
  </w:num>
  <w:num w:numId="20" w16cid:durableId="479734864">
    <w:abstractNumId w:val="9"/>
  </w:num>
  <w:num w:numId="21" w16cid:durableId="1146777400">
    <w:abstractNumId w:val="0"/>
  </w:num>
  <w:num w:numId="22" w16cid:durableId="1516578758">
    <w:abstractNumId w:val="4"/>
  </w:num>
  <w:num w:numId="23" w16cid:durableId="1999261746">
    <w:abstractNumId w:val="1"/>
  </w:num>
  <w:num w:numId="24" w16cid:durableId="850489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6F"/>
    <w:rsid w:val="000012DA"/>
    <w:rsid w:val="0000167A"/>
    <w:rsid w:val="00001744"/>
    <w:rsid w:val="00001F59"/>
    <w:rsid w:val="000022B5"/>
    <w:rsid w:val="000027ED"/>
    <w:rsid w:val="00003719"/>
    <w:rsid w:val="0000488D"/>
    <w:rsid w:val="000058D4"/>
    <w:rsid w:val="00005C55"/>
    <w:rsid w:val="00007BE0"/>
    <w:rsid w:val="00010083"/>
    <w:rsid w:val="00011F41"/>
    <w:rsid w:val="00012384"/>
    <w:rsid w:val="00013414"/>
    <w:rsid w:val="00017508"/>
    <w:rsid w:val="00020D18"/>
    <w:rsid w:val="00020FBC"/>
    <w:rsid w:val="00021863"/>
    <w:rsid w:val="00022AD7"/>
    <w:rsid w:val="00022CC7"/>
    <w:rsid w:val="00023A67"/>
    <w:rsid w:val="00026BEA"/>
    <w:rsid w:val="00027229"/>
    <w:rsid w:val="0003099D"/>
    <w:rsid w:val="00030ABA"/>
    <w:rsid w:val="000317E3"/>
    <w:rsid w:val="00032D8A"/>
    <w:rsid w:val="00033287"/>
    <w:rsid w:val="00033832"/>
    <w:rsid w:val="00033A11"/>
    <w:rsid w:val="00036EB8"/>
    <w:rsid w:val="000372B6"/>
    <w:rsid w:val="00037AD2"/>
    <w:rsid w:val="00037FBC"/>
    <w:rsid w:val="00040B7E"/>
    <w:rsid w:val="00050A33"/>
    <w:rsid w:val="00052908"/>
    <w:rsid w:val="00054513"/>
    <w:rsid w:val="0005458E"/>
    <w:rsid w:val="000552FE"/>
    <w:rsid w:val="000573F2"/>
    <w:rsid w:val="00057694"/>
    <w:rsid w:val="0005783B"/>
    <w:rsid w:val="00057A60"/>
    <w:rsid w:val="000614B6"/>
    <w:rsid w:val="000619ED"/>
    <w:rsid w:val="00062E3D"/>
    <w:rsid w:val="00063575"/>
    <w:rsid w:val="00063EF2"/>
    <w:rsid w:val="00064285"/>
    <w:rsid w:val="00067EE3"/>
    <w:rsid w:val="00070AD2"/>
    <w:rsid w:val="00072375"/>
    <w:rsid w:val="000736A3"/>
    <w:rsid w:val="00074157"/>
    <w:rsid w:val="00074D5A"/>
    <w:rsid w:val="00080DF1"/>
    <w:rsid w:val="00080F89"/>
    <w:rsid w:val="0008232F"/>
    <w:rsid w:val="00082947"/>
    <w:rsid w:val="000878F6"/>
    <w:rsid w:val="0009100F"/>
    <w:rsid w:val="00093726"/>
    <w:rsid w:val="00093774"/>
    <w:rsid w:val="00093F09"/>
    <w:rsid w:val="00096D8C"/>
    <w:rsid w:val="000970FE"/>
    <w:rsid w:val="000A0683"/>
    <w:rsid w:val="000A13E1"/>
    <w:rsid w:val="000A155B"/>
    <w:rsid w:val="000A1FEF"/>
    <w:rsid w:val="000A3F57"/>
    <w:rsid w:val="000A54EB"/>
    <w:rsid w:val="000B0AA4"/>
    <w:rsid w:val="000B1D1E"/>
    <w:rsid w:val="000B2A15"/>
    <w:rsid w:val="000B31B0"/>
    <w:rsid w:val="000B60BF"/>
    <w:rsid w:val="000B65A5"/>
    <w:rsid w:val="000B6877"/>
    <w:rsid w:val="000B777C"/>
    <w:rsid w:val="000C16AB"/>
    <w:rsid w:val="000C1941"/>
    <w:rsid w:val="000C1E30"/>
    <w:rsid w:val="000C28E9"/>
    <w:rsid w:val="000C4FD4"/>
    <w:rsid w:val="000C6937"/>
    <w:rsid w:val="000C6C80"/>
    <w:rsid w:val="000C7C1B"/>
    <w:rsid w:val="000D1CCF"/>
    <w:rsid w:val="000D1F55"/>
    <w:rsid w:val="000D2113"/>
    <w:rsid w:val="000D2B3F"/>
    <w:rsid w:val="000D3419"/>
    <w:rsid w:val="000D3650"/>
    <w:rsid w:val="000D3D14"/>
    <w:rsid w:val="000D4298"/>
    <w:rsid w:val="000D5267"/>
    <w:rsid w:val="000D612B"/>
    <w:rsid w:val="000D680D"/>
    <w:rsid w:val="000D7A5C"/>
    <w:rsid w:val="000E0AFE"/>
    <w:rsid w:val="000E2E5D"/>
    <w:rsid w:val="000E456D"/>
    <w:rsid w:val="000E6D70"/>
    <w:rsid w:val="000E73C3"/>
    <w:rsid w:val="000E7981"/>
    <w:rsid w:val="000E7FC1"/>
    <w:rsid w:val="000F2859"/>
    <w:rsid w:val="000F485F"/>
    <w:rsid w:val="000F5AD7"/>
    <w:rsid w:val="000F6A2B"/>
    <w:rsid w:val="000F6F2E"/>
    <w:rsid w:val="000F7EFD"/>
    <w:rsid w:val="00101103"/>
    <w:rsid w:val="001022A9"/>
    <w:rsid w:val="00102D4F"/>
    <w:rsid w:val="00103456"/>
    <w:rsid w:val="00103900"/>
    <w:rsid w:val="0010484B"/>
    <w:rsid w:val="00104CBB"/>
    <w:rsid w:val="00105E2D"/>
    <w:rsid w:val="00107603"/>
    <w:rsid w:val="00114178"/>
    <w:rsid w:val="001148D2"/>
    <w:rsid w:val="001161BA"/>
    <w:rsid w:val="00117857"/>
    <w:rsid w:val="00117BAA"/>
    <w:rsid w:val="00120455"/>
    <w:rsid w:val="001215A4"/>
    <w:rsid w:val="001229B1"/>
    <w:rsid w:val="00123E3B"/>
    <w:rsid w:val="001249A9"/>
    <w:rsid w:val="001278D4"/>
    <w:rsid w:val="001312BA"/>
    <w:rsid w:val="0013377D"/>
    <w:rsid w:val="00140B23"/>
    <w:rsid w:val="00140B49"/>
    <w:rsid w:val="001419B3"/>
    <w:rsid w:val="0014239B"/>
    <w:rsid w:val="00151454"/>
    <w:rsid w:val="00151621"/>
    <w:rsid w:val="001533FE"/>
    <w:rsid w:val="00153720"/>
    <w:rsid w:val="00155F22"/>
    <w:rsid w:val="00155F47"/>
    <w:rsid w:val="00156F69"/>
    <w:rsid w:val="0015751A"/>
    <w:rsid w:val="0015774A"/>
    <w:rsid w:val="0016010A"/>
    <w:rsid w:val="00160626"/>
    <w:rsid w:val="001636F9"/>
    <w:rsid w:val="00163753"/>
    <w:rsid w:val="00164EF6"/>
    <w:rsid w:val="001655D0"/>
    <w:rsid w:val="00167226"/>
    <w:rsid w:val="0017271C"/>
    <w:rsid w:val="001741BE"/>
    <w:rsid w:val="001748F5"/>
    <w:rsid w:val="00175667"/>
    <w:rsid w:val="0017720A"/>
    <w:rsid w:val="00181C34"/>
    <w:rsid w:val="001859CC"/>
    <w:rsid w:val="00186580"/>
    <w:rsid w:val="00187158"/>
    <w:rsid w:val="00187DBE"/>
    <w:rsid w:val="00191D6D"/>
    <w:rsid w:val="001943D1"/>
    <w:rsid w:val="001A02AE"/>
    <w:rsid w:val="001A0476"/>
    <w:rsid w:val="001A0579"/>
    <w:rsid w:val="001A0E48"/>
    <w:rsid w:val="001A1255"/>
    <w:rsid w:val="001A1605"/>
    <w:rsid w:val="001A2BB4"/>
    <w:rsid w:val="001A433D"/>
    <w:rsid w:val="001A54C2"/>
    <w:rsid w:val="001B4597"/>
    <w:rsid w:val="001B4D1C"/>
    <w:rsid w:val="001B57AF"/>
    <w:rsid w:val="001B5834"/>
    <w:rsid w:val="001B5A1D"/>
    <w:rsid w:val="001B5DD4"/>
    <w:rsid w:val="001B5FA5"/>
    <w:rsid w:val="001B7CFC"/>
    <w:rsid w:val="001C07DB"/>
    <w:rsid w:val="001C09EC"/>
    <w:rsid w:val="001C09FA"/>
    <w:rsid w:val="001C2164"/>
    <w:rsid w:val="001C2E5B"/>
    <w:rsid w:val="001C3DAB"/>
    <w:rsid w:val="001D3841"/>
    <w:rsid w:val="001D594F"/>
    <w:rsid w:val="001D6036"/>
    <w:rsid w:val="001D6774"/>
    <w:rsid w:val="001E3BA5"/>
    <w:rsid w:val="001E3CC5"/>
    <w:rsid w:val="001E56C9"/>
    <w:rsid w:val="001E7C2D"/>
    <w:rsid w:val="001E7CC7"/>
    <w:rsid w:val="001F25C4"/>
    <w:rsid w:val="001F2C6A"/>
    <w:rsid w:val="001F2CAA"/>
    <w:rsid w:val="001F4DF6"/>
    <w:rsid w:val="001F52F7"/>
    <w:rsid w:val="001F79E6"/>
    <w:rsid w:val="0020224E"/>
    <w:rsid w:val="00203DDB"/>
    <w:rsid w:val="00204699"/>
    <w:rsid w:val="00210C6B"/>
    <w:rsid w:val="00210DC5"/>
    <w:rsid w:val="00217A0A"/>
    <w:rsid w:val="002226D7"/>
    <w:rsid w:val="00222955"/>
    <w:rsid w:val="00225760"/>
    <w:rsid w:val="002257D1"/>
    <w:rsid w:val="00225A6C"/>
    <w:rsid w:val="0022703F"/>
    <w:rsid w:val="0022719C"/>
    <w:rsid w:val="0022722F"/>
    <w:rsid w:val="00227757"/>
    <w:rsid w:val="002278A0"/>
    <w:rsid w:val="0023079D"/>
    <w:rsid w:val="002311EA"/>
    <w:rsid w:val="00232DF7"/>
    <w:rsid w:val="00233B83"/>
    <w:rsid w:val="00234C13"/>
    <w:rsid w:val="00235128"/>
    <w:rsid w:val="00237AF8"/>
    <w:rsid w:val="00240DB9"/>
    <w:rsid w:val="002411FF"/>
    <w:rsid w:val="00241A8E"/>
    <w:rsid w:val="0024587C"/>
    <w:rsid w:val="002473D0"/>
    <w:rsid w:val="0024795F"/>
    <w:rsid w:val="00247D21"/>
    <w:rsid w:val="00250061"/>
    <w:rsid w:val="00250EC3"/>
    <w:rsid w:val="0025132F"/>
    <w:rsid w:val="00251D94"/>
    <w:rsid w:val="002530D3"/>
    <w:rsid w:val="002552A2"/>
    <w:rsid w:val="002559FB"/>
    <w:rsid w:val="00256743"/>
    <w:rsid w:val="002572F3"/>
    <w:rsid w:val="002607E8"/>
    <w:rsid w:val="002607FC"/>
    <w:rsid w:val="002617EA"/>
    <w:rsid w:val="00265486"/>
    <w:rsid w:val="00266161"/>
    <w:rsid w:val="002666BC"/>
    <w:rsid w:val="002670DD"/>
    <w:rsid w:val="002673CF"/>
    <w:rsid w:val="002677FE"/>
    <w:rsid w:val="0026796C"/>
    <w:rsid w:val="00267D02"/>
    <w:rsid w:val="0027138D"/>
    <w:rsid w:val="00271FC8"/>
    <w:rsid w:val="00273442"/>
    <w:rsid w:val="00276B7E"/>
    <w:rsid w:val="00281E70"/>
    <w:rsid w:val="0028287C"/>
    <w:rsid w:val="00284BF9"/>
    <w:rsid w:val="00284F56"/>
    <w:rsid w:val="002868DF"/>
    <w:rsid w:val="00287353"/>
    <w:rsid w:val="00287E47"/>
    <w:rsid w:val="00292404"/>
    <w:rsid w:val="00292572"/>
    <w:rsid w:val="00293303"/>
    <w:rsid w:val="002957DC"/>
    <w:rsid w:val="00297196"/>
    <w:rsid w:val="00297C35"/>
    <w:rsid w:val="002A2B55"/>
    <w:rsid w:val="002A3FA8"/>
    <w:rsid w:val="002A455D"/>
    <w:rsid w:val="002A4F75"/>
    <w:rsid w:val="002A50DC"/>
    <w:rsid w:val="002B1057"/>
    <w:rsid w:val="002B4B4F"/>
    <w:rsid w:val="002B4C67"/>
    <w:rsid w:val="002B56AE"/>
    <w:rsid w:val="002B609B"/>
    <w:rsid w:val="002C0087"/>
    <w:rsid w:val="002C0A02"/>
    <w:rsid w:val="002C2491"/>
    <w:rsid w:val="002C2C75"/>
    <w:rsid w:val="002C2D5B"/>
    <w:rsid w:val="002C4BDF"/>
    <w:rsid w:val="002C4FD2"/>
    <w:rsid w:val="002C5D8F"/>
    <w:rsid w:val="002C7FDB"/>
    <w:rsid w:val="002D048E"/>
    <w:rsid w:val="002D1021"/>
    <w:rsid w:val="002D22B6"/>
    <w:rsid w:val="002D6993"/>
    <w:rsid w:val="002D74AB"/>
    <w:rsid w:val="002D76A8"/>
    <w:rsid w:val="002E0FD0"/>
    <w:rsid w:val="002E1358"/>
    <w:rsid w:val="002E3183"/>
    <w:rsid w:val="002E3452"/>
    <w:rsid w:val="002E3582"/>
    <w:rsid w:val="002E40AE"/>
    <w:rsid w:val="002E543D"/>
    <w:rsid w:val="002E5FDE"/>
    <w:rsid w:val="002F33D7"/>
    <w:rsid w:val="002F35BC"/>
    <w:rsid w:val="002F4F14"/>
    <w:rsid w:val="002F5121"/>
    <w:rsid w:val="002F7A2C"/>
    <w:rsid w:val="002F7A90"/>
    <w:rsid w:val="00305382"/>
    <w:rsid w:val="00305AB8"/>
    <w:rsid w:val="00310D0F"/>
    <w:rsid w:val="00310F48"/>
    <w:rsid w:val="0031133C"/>
    <w:rsid w:val="00311EE2"/>
    <w:rsid w:val="00312B1B"/>
    <w:rsid w:val="003132BC"/>
    <w:rsid w:val="00313B77"/>
    <w:rsid w:val="00313B81"/>
    <w:rsid w:val="00313E00"/>
    <w:rsid w:val="003151BE"/>
    <w:rsid w:val="00317DC6"/>
    <w:rsid w:val="00320241"/>
    <w:rsid w:val="003208F1"/>
    <w:rsid w:val="00321206"/>
    <w:rsid w:val="003235B9"/>
    <w:rsid w:val="00324ECA"/>
    <w:rsid w:val="00325092"/>
    <w:rsid w:val="00325B5E"/>
    <w:rsid w:val="00326D45"/>
    <w:rsid w:val="00326E4C"/>
    <w:rsid w:val="00327E95"/>
    <w:rsid w:val="00330079"/>
    <w:rsid w:val="00332C96"/>
    <w:rsid w:val="0033306B"/>
    <w:rsid w:val="003353FA"/>
    <w:rsid w:val="00335F40"/>
    <w:rsid w:val="00336074"/>
    <w:rsid w:val="00336125"/>
    <w:rsid w:val="003364EF"/>
    <w:rsid w:val="003375AF"/>
    <w:rsid w:val="00343203"/>
    <w:rsid w:val="0034562C"/>
    <w:rsid w:val="0034619D"/>
    <w:rsid w:val="00347503"/>
    <w:rsid w:val="00347957"/>
    <w:rsid w:val="00347C8F"/>
    <w:rsid w:val="0035126D"/>
    <w:rsid w:val="0035406D"/>
    <w:rsid w:val="003551A3"/>
    <w:rsid w:val="0035578A"/>
    <w:rsid w:val="00356D7E"/>
    <w:rsid w:val="00357B7E"/>
    <w:rsid w:val="003606DA"/>
    <w:rsid w:val="00364E2F"/>
    <w:rsid w:val="0036605D"/>
    <w:rsid w:val="003673FE"/>
    <w:rsid w:val="00371E52"/>
    <w:rsid w:val="00372D9C"/>
    <w:rsid w:val="003736C1"/>
    <w:rsid w:val="00375E94"/>
    <w:rsid w:val="0038160B"/>
    <w:rsid w:val="003826E1"/>
    <w:rsid w:val="00382F90"/>
    <w:rsid w:val="00385C36"/>
    <w:rsid w:val="0038663F"/>
    <w:rsid w:val="00390A07"/>
    <w:rsid w:val="0039146B"/>
    <w:rsid w:val="0039167A"/>
    <w:rsid w:val="00392BC8"/>
    <w:rsid w:val="00393BFD"/>
    <w:rsid w:val="00397384"/>
    <w:rsid w:val="00397DEA"/>
    <w:rsid w:val="003A2EBD"/>
    <w:rsid w:val="003A3893"/>
    <w:rsid w:val="003A4FD8"/>
    <w:rsid w:val="003A53F9"/>
    <w:rsid w:val="003A56C7"/>
    <w:rsid w:val="003A6C3F"/>
    <w:rsid w:val="003A7244"/>
    <w:rsid w:val="003B22B6"/>
    <w:rsid w:val="003B2711"/>
    <w:rsid w:val="003B3D65"/>
    <w:rsid w:val="003B55B4"/>
    <w:rsid w:val="003B6894"/>
    <w:rsid w:val="003B6EFA"/>
    <w:rsid w:val="003C1679"/>
    <w:rsid w:val="003C2291"/>
    <w:rsid w:val="003C73DC"/>
    <w:rsid w:val="003D099E"/>
    <w:rsid w:val="003D1EEA"/>
    <w:rsid w:val="003D4FEA"/>
    <w:rsid w:val="003D6321"/>
    <w:rsid w:val="003D65AC"/>
    <w:rsid w:val="003D6F1B"/>
    <w:rsid w:val="003D7211"/>
    <w:rsid w:val="003E01C6"/>
    <w:rsid w:val="003E1AF9"/>
    <w:rsid w:val="003E224D"/>
    <w:rsid w:val="003E2FE2"/>
    <w:rsid w:val="003E5258"/>
    <w:rsid w:val="003E675E"/>
    <w:rsid w:val="003E765F"/>
    <w:rsid w:val="003E7825"/>
    <w:rsid w:val="003E7F72"/>
    <w:rsid w:val="003F34AD"/>
    <w:rsid w:val="003F60A4"/>
    <w:rsid w:val="003F62E8"/>
    <w:rsid w:val="003F7735"/>
    <w:rsid w:val="004005F6"/>
    <w:rsid w:val="004022D8"/>
    <w:rsid w:val="004027E4"/>
    <w:rsid w:val="0040697C"/>
    <w:rsid w:val="00411BBA"/>
    <w:rsid w:val="00412FBC"/>
    <w:rsid w:val="00413598"/>
    <w:rsid w:val="00416055"/>
    <w:rsid w:val="00416A39"/>
    <w:rsid w:val="00416C66"/>
    <w:rsid w:val="00417CAF"/>
    <w:rsid w:val="0042061D"/>
    <w:rsid w:val="00423C14"/>
    <w:rsid w:val="004251AB"/>
    <w:rsid w:val="004268E2"/>
    <w:rsid w:val="00426CCD"/>
    <w:rsid w:val="004271CA"/>
    <w:rsid w:val="00427315"/>
    <w:rsid w:val="00427B0A"/>
    <w:rsid w:val="00427B0D"/>
    <w:rsid w:val="004314BE"/>
    <w:rsid w:val="004348D4"/>
    <w:rsid w:val="00434B66"/>
    <w:rsid w:val="00435CFC"/>
    <w:rsid w:val="00436F1A"/>
    <w:rsid w:val="00437AF8"/>
    <w:rsid w:val="0044085B"/>
    <w:rsid w:val="00442338"/>
    <w:rsid w:val="00442B5A"/>
    <w:rsid w:val="004440E8"/>
    <w:rsid w:val="00444A3E"/>
    <w:rsid w:val="00444FCA"/>
    <w:rsid w:val="004459CA"/>
    <w:rsid w:val="00445B26"/>
    <w:rsid w:val="00447842"/>
    <w:rsid w:val="00450A3A"/>
    <w:rsid w:val="00450CC7"/>
    <w:rsid w:val="00451ABC"/>
    <w:rsid w:val="00452B83"/>
    <w:rsid w:val="00452BA1"/>
    <w:rsid w:val="00453CE0"/>
    <w:rsid w:val="00455A82"/>
    <w:rsid w:val="004574CA"/>
    <w:rsid w:val="004606C0"/>
    <w:rsid w:val="0046070C"/>
    <w:rsid w:val="00461A05"/>
    <w:rsid w:val="00462E22"/>
    <w:rsid w:val="00463C07"/>
    <w:rsid w:val="00463F92"/>
    <w:rsid w:val="00464801"/>
    <w:rsid w:val="00466028"/>
    <w:rsid w:val="004672DA"/>
    <w:rsid w:val="0046763D"/>
    <w:rsid w:val="004702FD"/>
    <w:rsid w:val="004713DC"/>
    <w:rsid w:val="00472286"/>
    <w:rsid w:val="00472C61"/>
    <w:rsid w:val="00474231"/>
    <w:rsid w:val="00474478"/>
    <w:rsid w:val="0047593A"/>
    <w:rsid w:val="004762AC"/>
    <w:rsid w:val="0047666D"/>
    <w:rsid w:val="004775E6"/>
    <w:rsid w:val="00485422"/>
    <w:rsid w:val="004900C6"/>
    <w:rsid w:val="00492155"/>
    <w:rsid w:val="00495718"/>
    <w:rsid w:val="00495C13"/>
    <w:rsid w:val="004976DE"/>
    <w:rsid w:val="004A08D7"/>
    <w:rsid w:val="004A1260"/>
    <w:rsid w:val="004A14AE"/>
    <w:rsid w:val="004A31DA"/>
    <w:rsid w:val="004A3F39"/>
    <w:rsid w:val="004A4544"/>
    <w:rsid w:val="004A5443"/>
    <w:rsid w:val="004A64A1"/>
    <w:rsid w:val="004A774B"/>
    <w:rsid w:val="004B3A06"/>
    <w:rsid w:val="004B499D"/>
    <w:rsid w:val="004B522C"/>
    <w:rsid w:val="004B7077"/>
    <w:rsid w:val="004C0798"/>
    <w:rsid w:val="004C094C"/>
    <w:rsid w:val="004C0C7A"/>
    <w:rsid w:val="004C2876"/>
    <w:rsid w:val="004C314D"/>
    <w:rsid w:val="004C4C88"/>
    <w:rsid w:val="004C5DC1"/>
    <w:rsid w:val="004D0A19"/>
    <w:rsid w:val="004D1BC7"/>
    <w:rsid w:val="004D4719"/>
    <w:rsid w:val="004D4DCC"/>
    <w:rsid w:val="004D5959"/>
    <w:rsid w:val="004D5E3B"/>
    <w:rsid w:val="004D76FD"/>
    <w:rsid w:val="004D7A5D"/>
    <w:rsid w:val="004E4D7C"/>
    <w:rsid w:val="004E5AE0"/>
    <w:rsid w:val="004E611C"/>
    <w:rsid w:val="004F1574"/>
    <w:rsid w:val="004F1A15"/>
    <w:rsid w:val="004F2189"/>
    <w:rsid w:val="004F2B54"/>
    <w:rsid w:val="004F2BF7"/>
    <w:rsid w:val="004F3038"/>
    <w:rsid w:val="004F36AD"/>
    <w:rsid w:val="004F4104"/>
    <w:rsid w:val="004F4729"/>
    <w:rsid w:val="004F6475"/>
    <w:rsid w:val="00501151"/>
    <w:rsid w:val="00501F30"/>
    <w:rsid w:val="00502E2D"/>
    <w:rsid w:val="00513203"/>
    <w:rsid w:val="005151FB"/>
    <w:rsid w:val="005156C5"/>
    <w:rsid w:val="00516650"/>
    <w:rsid w:val="00516EDC"/>
    <w:rsid w:val="0051714A"/>
    <w:rsid w:val="005209FE"/>
    <w:rsid w:val="00520FD0"/>
    <w:rsid w:val="00523951"/>
    <w:rsid w:val="00523CD2"/>
    <w:rsid w:val="00523F3F"/>
    <w:rsid w:val="00527895"/>
    <w:rsid w:val="00532B9D"/>
    <w:rsid w:val="00533E81"/>
    <w:rsid w:val="00534623"/>
    <w:rsid w:val="005355AE"/>
    <w:rsid w:val="005366C5"/>
    <w:rsid w:val="0054198F"/>
    <w:rsid w:val="00541A03"/>
    <w:rsid w:val="00542965"/>
    <w:rsid w:val="00542B88"/>
    <w:rsid w:val="00542C51"/>
    <w:rsid w:val="0054301B"/>
    <w:rsid w:val="00543291"/>
    <w:rsid w:val="005447C6"/>
    <w:rsid w:val="00544EC3"/>
    <w:rsid w:val="00545E05"/>
    <w:rsid w:val="00546741"/>
    <w:rsid w:val="005508D1"/>
    <w:rsid w:val="00552512"/>
    <w:rsid w:val="00555245"/>
    <w:rsid w:val="005562A7"/>
    <w:rsid w:val="0056163F"/>
    <w:rsid w:val="005637B6"/>
    <w:rsid w:val="0056411F"/>
    <w:rsid w:val="00564BB1"/>
    <w:rsid w:val="00565502"/>
    <w:rsid w:val="005657ED"/>
    <w:rsid w:val="005705D7"/>
    <w:rsid w:val="00570F36"/>
    <w:rsid w:val="00572B2D"/>
    <w:rsid w:val="00575640"/>
    <w:rsid w:val="00580D72"/>
    <w:rsid w:val="00580D84"/>
    <w:rsid w:val="00582D69"/>
    <w:rsid w:val="00582ECD"/>
    <w:rsid w:val="00583084"/>
    <w:rsid w:val="005836C4"/>
    <w:rsid w:val="00585A69"/>
    <w:rsid w:val="00586465"/>
    <w:rsid w:val="00590432"/>
    <w:rsid w:val="0059211E"/>
    <w:rsid w:val="00592FDE"/>
    <w:rsid w:val="00593D11"/>
    <w:rsid w:val="00593FF6"/>
    <w:rsid w:val="0059479E"/>
    <w:rsid w:val="0059692A"/>
    <w:rsid w:val="005969FF"/>
    <w:rsid w:val="00597AE7"/>
    <w:rsid w:val="005A1EAF"/>
    <w:rsid w:val="005A28E2"/>
    <w:rsid w:val="005A405A"/>
    <w:rsid w:val="005B1FF6"/>
    <w:rsid w:val="005B2A16"/>
    <w:rsid w:val="005B320D"/>
    <w:rsid w:val="005C06DF"/>
    <w:rsid w:val="005C130D"/>
    <w:rsid w:val="005C1F10"/>
    <w:rsid w:val="005C466C"/>
    <w:rsid w:val="005C4C4D"/>
    <w:rsid w:val="005C6441"/>
    <w:rsid w:val="005D0BDB"/>
    <w:rsid w:val="005D2F15"/>
    <w:rsid w:val="005D369F"/>
    <w:rsid w:val="005D3907"/>
    <w:rsid w:val="005D62A1"/>
    <w:rsid w:val="005D659D"/>
    <w:rsid w:val="005D6639"/>
    <w:rsid w:val="005D6B64"/>
    <w:rsid w:val="005E34D5"/>
    <w:rsid w:val="005E34F7"/>
    <w:rsid w:val="005E5E1F"/>
    <w:rsid w:val="005E6F4F"/>
    <w:rsid w:val="005F0985"/>
    <w:rsid w:val="005F1C81"/>
    <w:rsid w:val="005F2B3F"/>
    <w:rsid w:val="005F3B39"/>
    <w:rsid w:val="005F4942"/>
    <w:rsid w:val="005F53E2"/>
    <w:rsid w:val="005F5478"/>
    <w:rsid w:val="005F6B40"/>
    <w:rsid w:val="006004A7"/>
    <w:rsid w:val="006008B5"/>
    <w:rsid w:val="00600D0E"/>
    <w:rsid w:val="00602015"/>
    <w:rsid w:val="00602EC5"/>
    <w:rsid w:val="006051BC"/>
    <w:rsid w:val="006055A3"/>
    <w:rsid w:val="00605D6F"/>
    <w:rsid w:val="006073EB"/>
    <w:rsid w:val="006108F0"/>
    <w:rsid w:val="00610B43"/>
    <w:rsid w:val="0061212A"/>
    <w:rsid w:val="00612D4B"/>
    <w:rsid w:val="006141C9"/>
    <w:rsid w:val="00615B9B"/>
    <w:rsid w:val="00615E57"/>
    <w:rsid w:val="00615E66"/>
    <w:rsid w:val="0062132D"/>
    <w:rsid w:val="00622ED0"/>
    <w:rsid w:val="00623862"/>
    <w:rsid w:val="00623B01"/>
    <w:rsid w:val="00624429"/>
    <w:rsid w:val="00625503"/>
    <w:rsid w:val="00625880"/>
    <w:rsid w:val="00625F64"/>
    <w:rsid w:val="00626989"/>
    <w:rsid w:val="006303D4"/>
    <w:rsid w:val="00630E6E"/>
    <w:rsid w:val="006358E4"/>
    <w:rsid w:val="00636906"/>
    <w:rsid w:val="006373B3"/>
    <w:rsid w:val="006379EF"/>
    <w:rsid w:val="00641A3B"/>
    <w:rsid w:val="006431FE"/>
    <w:rsid w:val="006451F2"/>
    <w:rsid w:val="00650CA8"/>
    <w:rsid w:val="00652FD3"/>
    <w:rsid w:val="00653E3E"/>
    <w:rsid w:val="00655EB3"/>
    <w:rsid w:val="00656A08"/>
    <w:rsid w:val="006579FD"/>
    <w:rsid w:val="00661BB5"/>
    <w:rsid w:val="00666D5C"/>
    <w:rsid w:val="00670E16"/>
    <w:rsid w:val="006744D8"/>
    <w:rsid w:val="00675EF1"/>
    <w:rsid w:val="00690A94"/>
    <w:rsid w:val="006915CA"/>
    <w:rsid w:val="00692010"/>
    <w:rsid w:val="00692AD6"/>
    <w:rsid w:val="00693054"/>
    <w:rsid w:val="00694B05"/>
    <w:rsid w:val="00694CE8"/>
    <w:rsid w:val="00696857"/>
    <w:rsid w:val="0069717F"/>
    <w:rsid w:val="006A204A"/>
    <w:rsid w:val="006A4479"/>
    <w:rsid w:val="006A46DE"/>
    <w:rsid w:val="006B02A5"/>
    <w:rsid w:val="006B3B0D"/>
    <w:rsid w:val="006B4817"/>
    <w:rsid w:val="006B68AE"/>
    <w:rsid w:val="006B7EAB"/>
    <w:rsid w:val="006C011B"/>
    <w:rsid w:val="006C1AB6"/>
    <w:rsid w:val="006C1EEE"/>
    <w:rsid w:val="006C2AFD"/>
    <w:rsid w:val="006C3E4C"/>
    <w:rsid w:val="006C4AB8"/>
    <w:rsid w:val="006C558D"/>
    <w:rsid w:val="006C6BC7"/>
    <w:rsid w:val="006C6EC3"/>
    <w:rsid w:val="006C7323"/>
    <w:rsid w:val="006D130E"/>
    <w:rsid w:val="006D2EE6"/>
    <w:rsid w:val="006D3FB4"/>
    <w:rsid w:val="006D4A66"/>
    <w:rsid w:val="006D5024"/>
    <w:rsid w:val="006D5BE5"/>
    <w:rsid w:val="006D6E4A"/>
    <w:rsid w:val="006D7C69"/>
    <w:rsid w:val="006E0196"/>
    <w:rsid w:val="006E1ACA"/>
    <w:rsid w:val="006E279C"/>
    <w:rsid w:val="006E29F2"/>
    <w:rsid w:val="006E33C0"/>
    <w:rsid w:val="006E49F5"/>
    <w:rsid w:val="006E49F9"/>
    <w:rsid w:val="006E54BE"/>
    <w:rsid w:val="006E656D"/>
    <w:rsid w:val="006F0718"/>
    <w:rsid w:val="006F2E77"/>
    <w:rsid w:val="006F4B28"/>
    <w:rsid w:val="006F55E2"/>
    <w:rsid w:val="006F5E34"/>
    <w:rsid w:val="006F63DA"/>
    <w:rsid w:val="007015DA"/>
    <w:rsid w:val="007036B1"/>
    <w:rsid w:val="00704253"/>
    <w:rsid w:val="0070466E"/>
    <w:rsid w:val="00704CB7"/>
    <w:rsid w:val="00705377"/>
    <w:rsid w:val="007067E9"/>
    <w:rsid w:val="00706DEB"/>
    <w:rsid w:val="00707AA1"/>
    <w:rsid w:val="007106AC"/>
    <w:rsid w:val="0071204A"/>
    <w:rsid w:val="00712D33"/>
    <w:rsid w:val="00713CB9"/>
    <w:rsid w:val="00715BAF"/>
    <w:rsid w:val="00717681"/>
    <w:rsid w:val="00721291"/>
    <w:rsid w:val="00725184"/>
    <w:rsid w:val="007253CF"/>
    <w:rsid w:val="0072578F"/>
    <w:rsid w:val="00725912"/>
    <w:rsid w:val="007263AD"/>
    <w:rsid w:val="0072727A"/>
    <w:rsid w:val="00727640"/>
    <w:rsid w:val="00730F37"/>
    <w:rsid w:val="00731381"/>
    <w:rsid w:val="00731767"/>
    <w:rsid w:val="00732257"/>
    <w:rsid w:val="0073349C"/>
    <w:rsid w:val="00734F72"/>
    <w:rsid w:val="0073536B"/>
    <w:rsid w:val="00735D73"/>
    <w:rsid w:val="0073634F"/>
    <w:rsid w:val="00736A08"/>
    <w:rsid w:val="00736B3A"/>
    <w:rsid w:val="00736EB6"/>
    <w:rsid w:val="00741CDD"/>
    <w:rsid w:val="0074436E"/>
    <w:rsid w:val="007446D2"/>
    <w:rsid w:val="00745D61"/>
    <w:rsid w:val="00747E80"/>
    <w:rsid w:val="00751C9E"/>
    <w:rsid w:val="00752E4A"/>
    <w:rsid w:val="00754234"/>
    <w:rsid w:val="00756463"/>
    <w:rsid w:val="00756634"/>
    <w:rsid w:val="0075717B"/>
    <w:rsid w:val="007601CA"/>
    <w:rsid w:val="00761384"/>
    <w:rsid w:val="00762600"/>
    <w:rsid w:val="00763569"/>
    <w:rsid w:val="00764B89"/>
    <w:rsid w:val="007657D5"/>
    <w:rsid w:val="00765AD4"/>
    <w:rsid w:val="007676BE"/>
    <w:rsid w:val="007707C7"/>
    <w:rsid w:val="00770854"/>
    <w:rsid w:val="00770D3D"/>
    <w:rsid w:val="007718E8"/>
    <w:rsid w:val="00771B14"/>
    <w:rsid w:val="00773782"/>
    <w:rsid w:val="00773FFA"/>
    <w:rsid w:val="00774288"/>
    <w:rsid w:val="007845F5"/>
    <w:rsid w:val="00786377"/>
    <w:rsid w:val="00787A5B"/>
    <w:rsid w:val="00790960"/>
    <w:rsid w:val="00791466"/>
    <w:rsid w:val="0079176F"/>
    <w:rsid w:val="00792332"/>
    <w:rsid w:val="00795418"/>
    <w:rsid w:val="00796AAA"/>
    <w:rsid w:val="007A3D79"/>
    <w:rsid w:val="007A4A90"/>
    <w:rsid w:val="007A6291"/>
    <w:rsid w:val="007A6AB8"/>
    <w:rsid w:val="007A7353"/>
    <w:rsid w:val="007B1C3F"/>
    <w:rsid w:val="007B3E03"/>
    <w:rsid w:val="007B4E6C"/>
    <w:rsid w:val="007B4F9F"/>
    <w:rsid w:val="007B61B1"/>
    <w:rsid w:val="007C0132"/>
    <w:rsid w:val="007C02BD"/>
    <w:rsid w:val="007C0373"/>
    <w:rsid w:val="007C058E"/>
    <w:rsid w:val="007C1283"/>
    <w:rsid w:val="007C1617"/>
    <w:rsid w:val="007C27FC"/>
    <w:rsid w:val="007C326F"/>
    <w:rsid w:val="007C3E7A"/>
    <w:rsid w:val="007C4470"/>
    <w:rsid w:val="007C4C8B"/>
    <w:rsid w:val="007C6495"/>
    <w:rsid w:val="007D32AA"/>
    <w:rsid w:val="007D3A87"/>
    <w:rsid w:val="007D402E"/>
    <w:rsid w:val="007D4521"/>
    <w:rsid w:val="007D5E1B"/>
    <w:rsid w:val="007D604F"/>
    <w:rsid w:val="007D7264"/>
    <w:rsid w:val="007E1E87"/>
    <w:rsid w:val="007E2852"/>
    <w:rsid w:val="007E5647"/>
    <w:rsid w:val="007E5CDE"/>
    <w:rsid w:val="007E5D43"/>
    <w:rsid w:val="007E5EEF"/>
    <w:rsid w:val="007E6653"/>
    <w:rsid w:val="007E7116"/>
    <w:rsid w:val="007E74BF"/>
    <w:rsid w:val="007E75E1"/>
    <w:rsid w:val="007E7D3C"/>
    <w:rsid w:val="007F053B"/>
    <w:rsid w:val="007F2A30"/>
    <w:rsid w:val="007F5343"/>
    <w:rsid w:val="007F58E0"/>
    <w:rsid w:val="007F6BC8"/>
    <w:rsid w:val="00800BA6"/>
    <w:rsid w:val="0080262E"/>
    <w:rsid w:val="00806C0A"/>
    <w:rsid w:val="00806FCC"/>
    <w:rsid w:val="008113B8"/>
    <w:rsid w:val="00811929"/>
    <w:rsid w:val="00812BA9"/>
    <w:rsid w:val="00812ED3"/>
    <w:rsid w:val="0081446E"/>
    <w:rsid w:val="008167B8"/>
    <w:rsid w:val="0081796F"/>
    <w:rsid w:val="00821A19"/>
    <w:rsid w:val="00822E1A"/>
    <w:rsid w:val="00824E78"/>
    <w:rsid w:val="008279BA"/>
    <w:rsid w:val="00832877"/>
    <w:rsid w:val="00834EFF"/>
    <w:rsid w:val="00840C26"/>
    <w:rsid w:val="00840F0B"/>
    <w:rsid w:val="00841BB2"/>
    <w:rsid w:val="0084223C"/>
    <w:rsid w:val="0084237B"/>
    <w:rsid w:val="008442E9"/>
    <w:rsid w:val="008460DF"/>
    <w:rsid w:val="00846346"/>
    <w:rsid w:val="00846903"/>
    <w:rsid w:val="008477E7"/>
    <w:rsid w:val="00850C5F"/>
    <w:rsid w:val="00850CCB"/>
    <w:rsid w:val="008510FA"/>
    <w:rsid w:val="00851544"/>
    <w:rsid w:val="00851AA9"/>
    <w:rsid w:val="00851ADD"/>
    <w:rsid w:val="00852715"/>
    <w:rsid w:val="0085473C"/>
    <w:rsid w:val="00856155"/>
    <w:rsid w:val="008561D0"/>
    <w:rsid w:val="0086097D"/>
    <w:rsid w:val="00862730"/>
    <w:rsid w:val="0086414C"/>
    <w:rsid w:val="008673C9"/>
    <w:rsid w:val="00870019"/>
    <w:rsid w:val="00872D42"/>
    <w:rsid w:val="00872EB6"/>
    <w:rsid w:val="00872F21"/>
    <w:rsid w:val="00873A07"/>
    <w:rsid w:val="00874320"/>
    <w:rsid w:val="00874AEE"/>
    <w:rsid w:val="008751E2"/>
    <w:rsid w:val="00876E5A"/>
    <w:rsid w:val="00881753"/>
    <w:rsid w:val="00882C6A"/>
    <w:rsid w:val="0089013A"/>
    <w:rsid w:val="0089124D"/>
    <w:rsid w:val="00891EC6"/>
    <w:rsid w:val="00892EE6"/>
    <w:rsid w:val="00893BA5"/>
    <w:rsid w:val="00895FE9"/>
    <w:rsid w:val="008A0044"/>
    <w:rsid w:val="008A72AD"/>
    <w:rsid w:val="008A75ED"/>
    <w:rsid w:val="008B47D6"/>
    <w:rsid w:val="008B4CE4"/>
    <w:rsid w:val="008B58BE"/>
    <w:rsid w:val="008C0D2B"/>
    <w:rsid w:val="008C6148"/>
    <w:rsid w:val="008C6EA6"/>
    <w:rsid w:val="008D0D95"/>
    <w:rsid w:val="008D1C5E"/>
    <w:rsid w:val="008D37B8"/>
    <w:rsid w:val="008D5062"/>
    <w:rsid w:val="008D5E85"/>
    <w:rsid w:val="008E223C"/>
    <w:rsid w:val="008E2483"/>
    <w:rsid w:val="008E3ADF"/>
    <w:rsid w:val="008E44A2"/>
    <w:rsid w:val="008E4DB4"/>
    <w:rsid w:val="008E5316"/>
    <w:rsid w:val="008E60A7"/>
    <w:rsid w:val="008F54DC"/>
    <w:rsid w:val="009005CD"/>
    <w:rsid w:val="0090082A"/>
    <w:rsid w:val="00900AB3"/>
    <w:rsid w:val="0090310C"/>
    <w:rsid w:val="00903363"/>
    <w:rsid w:val="0090381F"/>
    <w:rsid w:val="00904234"/>
    <w:rsid w:val="00904941"/>
    <w:rsid w:val="00905C82"/>
    <w:rsid w:val="00910120"/>
    <w:rsid w:val="00911E90"/>
    <w:rsid w:val="00913DC5"/>
    <w:rsid w:val="00913EFD"/>
    <w:rsid w:val="009149E1"/>
    <w:rsid w:val="00914D85"/>
    <w:rsid w:val="00916D2C"/>
    <w:rsid w:val="009176EE"/>
    <w:rsid w:val="00917BA3"/>
    <w:rsid w:val="009207AE"/>
    <w:rsid w:val="0092133C"/>
    <w:rsid w:val="009233F3"/>
    <w:rsid w:val="009234A4"/>
    <w:rsid w:val="00923E50"/>
    <w:rsid w:val="00924263"/>
    <w:rsid w:val="00924E86"/>
    <w:rsid w:val="00924FAF"/>
    <w:rsid w:val="00926E0C"/>
    <w:rsid w:val="00926E84"/>
    <w:rsid w:val="0092763E"/>
    <w:rsid w:val="00930703"/>
    <w:rsid w:val="00930AFA"/>
    <w:rsid w:val="009311AA"/>
    <w:rsid w:val="009322D3"/>
    <w:rsid w:val="009422D8"/>
    <w:rsid w:val="00943300"/>
    <w:rsid w:val="009438F0"/>
    <w:rsid w:val="00947EA4"/>
    <w:rsid w:val="00950891"/>
    <w:rsid w:val="0095145C"/>
    <w:rsid w:val="00952803"/>
    <w:rsid w:val="00952A6C"/>
    <w:rsid w:val="009547A4"/>
    <w:rsid w:val="00960689"/>
    <w:rsid w:val="009608E3"/>
    <w:rsid w:val="009629B3"/>
    <w:rsid w:val="00963AF9"/>
    <w:rsid w:val="00963FF6"/>
    <w:rsid w:val="00965142"/>
    <w:rsid w:val="0096520B"/>
    <w:rsid w:val="00966811"/>
    <w:rsid w:val="00966C35"/>
    <w:rsid w:val="00966DDF"/>
    <w:rsid w:val="00967210"/>
    <w:rsid w:val="00970E1D"/>
    <w:rsid w:val="00971526"/>
    <w:rsid w:val="00971A71"/>
    <w:rsid w:val="009732CC"/>
    <w:rsid w:val="0097332A"/>
    <w:rsid w:val="00975F98"/>
    <w:rsid w:val="00977D70"/>
    <w:rsid w:val="009800CC"/>
    <w:rsid w:val="00980317"/>
    <w:rsid w:val="00981EDC"/>
    <w:rsid w:val="00982B3C"/>
    <w:rsid w:val="009830AE"/>
    <w:rsid w:val="00983C4E"/>
    <w:rsid w:val="00983FFC"/>
    <w:rsid w:val="009850B3"/>
    <w:rsid w:val="009910B5"/>
    <w:rsid w:val="009962C1"/>
    <w:rsid w:val="009975C3"/>
    <w:rsid w:val="00997DDD"/>
    <w:rsid w:val="009A02A4"/>
    <w:rsid w:val="009A0D92"/>
    <w:rsid w:val="009A1C6E"/>
    <w:rsid w:val="009A5001"/>
    <w:rsid w:val="009A53A7"/>
    <w:rsid w:val="009A5A82"/>
    <w:rsid w:val="009A5CAA"/>
    <w:rsid w:val="009A5EDF"/>
    <w:rsid w:val="009A7214"/>
    <w:rsid w:val="009A76BD"/>
    <w:rsid w:val="009A7AB2"/>
    <w:rsid w:val="009B0513"/>
    <w:rsid w:val="009B0B99"/>
    <w:rsid w:val="009B280A"/>
    <w:rsid w:val="009B4DA6"/>
    <w:rsid w:val="009B780B"/>
    <w:rsid w:val="009C0D77"/>
    <w:rsid w:val="009C2B12"/>
    <w:rsid w:val="009C2DA2"/>
    <w:rsid w:val="009C40C1"/>
    <w:rsid w:val="009C46C2"/>
    <w:rsid w:val="009C502C"/>
    <w:rsid w:val="009C5CBD"/>
    <w:rsid w:val="009C6245"/>
    <w:rsid w:val="009C7A06"/>
    <w:rsid w:val="009D0228"/>
    <w:rsid w:val="009D29B7"/>
    <w:rsid w:val="009D2DFE"/>
    <w:rsid w:val="009D3332"/>
    <w:rsid w:val="009D4137"/>
    <w:rsid w:val="009D58C2"/>
    <w:rsid w:val="009D5B66"/>
    <w:rsid w:val="009D7B57"/>
    <w:rsid w:val="009E09D8"/>
    <w:rsid w:val="009E0CE3"/>
    <w:rsid w:val="009E22FB"/>
    <w:rsid w:val="009E4037"/>
    <w:rsid w:val="009E41F5"/>
    <w:rsid w:val="009E440C"/>
    <w:rsid w:val="009E6FF0"/>
    <w:rsid w:val="009F0D4E"/>
    <w:rsid w:val="009F19C2"/>
    <w:rsid w:val="009F2665"/>
    <w:rsid w:val="009F3AB9"/>
    <w:rsid w:val="009F5815"/>
    <w:rsid w:val="009F763C"/>
    <w:rsid w:val="009F7ECF"/>
    <w:rsid w:val="00A00D90"/>
    <w:rsid w:val="00A018E2"/>
    <w:rsid w:val="00A03E85"/>
    <w:rsid w:val="00A040D4"/>
    <w:rsid w:val="00A04603"/>
    <w:rsid w:val="00A07388"/>
    <w:rsid w:val="00A0768D"/>
    <w:rsid w:val="00A10979"/>
    <w:rsid w:val="00A10E05"/>
    <w:rsid w:val="00A12862"/>
    <w:rsid w:val="00A14801"/>
    <w:rsid w:val="00A16693"/>
    <w:rsid w:val="00A1680C"/>
    <w:rsid w:val="00A20F4A"/>
    <w:rsid w:val="00A2250F"/>
    <w:rsid w:val="00A229D4"/>
    <w:rsid w:val="00A22B6B"/>
    <w:rsid w:val="00A23D92"/>
    <w:rsid w:val="00A27477"/>
    <w:rsid w:val="00A3036B"/>
    <w:rsid w:val="00A3186D"/>
    <w:rsid w:val="00A31BC4"/>
    <w:rsid w:val="00A31DB2"/>
    <w:rsid w:val="00A32649"/>
    <w:rsid w:val="00A34141"/>
    <w:rsid w:val="00A34C7B"/>
    <w:rsid w:val="00A3506B"/>
    <w:rsid w:val="00A361A3"/>
    <w:rsid w:val="00A4242D"/>
    <w:rsid w:val="00A4283C"/>
    <w:rsid w:val="00A43719"/>
    <w:rsid w:val="00A455A5"/>
    <w:rsid w:val="00A503E3"/>
    <w:rsid w:val="00A511AC"/>
    <w:rsid w:val="00A522FA"/>
    <w:rsid w:val="00A5352E"/>
    <w:rsid w:val="00A56708"/>
    <w:rsid w:val="00A5757E"/>
    <w:rsid w:val="00A6062F"/>
    <w:rsid w:val="00A61D7D"/>
    <w:rsid w:val="00A64B7A"/>
    <w:rsid w:val="00A65A72"/>
    <w:rsid w:val="00A67489"/>
    <w:rsid w:val="00A6754F"/>
    <w:rsid w:val="00A709CB"/>
    <w:rsid w:val="00A70CA9"/>
    <w:rsid w:val="00A71025"/>
    <w:rsid w:val="00A719B3"/>
    <w:rsid w:val="00A71E51"/>
    <w:rsid w:val="00A73034"/>
    <w:rsid w:val="00A73182"/>
    <w:rsid w:val="00A73293"/>
    <w:rsid w:val="00A73577"/>
    <w:rsid w:val="00A74149"/>
    <w:rsid w:val="00A74AB1"/>
    <w:rsid w:val="00A74BE4"/>
    <w:rsid w:val="00A77E39"/>
    <w:rsid w:val="00A81EA0"/>
    <w:rsid w:val="00A84127"/>
    <w:rsid w:val="00A84A1E"/>
    <w:rsid w:val="00A84F93"/>
    <w:rsid w:val="00A85388"/>
    <w:rsid w:val="00A85695"/>
    <w:rsid w:val="00A875C2"/>
    <w:rsid w:val="00A92CDB"/>
    <w:rsid w:val="00A937EA"/>
    <w:rsid w:val="00A9471B"/>
    <w:rsid w:val="00A95771"/>
    <w:rsid w:val="00A95A02"/>
    <w:rsid w:val="00A95BA2"/>
    <w:rsid w:val="00A97565"/>
    <w:rsid w:val="00AA0001"/>
    <w:rsid w:val="00AA0842"/>
    <w:rsid w:val="00AA2AB0"/>
    <w:rsid w:val="00AA73D9"/>
    <w:rsid w:val="00AB1862"/>
    <w:rsid w:val="00AB3391"/>
    <w:rsid w:val="00AB3937"/>
    <w:rsid w:val="00AB3BD4"/>
    <w:rsid w:val="00AB4F33"/>
    <w:rsid w:val="00AB537C"/>
    <w:rsid w:val="00AB583A"/>
    <w:rsid w:val="00AB77AE"/>
    <w:rsid w:val="00AB7A55"/>
    <w:rsid w:val="00AC0147"/>
    <w:rsid w:val="00AC086C"/>
    <w:rsid w:val="00AC09B5"/>
    <w:rsid w:val="00AC297F"/>
    <w:rsid w:val="00AC399C"/>
    <w:rsid w:val="00AC67EF"/>
    <w:rsid w:val="00AC720B"/>
    <w:rsid w:val="00AC7341"/>
    <w:rsid w:val="00AC7E5F"/>
    <w:rsid w:val="00AD102F"/>
    <w:rsid w:val="00AD2A6B"/>
    <w:rsid w:val="00AD2D80"/>
    <w:rsid w:val="00AD3431"/>
    <w:rsid w:val="00AD4E6E"/>
    <w:rsid w:val="00AD4EAE"/>
    <w:rsid w:val="00AE13FA"/>
    <w:rsid w:val="00AE271F"/>
    <w:rsid w:val="00AE521B"/>
    <w:rsid w:val="00AE529D"/>
    <w:rsid w:val="00AE5FC4"/>
    <w:rsid w:val="00AE609B"/>
    <w:rsid w:val="00AE639D"/>
    <w:rsid w:val="00AE6693"/>
    <w:rsid w:val="00AF02EA"/>
    <w:rsid w:val="00AF157A"/>
    <w:rsid w:val="00AF407D"/>
    <w:rsid w:val="00AF4B6E"/>
    <w:rsid w:val="00AF5BE1"/>
    <w:rsid w:val="00AF6295"/>
    <w:rsid w:val="00AF6364"/>
    <w:rsid w:val="00B01851"/>
    <w:rsid w:val="00B07C00"/>
    <w:rsid w:val="00B103F0"/>
    <w:rsid w:val="00B1231C"/>
    <w:rsid w:val="00B143F0"/>
    <w:rsid w:val="00B14A71"/>
    <w:rsid w:val="00B14FC9"/>
    <w:rsid w:val="00B173DC"/>
    <w:rsid w:val="00B179A7"/>
    <w:rsid w:val="00B204EE"/>
    <w:rsid w:val="00B220F4"/>
    <w:rsid w:val="00B22102"/>
    <w:rsid w:val="00B22517"/>
    <w:rsid w:val="00B2296B"/>
    <w:rsid w:val="00B23041"/>
    <w:rsid w:val="00B23F66"/>
    <w:rsid w:val="00B2465D"/>
    <w:rsid w:val="00B26A64"/>
    <w:rsid w:val="00B27687"/>
    <w:rsid w:val="00B27F4E"/>
    <w:rsid w:val="00B351FD"/>
    <w:rsid w:val="00B40477"/>
    <w:rsid w:val="00B4099B"/>
    <w:rsid w:val="00B4100B"/>
    <w:rsid w:val="00B41F9A"/>
    <w:rsid w:val="00B42895"/>
    <w:rsid w:val="00B4405A"/>
    <w:rsid w:val="00B471C7"/>
    <w:rsid w:val="00B4732C"/>
    <w:rsid w:val="00B5002A"/>
    <w:rsid w:val="00B51555"/>
    <w:rsid w:val="00B51C49"/>
    <w:rsid w:val="00B57467"/>
    <w:rsid w:val="00B5770A"/>
    <w:rsid w:val="00B57C2C"/>
    <w:rsid w:val="00B6136B"/>
    <w:rsid w:val="00B62660"/>
    <w:rsid w:val="00B634A6"/>
    <w:rsid w:val="00B63825"/>
    <w:rsid w:val="00B65A72"/>
    <w:rsid w:val="00B66276"/>
    <w:rsid w:val="00B7102C"/>
    <w:rsid w:val="00B74B9C"/>
    <w:rsid w:val="00B7636C"/>
    <w:rsid w:val="00B766C8"/>
    <w:rsid w:val="00B80878"/>
    <w:rsid w:val="00B80D84"/>
    <w:rsid w:val="00B83F45"/>
    <w:rsid w:val="00B85662"/>
    <w:rsid w:val="00B85F76"/>
    <w:rsid w:val="00B87248"/>
    <w:rsid w:val="00B875B9"/>
    <w:rsid w:val="00B916C0"/>
    <w:rsid w:val="00B93517"/>
    <w:rsid w:val="00B9534C"/>
    <w:rsid w:val="00BA1390"/>
    <w:rsid w:val="00BA2FE6"/>
    <w:rsid w:val="00BA4AA4"/>
    <w:rsid w:val="00BA4EEE"/>
    <w:rsid w:val="00BA5F11"/>
    <w:rsid w:val="00BA7C41"/>
    <w:rsid w:val="00BB0847"/>
    <w:rsid w:val="00BB1B51"/>
    <w:rsid w:val="00BB1D4A"/>
    <w:rsid w:val="00BB4FBB"/>
    <w:rsid w:val="00BB696D"/>
    <w:rsid w:val="00BB7E50"/>
    <w:rsid w:val="00BC23FD"/>
    <w:rsid w:val="00BC25CC"/>
    <w:rsid w:val="00BC5D33"/>
    <w:rsid w:val="00BC5DE6"/>
    <w:rsid w:val="00BC603F"/>
    <w:rsid w:val="00BC61EB"/>
    <w:rsid w:val="00BD10EE"/>
    <w:rsid w:val="00BD1CC3"/>
    <w:rsid w:val="00BD3CDC"/>
    <w:rsid w:val="00BD59D3"/>
    <w:rsid w:val="00BD6DF1"/>
    <w:rsid w:val="00BE0408"/>
    <w:rsid w:val="00BE0449"/>
    <w:rsid w:val="00BE0E72"/>
    <w:rsid w:val="00BE12E8"/>
    <w:rsid w:val="00BE13F6"/>
    <w:rsid w:val="00BE1C14"/>
    <w:rsid w:val="00BE1FB3"/>
    <w:rsid w:val="00BE36CF"/>
    <w:rsid w:val="00BE46A4"/>
    <w:rsid w:val="00BE4B6F"/>
    <w:rsid w:val="00BE534A"/>
    <w:rsid w:val="00BE780C"/>
    <w:rsid w:val="00BF1A08"/>
    <w:rsid w:val="00BF21B3"/>
    <w:rsid w:val="00BF2BAA"/>
    <w:rsid w:val="00BF31AC"/>
    <w:rsid w:val="00BF50E0"/>
    <w:rsid w:val="00BF769C"/>
    <w:rsid w:val="00C0278B"/>
    <w:rsid w:val="00C03749"/>
    <w:rsid w:val="00C04717"/>
    <w:rsid w:val="00C05502"/>
    <w:rsid w:val="00C05A08"/>
    <w:rsid w:val="00C05E8F"/>
    <w:rsid w:val="00C11631"/>
    <w:rsid w:val="00C11C8C"/>
    <w:rsid w:val="00C12E0C"/>
    <w:rsid w:val="00C14639"/>
    <w:rsid w:val="00C172DF"/>
    <w:rsid w:val="00C20062"/>
    <w:rsid w:val="00C21069"/>
    <w:rsid w:val="00C21743"/>
    <w:rsid w:val="00C23530"/>
    <w:rsid w:val="00C23E43"/>
    <w:rsid w:val="00C24035"/>
    <w:rsid w:val="00C2518A"/>
    <w:rsid w:val="00C26042"/>
    <w:rsid w:val="00C26A6F"/>
    <w:rsid w:val="00C26BF1"/>
    <w:rsid w:val="00C27202"/>
    <w:rsid w:val="00C3189E"/>
    <w:rsid w:val="00C33739"/>
    <w:rsid w:val="00C35D77"/>
    <w:rsid w:val="00C360C3"/>
    <w:rsid w:val="00C37BA4"/>
    <w:rsid w:val="00C40C18"/>
    <w:rsid w:val="00C40CA1"/>
    <w:rsid w:val="00C4102D"/>
    <w:rsid w:val="00C41701"/>
    <w:rsid w:val="00C417D7"/>
    <w:rsid w:val="00C419E6"/>
    <w:rsid w:val="00C41BC0"/>
    <w:rsid w:val="00C42EEC"/>
    <w:rsid w:val="00C444CC"/>
    <w:rsid w:val="00C454EA"/>
    <w:rsid w:val="00C45FBB"/>
    <w:rsid w:val="00C462A4"/>
    <w:rsid w:val="00C47984"/>
    <w:rsid w:val="00C52A1C"/>
    <w:rsid w:val="00C5393A"/>
    <w:rsid w:val="00C54067"/>
    <w:rsid w:val="00C56F38"/>
    <w:rsid w:val="00C57F81"/>
    <w:rsid w:val="00C6185B"/>
    <w:rsid w:val="00C6230D"/>
    <w:rsid w:val="00C63D3B"/>
    <w:rsid w:val="00C640A6"/>
    <w:rsid w:val="00C641CB"/>
    <w:rsid w:val="00C64C2A"/>
    <w:rsid w:val="00C71A53"/>
    <w:rsid w:val="00C72022"/>
    <w:rsid w:val="00C7350C"/>
    <w:rsid w:val="00C75569"/>
    <w:rsid w:val="00C81196"/>
    <w:rsid w:val="00C81F25"/>
    <w:rsid w:val="00C81FF7"/>
    <w:rsid w:val="00C82865"/>
    <w:rsid w:val="00C83231"/>
    <w:rsid w:val="00C833EE"/>
    <w:rsid w:val="00C83798"/>
    <w:rsid w:val="00C84990"/>
    <w:rsid w:val="00C85B8E"/>
    <w:rsid w:val="00C85F82"/>
    <w:rsid w:val="00C8683E"/>
    <w:rsid w:val="00C87002"/>
    <w:rsid w:val="00C87393"/>
    <w:rsid w:val="00C87F26"/>
    <w:rsid w:val="00C904C4"/>
    <w:rsid w:val="00C906EC"/>
    <w:rsid w:val="00C91A1D"/>
    <w:rsid w:val="00C92833"/>
    <w:rsid w:val="00C93513"/>
    <w:rsid w:val="00C93890"/>
    <w:rsid w:val="00C94BA6"/>
    <w:rsid w:val="00C94BB0"/>
    <w:rsid w:val="00C94D2F"/>
    <w:rsid w:val="00C956AA"/>
    <w:rsid w:val="00C95F43"/>
    <w:rsid w:val="00C96C6C"/>
    <w:rsid w:val="00C97257"/>
    <w:rsid w:val="00C977F4"/>
    <w:rsid w:val="00CA1598"/>
    <w:rsid w:val="00CA26FA"/>
    <w:rsid w:val="00CA2F05"/>
    <w:rsid w:val="00CA3D54"/>
    <w:rsid w:val="00CB1B64"/>
    <w:rsid w:val="00CB1B68"/>
    <w:rsid w:val="00CB23A8"/>
    <w:rsid w:val="00CB59CA"/>
    <w:rsid w:val="00CB6926"/>
    <w:rsid w:val="00CB71F4"/>
    <w:rsid w:val="00CB73B8"/>
    <w:rsid w:val="00CC0A16"/>
    <w:rsid w:val="00CC1807"/>
    <w:rsid w:val="00CC2497"/>
    <w:rsid w:val="00CC32A8"/>
    <w:rsid w:val="00CC35D6"/>
    <w:rsid w:val="00CC3799"/>
    <w:rsid w:val="00CC558B"/>
    <w:rsid w:val="00CD4630"/>
    <w:rsid w:val="00CD6E70"/>
    <w:rsid w:val="00CD73B5"/>
    <w:rsid w:val="00CD7C25"/>
    <w:rsid w:val="00CE01BC"/>
    <w:rsid w:val="00CE0DA6"/>
    <w:rsid w:val="00CE30E0"/>
    <w:rsid w:val="00CE4350"/>
    <w:rsid w:val="00CE611E"/>
    <w:rsid w:val="00CE6340"/>
    <w:rsid w:val="00CE6F33"/>
    <w:rsid w:val="00CF0AEC"/>
    <w:rsid w:val="00CF14FD"/>
    <w:rsid w:val="00CF1A0F"/>
    <w:rsid w:val="00CF5327"/>
    <w:rsid w:val="00CF5E49"/>
    <w:rsid w:val="00CF641D"/>
    <w:rsid w:val="00CF69E5"/>
    <w:rsid w:val="00CF6F94"/>
    <w:rsid w:val="00D041B1"/>
    <w:rsid w:val="00D050D0"/>
    <w:rsid w:val="00D06CBA"/>
    <w:rsid w:val="00D10002"/>
    <w:rsid w:val="00D12A31"/>
    <w:rsid w:val="00D175B1"/>
    <w:rsid w:val="00D21CCA"/>
    <w:rsid w:val="00D2288C"/>
    <w:rsid w:val="00D24138"/>
    <w:rsid w:val="00D24CEE"/>
    <w:rsid w:val="00D24D6B"/>
    <w:rsid w:val="00D24FBB"/>
    <w:rsid w:val="00D250F2"/>
    <w:rsid w:val="00D2616B"/>
    <w:rsid w:val="00D2644E"/>
    <w:rsid w:val="00D27A87"/>
    <w:rsid w:val="00D27FC0"/>
    <w:rsid w:val="00D3173A"/>
    <w:rsid w:val="00D31BDB"/>
    <w:rsid w:val="00D32C0F"/>
    <w:rsid w:val="00D33417"/>
    <w:rsid w:val="00D33A73"/>
    <w:rsid w:val="00D33FEF"/>
    <w:rsid w:val="00D4445E"/>
    <w:rsid w:val="00D44509"/>
    <w:rsid w:val="00D454DD"/>
    <w:rsid w:val="00D46AE9"/>
    <w:rsid w:val="00D46C7E"/>
    <w:rsid w:val="00D5027D"/>
    <w:rsid w:val="00D51298"/>
    <w:rsid w:val="00D51D11"/>
    <w:rsid w:val="00D5237D"/>
    <w:rsid w:val="00D523AE"/>
    <w:rsid w:val="00D52C61"/>
    <w:rsid w:val="00D558CF"/>
    <w:rsid w:val="00D57755"/>
    <w:rsid w:val="00D61157"/>
    <w:rsid w:val="00D624B6"/>
    <w:rsid w:val="00D624D3"/>
    <w:rsid w:val="00D6258B"/>
    <w:rsid w:val="00D630BC"/>
    <w:rsid w:val="00D63202"/>
    <w:rsid w:val="00D642CC"/>
    <w:rsid w:val="00D653F3"/>
    <w:rsid w:val="00D65FBF"/>
    <w:rsid w:val="00D6669A"/>
    <w:rsid w:val="00D67372"/>
    <w:rsid w:val="00D77CB0"/>
    <w:rsid w:val="00D80F72"/>
    <w:rsid w:val="00D8173E"/>
    <w:rsid w:val="00D827AF"/>
    <w:rsid w:val="00D829ED"/>
    <w:rsid w:val="00D8303D"/>
    <w:rsid w:val="00D85FFF"/>
    <w:rsid w:val="00D86165"/>
    <w:rsid w:val="00D86A50"/>
    <w:rsid w:val="00D908C8"/>
    <w:rsid w:val="00D90D3B"/>
    <w:rsid w:val="00D9339A"/>
    <w:rsid w:val="00D93408"/>
    <w:rsid w:val="00D947C6"/>
    <w:rsid w:val="00D97B67"/>
    <w:rsid w:val="00DA0388"/>
    <w:rsid w:val="00DA4685"/>
    <w:rsid w:val="00DB208B"/>
    <w:rsid w:val="00DB4CF7"/>
    <w:rsid w:val="00DB7493"/>
    <w:rsid w:val="00DC0161"/>
    <w:rsid w:val="00DC08CA"/>
    <w:rsid w:val="00DC1EBF"/>
    <w:rsid w:val="00DC2373"/>
    <w:rsid w:val="00DC2AD4"/>
    <w:rsid w:val="00DC2C6D"/>
    <w:rsid w:val="00DC34A4"/>
    <w:rsid w:val="00DC54F1"/>
    <w:rsid w:val="00DC59B7"/>
    <w:rsid w:val="00DD0B34"/>
    <w:rsid w:val="00DD1FE5"/>
    <w:rsid w:val="00DD26DB"/>
    <w:rsid w:val="00DD2CCB"/>
    <w:rsid w:val="00DD4B41"/>
    <w:rsid w:val="00DD522B"/>
    <w:rsid w:val="00DD5714"/>
    <w:rsid w:val="00DD5A09"/>
    <w:rsid w:val="00DD7A1F"/>
    <w:rsid w:val="00DE16DB"/>
    <w:rsid w:val="00DE2C76"/>
    <w:rsid w:val="00DE4127"/>
    <w:rsid w:val="00DE412D"/>
    <w:rsid w:val="00DE5DC1"/>
    <w:rsid w:val="00DF2A18"/>
    <w:rsid w:val="00DF337B"/>
    <w:rsid w:val="00DF3819"/>
    <w:rsid w:val="00DF4038"/>
    <w:rsid w:val="00DF6786"/>
    <w:rsid w:val="00DF691B"/>
    <w:rsid w:val="00DF7763"/>
    <w:rsid w:val="00E05453"/>
    <w:rsid w:val="00E061BA"/>
    <w:rsid w:val="00E1136C"/>
    <w:rsid w:val="00E11ADC"/>
    <w:rsid w:val="00E11BF3"/>
    <w:rsid w:val="00E131DA"/>
    <w:rsid w:val="00E133B8"/>
    <w:rsid w:val="00E14065"/>
    <w:rsid w:val="00E14C47"/>
    <w:rsid w:val="00E16114"/>
    <w:rsid w:val="00E16557"/>
    <w:rsid w:val="00E16C85"/>
    <w:rsid w:val="00E179DE"/>
    <w:rsid w:val="00E20EB4"/>
    <w:rsid w:val="00E2173D"/>
    <w:rsid w:val="00E21773"/>
    <w:rsid w:val="00E21B55"/>
    <w:rsid w:val="00E22FCD"/>
    <w:rsid w:val="00E256DA"/>
    <w:rsid w:val="00E30ADF"/>
    <w:rsid w:val="00E31864"/>
    <w:rsid w:val="00E31991"/>
    <w:rsid w:val="00E32350"/>
    <w:rsid w:val="00E32B30"/>
    <w:rsid w:val="00E33930"/>
    <w:rsid w:val="00E3479C"/>
    <w:rsid w:val="00E36403"/>
    <w:rsid w:val="00E3763A"/>
    <w:rsid w:val="00E37FEE"/>
    <w:rsid w:val="00E40D08"/>
    <w:rsid w:val="00E41273"/>
    <w:rsid w:val="00E42673"/>
    <w:rsid w:val="00E42BB7"/>
    <w:rsid w:val="00E42E67"/>
    <w:rsid w:val="00E4336F"/>
    <w:rsid w:val="00E4430E"/>
    <w:rsid w:val="00E470A8"/>
    <w:rsid w:val="00E47794"/>
    <w:rsid w:val="00E505B0"/>
    <w:rsid w:val="00E536A0"/>
    <w:rsid w:val="00E53A5B"/>
    <w:rsid w:val="00E53D8E"/>
    <w:rsid w:val="00E551E1"/>
    <w:rsid w:val="00E55689"/>
    <w:rsid w:val="00E55AED"/>
    <w:rsid w:val="00E604D4"/>
    <w:rsid w:val="00E61309"/>
    <w:rsid w:val="00E619C6"/>
    <w:rsid w:val="00E62318"/>
    <w:rsid w:val="00E62B63"/>
    <w:rsid w:val="00E6564D"/>
    <w:rsid w:val="00E67D96"/>
    <w:rsid w:val="00E71305"/>
    <w:rsid w:val="00E72859"/>
    <w:rsid w:val="00E73287"/>
    <w:rsid w:val="00E7354A"/>
    <w:rsid w:val="00E74BBB"/>
    <w:rsid w:val="00E75E6D"/>
    <w:rsid w:val="00E76478"/>
    <w:rsid w:val="00E76686"/>
    <w:rsid w:val="00E82917"/>
    <w:rsid w:val="00E840F6"/>
    <w:rsid w:val="00E8641D"/>
    <w:rsid w:val="00E86475"/>
    <w:rsid w:val="00E91DB0"/>
    <w:rsid w:val="00E92108"/>
    <w:rsid w:val="00E92CA2"/>
    <w:rsid w:val="00E93C1B"/>
    <w:rsid w:val="00E95E07"/>
    <w:rsid w:val="00E96CBD"/>
    <w:rsid w:val="00E96D82"/>
    <w:rsid w:val="00EA1234"/>
    <w:rsid w:val="00EA1570"/>
    <w:rsid w:val="00EA5A0A"/>
    <w:rsid w:val="00EA66A2"/>
    <w:rsid w:val="00EB0137"/>
    <w:rsid w:val="00EB02AA"/>
    <w:rsid w:val="00EB0F6D"/>
    <w:rsid w:val="00EB4448"/>
    <w:rsid w:val="00EB473A"/>
    <w:rsid w:val="00EB4D2D"/>
    <w:rsid w:val="00EB581F"/>
    <w:rsid w:val="00EB6887"/>
    <w:rsid w:val="00EB6B86"/>
    <w:rsid w:val="00EB6BB5"/>
    <w:rsid w:val="00EB76EB"/>
    <w:rsid w:val="00EB7E3D"/>
    <w:rsid w:val="00EC3731"/>
    <w:rsid w:val="00EC6535"/>
    <w:rsid w:val="00EC7480"/>
    <w:rsid w:val="00EC785F"/>
    <w:rsid w:val="00EC7C3B"/>
    <w:rsid w:val="00ED02B4"/>
    <w:rsid w:val="00ED0A1E"/>
    <w:rsid w:val="00ED11A9"/>
    <w:rsid w:val="00ED18F0"/>
    <w:rsid w:val="00ED4A39"/>
    <w:rsid w:val="00ED5E21"/>
    <w:rsid w:val="00ED781F"/>
    <w:rsid w:val="00EE040F"/>
    <w:rsid w:val="00EE0BE5"/>
    <w:rsid w:val="00EE50E3"/>
    <w:rsid w:val="00EE53B0"/>
    <w:rsid w:val="00EE73D1"/>
    <w:rsid w:val="00EE7D8C"/>
    <w:rsid w:val="00EF01BC"/>
    <w:rsid w:val="00EF2BAD"/>
    <w:rsid w:val="00EF39BA"/>
    <w:rsid w:val="00EF4348"/>
    <w:rsid w:val="00EF494A"/>
    <w:rsid w:val="00EF5B23"/>
    <w:rsid w:val="00F00824"/>
    <w:rsid w:val="00F01A83"/>
    <w:rsid w:val="00F02160"/>
    <w:rsid w:val="00F06311"/>
    <w:rsid w:val="00F0773F"/>
    <w:rsid w:val="00F10D5E"/>
    <w:rsid w:val="00F12641"/>
    <w:rsid w:val="00F14734"/>
    <w:rsid w:val="00F14BA7"/>
    <w:rsid w:val="00F156B6"/>
    <w:rsid w:val="00F200D2"/>
    <w:rsid w:val="00F2059A"/>
    <w:rsid w:val="00F214C9"/>
    <w:rsid w:val="00F23D16"/>
    <w:rsid w:val="00F240CF"/>
    <w:rsid w:val="00F2533D"/>
    <w:rsid w:val="00F263E6"/>
    <w:rsid w:val="00F2657F"/>
    <w:rsid w:val="00F31245"/>
    <w:rsid w:val="00F326DB"/>
    <w:rsid w:val="00F32D9E"/>
    <w:rsid w:val="00F3345B"/>
    <w:rsid w:val="00F33A26"/>
    <w:rsid w:val="00F34173"/>
    <w:rsid w:val="00F3429B"/>
    <w:rsid w:val="00F344CF"/>
    <w:rsid w:val="00F41BCD"/>
    <w:rsid w:val="00F423F6"/>
    <w:rsid w:val="00F424FB"/>
    <w:rsid w:val="00F436FE"/>
    <w:rsid w:val="00F43C16"/>
    <w:rsid w:val="00F441FA"/>
    <w:rsid w:val="00F44B8C"/>
    <w:rsid w:val="00F46CD9"/>
    <w:rsid w:val="00F474D5"/>
    <w:rsid w:val="00F47C0E"/>
    <w:rsid w:val="00F52205"/>
    <w:rsid w:val="00F529C1"/>
    <w:rsid w:val="00F52E7B"/>
    <w:rsid w:val="00F53CD4"/>
    <w:rsid w:val="00F540FD"/>
    <w:rsid w:val="00F54697"/>
    <w:rsid w:val="00F55845"/>
    <w:rsid w:val="00F55995"/>
    <w:rsid w:val="00F564A6"/>
    <w:rsid w:val="00F5699F"/>
    <w:rsid w:val="00F60182"/>
    <w:rsid w:val="00F611FC"/>
    <w:rsid w:val="00F63668"/>
    <w:rsid w:val="00F647DF"/>
    <w:rsid w:val="00F65D30"/>
    <w:rsid w:val="00F676E9"/>
    <w:rsid w:val="00F74131"/>
    <w:rsid w:val="00F7516B"/>
    <w:rsid w:val="00F76B85"/>
    <w:rsid w:val="00F7704D"/>
    <w:rsid w:val="00F8097D"/>
    <w:rsid w:val="00F82168"/>
    <w:rsid w:val="00F825DD"/>
    <w:rsid w:val="00F82946"/>
    <w:rsid w:val="00F84BFF"/>
    <w:rsid w:val="00F8693E"/>
    <w:rsid w:val="00F906F2"/>
    <w:rsid w:val="00F912C8"/>
    <w:rsid w:val="00F922B1"/>
    <w:rsid w:val="00F93021"/>
    <w:rsid w:val="00F93DCA"/>
    <w:rsid w:val="00F9418F"/>
    <w:rsid w:val="00F94E43"/>
    <w:rsid w:val="00F97761"/>
    <w:rsid w:val="00FA0AD2"/>
    <w:rsid w:val="00FA2718"/>
    <w:rsid w:val="00FA44C5"/>
    <w:rsid w:val="00FA5484"/>
    <w:rsid w:val="00FA55F6"/>
    <w:rsid w:val="00FA5B7C"/>
    <w:rsid w:val="00FB167A"/>
    <w:rsid w:val="00FB367F"/>
    <w:rsid w:val="00FB71B8"/>
    <w:rsid w:val="00FB7FBB"/>
    <w:rsid w:val="00FC2FEF"/>
    <w:rsid w:val="00FC333D"/>
    <w:rsid w:val="00FC3484"/>
    <w:rsid w:val="00FC52ED"/>
    <w:rsid w:val="00FC63F3"/>
    <w:rsid w:val="00FC7F36"/>
    <w:rsid w:val="00FD008F"/>
    <w:rsid w:val="00FD339A"/>
    <w:rsid w:val="00FD5D11"/>
    <w:rsid w:val="00FD5DAF"/>
    <w:rsid w:val="00FD5DEE"/>
    <w:rsid w:val="00FD7245"/>
    <w:rsid w:val="00FD7CDF"/>
    <w:rsid w:val="00FE0795"/>
    <w:rsid w:val="00FE11A9"/>
    <w:rsid w:val="00FE1C64"/>
    <w:rsid w:val="00FE31C8"/>
    <w:rsid w:val="00FE6B1A"/>
    <w:rsid w:val="00FE7C4B"/>
    <w:rsid w:val="00FF34CD"/>
    <w:rsid w:val="00FF461D"/>
    <w:rsid w:val="00FF55DB"/>
    <w:rsid w:val="00FF5765"/>
    <w:rsid w:val="3C830A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DA36"/>
  <w15:docId w15:val="{A05FA7AD-D38E-4726-9F3B-ABF47139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58CF"/>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64A1"/>
    <w:pPr>
      <w:spacing w:after="240" w:line="274" w:lineRule="exact"/>
      <w:ind w:left="720" w:right="1066"/>
    </w:pPr>
    <w:rPr>
      <w:rFonts w:ascii="Times New Roman" w:hAnsi="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7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DE"/>
    <w:rPr>
      <w:rFonts w:ascii="Segoe UI" w:hAnsi="Segoe UI" w:cs="Segoe UI"/>
      <w:sz w:val="18"/>
      <w:szCs w:val="18"/>
    </w:rPr>
  </w:style>
  <w:style w:type="character" w:styleId="Hyperlink">
    <w:name w:val="Hyperlink"/>
    <w:basedOn w:val="DefaultParagraphFont"/>
    <w:uiPriority w:val="99"/>
    <w:unhideWhenUsed/>
    <w:rsid w:val="004976DE"/>
    <w:rPr>
      <w:color w:val="0000FF" w:themeColor="hyperlink"/>
      <w:u w:val="single"/>
    </w:rPr>
  </w:style>
  <w:style w:type="character" w:styleId="UnresolvedMention">
    <w:name w:val="Unresolved Mention"/>
    <w:basedOn w:val="DefaultParagraphFont"/>
    <w:uiPriority w:val="99"/>
    <w:unhideWhenUsed/>
    <w:rsid w:val="004976DE"/>
    <w:rPr>
      <w:color w:val="808080"/>
      <w:shd w:val="clear" w:color="auto" w:fill="E6E6E6"/>
    </w:rPr>
  </w:style>
  <w:style w:type="paragraph" w:styleId="Header">
    <w:name w:val="header"/>
    <w:basedOn w:val="Normal"/>
    <w:link w:val="HeaderChar"/>
    <w:uiPriority w:val="99"/>
    <w:unhideWhenUsed/>
    <w:rsid w:val="002B4B4F"/>
    <w:pPr>
      <w:tabs>
        <w:tab w:val="center" w:pos="4680"/>
        <w:tab w:val="right" w:pos="9360"/>
      </w:tabs>
    </w:pPr>
  </w:style>
  <w:style w:type="character" w:customStyle="1" w:styleId="HeaderChar">
    <w:name w:val="Header Char"/>
    <w:basedOn w:val="DefaultParagraphFont"/>
    <w:link w:val="Header"/>
    <w:uiPriority w:val="99"/>
    <w:rsid w:val="002B4B4F"/>
  </w:style>
  <w:style w:type="paragraph" w:styleId="Footer">
    <w:name w:val="footer"/>
    <w:basedOn w:val="Normal"/>
    <w:link w:val="FooterChar"/>
    <w:unhideWhenUsed/>
    <w:rsid w:val="002B4B4F"/>
    <w:pPr>
      <w:tabs>
        <w:tab w:val="center" w:pos="4680"/>
        <w:tab w:val="right" w:pos="9360"/>
      </w:tabs>
    </w:pPr>
  </w:style>
  <w:style w:type="character" w:customStyle="1" w:styleId="FooterChar">
    <w:name w:val="Footer Char"/>
    <w:basedOn w:val="DefaultParagraphFont"/>
    <w:link w:val="Footer"/>
    <w:uiPriority w:val="99"/>
    <w:rsid w:val="002B4B4F"/>
  </w:style>
  <w:style w:type="paragraph" w:styleId="Revision">
    <w:name w:val="Revision"/>
    <w:hidden/>
    <w:uiPriority w:val="99"/>
    <w:semiHidden/>
    <w:rsid w:val="002E3582"/>
    <w:pPr>
      <w:widowControl/>
    </w:pPr>
  </w:style>
  <w:style w:type="character" w:styleId="FollowedHyperlink">
    <w:name w:val="FollowedHyperlink"/>
    <w:basedOn w:val="DefaultParagraphFont"/>
    <w:uiPriority w:val="99"/>
    <w:semiHidden/>
    <w:unhideWhenUsed/>
    <w:rsid w:val="00F912C8"/>
    <w:rPr>
      <w:color w:val="800080" w:themeColor="followedHyperlink"/>
      <w:u w:val="single"/>
    </w:rPr>
  </w:style>
  <w:style w:type="character" w:styleId="CommentReference">
    <w:name w:val="annotation reference"/>
    <w:basedOn w:val="DefaultParagraphFont"/>
    <w:uiPriority w:val="99"/>
    <w:semiHidden/>
    <w:unhideWhenUsed/>
    <w:rsid w:val="004B3A06"/>
    <w:rPr>
      <w:sz w:val="16"/>
      <w:szCs w:val="16"/>
    </w:rPr>
  </w:style>
  <w:style w:type="paragraph" w:styleId="CommentText">
    <w:name w:val="annotation text"/>
    <w:basedOn w:val="Normal"/>
    <w:link w:val="CommentTextChar"/>
    <w:uiPriority w:val="99"/>
    <w:unhideWhenUsed/>
    <w:rsid w:val="004B3A06"/>
    <w:rPr>
      <w:sz w:val="20"/>
      <w:szCs w:val="20"/>
    </w:rPr>
  </w:style>
  <w:style w:type="character" w:customStyle="1" w:styleId="CommentTextChar">
    <w:name w:val="Comment Text Char"/>
    <w:basedOn w:val="DefaultParagraphFont"/>
    <w:link w:val="CommentText"/>
    <w:uiPriority w:val="99"/>
    <w:rsid w:val="004B3A06"/>
    <w:rPr>
      <w:sz w:val="20"/>
      <w:szCs w:val="20"/>
    </w:rPr>
  </w:style>
  <w:style w:type="paragraph" w:styleId="CommentSubject">
    <w:name w:val="annotation subject"/>
    <w:basedOn w:val="CommentText"/>
    <w:next w:val="CommentText"/>
    <w:link w:val="CommentSubjectChar"/>
    <w:uiPriority w:val="99"/>
    <w:semiHidden/>
    <w:unhideWhenUsed/>
    <w:rsid w:val="004B3A06"/>
    <w:rPr>
      <w:b/>
      <w:bCs/>
    </w:rPr>
  </w:style>
  <w:style w:type="character" w:customStyle="1" w:styleId="CommentSubjectChar">
    <w:name w:val="Comment Subject Char"/>
    <w:basedOn w:val="CommentTextChar"/>
    <w:link w:val="CommentSubject"/>
    <w:uiPriority w:val="99"/>
    <w:semiHidden/>
    <w:rsid w:val="004B3A06"/>
    <w:rPr>
      <w:b/>
      <w:bCs/>
      <w:sz w:val="20"/>
      <w:szCs w:val="20"/>
    </w:rPr>
  </w:style>
  <w:style w:type="paragraph" w:customStyle="1" w:styleId="paragraph">
    <w:name w:val="paragraph"/>
    <w:basedOn w:val="Normal"/>
    <w:rsid w:val="00C26BF1"/>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26BF1"/>
  </w:style>
  <w:style w:type="character" w:customStyle="1" w:styleId="eop">
    <w:name w:val="eop"/>
    <w:basedOn w:val="DefaultParagraphFont"/>
    <w:rsid w:val="00C26BF1"/>
  </w:style>
  <w:style w:type="paragraph" w:customStyle="1" w:styleId="Default">
    <w:name w:val="Default"/>
    <w:rsid w:val="00960689"/>
    <w:pPr>
      <w:widowControl/>
      <w:autoSpaceDE w:val="0"/>
      <w:autoSpaceDN w:val="0"/>
      <w:adjustRightInd w:val="0"/>
    </w:pPr>
    <w:rPr>
      <w:rFonts w:ascii="Courier New" w:hAnsi="Courier New" w:cs="Courier New"/>
      <w:color w:val="000000"/>
      <w:sz w:val="24"/>
      <w:szCs w:val="24"/>
    </w:rPr>
  </w:style>
  <w:style w:type="character" w:styleId="Mention">
    <w:name w:val="Mention"/>
    <w:basedOn w:val="DefaultParagraphFont"/>
    <w:uiPriority w:val="99"/>
    <w:unhideWhenUsed/>
    <w:rsid w:val="001D3841"/>
    <w:rPr>
      <w:color w:val="2B579A"/>
      <w:shd w:val="clear" w:color="auto" w:fill="E1DFDD"/>
    </w:rPr>
  </w:style>
  <w:style w:type="table" w:styleId="TableGrid">
    <w:name w:val="Table Grid"/>
    <w:basedOn w:val="TableNormal"/>
    <w:uiPriority w:val="39"/>
    <w:rsid w:val="0017271C"/>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271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172">
      <w:bodyDiv w:val="1"/>
      <w:marLeft w:val="0"/>
      <w:marRight w:val="0"/>
      <w:marTop w:val="0"/>
      <w:marBottom w:val="0"/>
      <w:divBdr>
        <w:top w:val="none" w:sz="0" w:space="0" w:color="auto"/>
        <w:left w:val="none" w:sz="0" w:space="0" w:color="auto"/>
        <w:bottom w:val="none" w:sz="0" w:space="0" w:color="auto"/>
        <w:right w:val="none" w:sz="0" w:space="0" w:color="auto"/>
      </w:divBdr>
    </w:div>
    <w:div w:id="274600403">
      <w:bodyDiv w:val="1"/>
      <w:marLeft w:val="0"/>
      <w:marRight w:val="0"/>
      <w:marTop w:val="0"/>
      <w:marBottom w:val="0"/>
      <w:divBdr>
        <w:top w:val="none" w:sz="0" w:space="0" w:color="auto"/>
        <w:left w:val="none" w:sz="0" w:space="0" w:color="auto"/>
        <w:bottom w:val="none" w:sz="0" w:space="0" w:color="auto"/>
        <w:right w:val="none" w:sz="0" w:space="0" w:color="auto"/>
      </w:divBdr>
      <w:divsChild>
        <w:div w:id="1842351599">
          <w:marLeft w:val="0"/>
          <w:marRight w:val="0"/>
          <w:marTop w:val="0"/>
          <w:marBottom w:val="0"/>
          <w:divBdr>
            <w:top w:val="none" w:sz="0" w:space="0" w:color="auto"/>
            <w:left w:val="none" w:sz="0" w:space="0" w:color="auto"/>
            <w:bottom w:val="none" w:sz="0" w:space="0" w:color="auto"/>
            <w:right w:val="none" w:sz="0" w:space="0" w:color="auto"/>
          </w:divBdr>
        </w:div>
      </w:divsChild>
    </w:div>
    <w:div w:id="291448628">
      <w:bodyDiv w:val="1"/>
      <w:marLeft w:val="0"/>
      <w:marRight w:val="0"/>
      <w:marTop w:val="0"/>
      <w:marBottom w:val="0"/>
      <w:divBdr>
        <w:top w:val="none" w:sz="0" w:space="0" w:color="auto"/>
        <w:left w:val="none" w:sz="0" w:space="0" w:color="auto"/>
        <w:bottom w:val="none" w:sz="0" w:space="0" w:color="auto"/>
        <w:right w:val="none" w:sz="0" w:space="0" w:color="auto"/>
      </w:divBdr>
    </w:div>
    <w:div w:id="379477659">
      <w:bodyDiv w:val="1"/>
      <w:marLeft w:val="0"/>
      <w:marRight w:val="0"/>
      <w:marTop w:val="0"/>
      <w:marBottom w:val="0"/>
      <w:divBdr>
        <w:top w:val="none" w:sz="0" w:space="0" w:color="auto"/>
        <w:left w:val="none" w:sz="0" w:space="0" w:color="auto"/>
        <w:bottom w:val="none" w:sz="0" w:space="0" w:color="auto"/>
        <w:right w:val="none" w:sz="0" w:space="0" w:color="auto"/>
      </w:divBdr>
    </w:div>
    <w:div w:id="428278823">
      <w:bodyDiv w:val="1"/>
      <w:marLeft w:val="0"/>
      <w:marRight w:val="0"/>
      <w:marTop w:val="0"/>
      <w:marBottom w:val="0"/>
      <w:divBdr>
        <w:top w:val="none" w:sz="0" w:space="0" w:color="auto"/>
        <w:left w:val="none" w:sz="0" w:space="0" w:color="auto"/>
        <w:bottom w:val="none" w:sz="0" w:space="0" w:color="auto"/>
        <w:right w:val="none" w:sz="0" w:space="0" w:color="auto"/>
      </w:divBdr>
    </w:div>
    <w:div w:id="1008488750">
      <w:bodyDiv w:val="1"/>
      <w:marLeft w:val="0"/>
      <w:marRight w:val="0"/>
      <w:marTop w:val="0"/>
      <w:marBottom w:val="0"/>
      <w:divBdr>
        <w:top w:val="none" w:sz="0" w:space="0" w:color="auto"/>
        <w:left w:val="none" w:sz="0" w:space="0" w:color="auto"/>
        <w:bottom w:val="none" w:sz="0" w:space="0" w:color="auto"/>
        <w:right w:val="none" w:sz="0" w:space="0" w:color="auto"/>
      </w:divBdr>
    </w:div>
    <w:div w:id="1283657178">
      <w:bodyDiv w:val="1"/>
      <w:marLeft w:val="0"/>
      <w:marRight w:val="0"/>
      <w:marTop w:val="0"/>
      <w:marBottom w:val="0"/>
      <w:divBdr>
        <w:top w:val="none" w:sz="0" w:space="0" w:color="auto"/>
        <w:left w:val="none" w:sz="0" w:space="0" w:color="auto"/>
        <w:bottom w:val="none" w:sz="0" w:space="0" w:color="auto"/>
        <w:right w:val="none" w:sz="0" w:space="0" w:color="auto"/>
      </w:divBdr>
    </w:div>
    <w:div w:id="1397895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cc/policy-guidance/ccdf-acf-pi-2018-01" TargetMode="External"/><Relationship Id="rId18" Type="http://schemas.openxmlformats.org/officeDocument/2006/relationships/hyperlink" Target="https://txicfw.socialwork.utexas.edu/2023-texas-child-care-market-rate-surve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urrent/title-45/subtitle-A/subchapter-A/part-98" TargetMode="External"/><Relationship Id="rId17" Type="http://schemas.openxmlformats.org/officeDocument/2006/relationships/hyperlink" Target="https://texreg.sos.state.tx.us/public/readtac$ext.TacPage?sl=R&amp;app=9&amp;p_dir=&amp;p_rloc=&amp;p_tloc=&amp;p_ploc=&amp;pg=1&amp;p_tac=&amp;ti=40&amp;pt=20&amp;ch=809&amp;rl=20" TargetMode="Externa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40&amp;pt=20&amp;ch=809&amp;rl=20" TargetMode="External"/><Relationship Id="rId20" Type="http://schemas.openxmlformats.org/officeDocument/2006/relationships/hyperlink" Target="mailto:childcare.programassistance@twc.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xicfw.socialwork.utexas.edu/2023-cost-of-quality-price-modeling-re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xicfw.socialwork.utexas.edu/2023-cost-of-quality-price-modeling-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xicfw.socialwork.utexas.edu/2023-texas-child-care-market-rate-surv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49C19FD9A7445B633133223AC5253" ma:contentTypeVersion="28" ma:contentTypeDescription="Create a new document." ma:contentTypeScope="" ma:versionID="ac5d220dbfa5d1ad61ae0cc57d62c8af">
  <xsd:schema xmlns:xsd="http://www.w3.org/2001/XMLSchema" xmlns:xs="http://www.w3.org/2001/XMLSchema" xmlns:p="http://schemas.microsoft.com/office/2006/metadata/properties" xmlns:ns2="1997d230-d61d-49e2-9dee-5e06d053f986" xmlns:ns3="d75cc3ea-6d34-48b9-955f-209672471296" targetNamespace="http://schemas.microsoft.com/office/2006/metadata/properties" ma:root="true" ma:fieldsID="20714369778f8700a96922cbd1cddee6" ns2:_="" ns3:_="">
    <xsd:import namespace="1997d230-d61d-49e2-9dee-5e06d053f986"/>
    <xsd:import namespace="d75cc3ea-6d34-48b9-955f-209672471296"/>
    <xsd:element name="properties">
      <xsd:complexType>
        <xsd:sequence>
          <xsd:element name="documentManagement">
            <xsd:complexType>
              <xsd:all>
                <xsd:element ref="ns2:Status" minOccurs="0"/>
                <xsd:element ref="ns2:Policy_x0020_Doc_x0020_Type" minOccurs="0"/>
                <xsd:element ref="ns2:Project" minOccurs="0"/>
                <xsd:element ref="ns2:Task" minOccurs="0"/>
                <xsd:element ref="ns2:Track_x0020_Name" minOccurs="0"/>
                <xsd:element ref="ns2:Comm_x0020_Action_x0020_Date" minOccurs="0"/>
                <xsd:element ref="ns2:Comments" minOccurs="0"/>
                <xsd:element ref="ns2:Track"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d230-d61d-49e2-9dee-5e06d053f986"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restriction base="dms:Choice">
          <xsd:enumeration value="-"/>
          <xsd:enumeration value="Not Started"/>
          <xsd:enumeration value="Draft In Progress"/>
          <xsd:enumeration value="In Editing"/>
          <xsd:enumeration value="Review - CCEL Mgmt"/>
          <xsd:enumeration value="Review - OGC Mgmt"/>
          <xsd:enumeration value="Briefing - Executive Mgmt"/>
          <xsd:enumeration value="Briefings - Offices"/>
          <xsd:enumeration value="48-Hour Review"/>
          <xsd:enumeration value="Post 48-Hour Review"/>
          <xsd:enumeration value="Notebook"/>
          <xsd:enumeration value="Final/Complete"/>
          <xsd:enumeration value="Postponed/Deferred"/>
        </xsd:restriction>
      </xsd:simpleType>
    </xsd:element>
    <xsd:element name="Policy_x0020_Doc_x0020_Type" ma:index="3" nillable="true" ma:displayName="Policy Doc Type" ma:format="Dropdown" ma:internalName="Policy_x0020_Doc_x0020_Type">
      <xsd:simpleType>
        <xsd:restriction base="dms:Choice">
          <xsd:enumeration value="Briefing Paper"/>
          <xsd:enumeration value="Desk Aid"/>
          <xsd:enumeration value="Discussion Paper"/>
          <xsd:enumeration value="FAQ"/>
          <xsd:enumeration value="Guide"/>
          <xsd:enumeration value="Plan"/>
          <xsd:enumeration value="Plan Amendment"/>
          <xsd:enumeration value="Report"/>
          <xsd:enumeration value="Resource Doc"/>
          <xsd:enumeration value="Rules - Policy Concept"/>
          <xsd:enumeration value="Rules - Proposed"/>
          <xsd:enumeration value="Rules - Final"/>
          <xsd:enumeration value="TA Bulletin"/>
          <xsd:enumeration value="WD Letter"/>
        </xsd:restriction>
      </xsd:simpleType>
    </xsd:element>
    <xsd:element name="Project" ma:index="4" nillable="true" ma:displayName="Project" ma:format="Dropdown" ma:internalName="Project">
      <xsd:simpleType>
        <xsd:restriction base="dms:Choice">
          <xsd:enumeration value="Automated Attendance Tracking"/>
          <xsd:enumeration value="Board Allocations and Targets"/>
          <xsd:enumeration value="CCDF State Plan"/>
          <xsd:enumeration value="CCS Guide"/>
          <xsd:enumeration value="CCQ Planning &amp; Expenditure Guide"/>
          <xsd:enumeration value="CCQ Funds and Reporting"/>
          <xsd:enumeration value="Child Care Industry Partnerships"/>
          <xsd:enumeration value="Contracted Slots"/>
          <xsd:enumeration value="COVID Funding"/>
          <xsd:enumeration value="COVID-19 Policy &amp; Guidance"/>
          <xsd:enumeration value="Early Childhood Summit"/>
          <xsd:enumeration value="Enhanced Reimbursement Rates"/>
          <xsd:enumeration value="HB 619"/>
          <xsd:enumeration value="Income Limits"/>
          <xsd:enumeration value="Job Search Eligibility"/>
          <xsd:enumeration value="Max Rates"/>
          <xsd:enumeration value="MICCQI"/>
          <xsd:enumeration value="Parent Share of Cost"/>
          <xsd:enumeration value="Pre-K Partnerships"/>
          <xsd:enumeration value="Preschool Development Grant"/>
          <xsd:enumeration value="Provider Management"/>
          <xsd:enumeration value="Rule Amendments - 2021-2022"/>
          <xsd:enumeration value="TANF Annual Report"/>
          <xsd:enumeration value="Texas School Ready"/>
          <xsd:enumeration value="TRS Education Extensions"/>
          <xsd:enumeration value="TRS Entry Level Implementation"/>
          <xsd:enumeration value="TRS Guidelines"/>
          <xsd:enumeration value="TRS M&amp;A Distributions"/>
          <xsd:enumeration value="TRS Revisions Implementation"/>
          <xsd:enumeration value="TRS Staff Handbook"/>
          <xsd:enumeration value="TX3C"/>
          <xsd:enumeration value="Underserved Areas"/>
        </xsd:restriction>
      </xsd:simpleType>
    </xsd:element>
    <xsd:element name="Task" ma:index="5" nillable="true" ma:displayName="Task" ma:list="{f78b68f5-e323-4d7b-93c7-904f05a1cedf}" ma:internalName="Task" ma:showField="LinkTitleNoMenu">
      <xsd:simpleType>
        <xsd:restriction base="dms:Lookup"/>
      </xsd:simpleType>
    </xsd:element>
    <xsd:element name="Track_x0020_Name" ma:index="6" nillable="true" ma:displayName="Track Name" ma:list="{69d396dc-5f42-43fe-a4eb-db2c113d82fa}" ma:internalName="Track_x0020_Name" ma:showField="Track_x0020_and_x0020_Name">
      <xsd:simpleType>
        <xsd:restriction base="dms:Lookup"/>
      </xsd:simpleType>
    </xsd:element>
    <xsd:element name="Comm_x0020_Action_x0020_Date" ma:index="7" nillable="true" ma:displayName="Comm Action Date" ma:format="DateOnly" ma:internalName="Comm_x0020_Action_x0020_Date">
      <xsd:simpleType>
        <xsd:restriction base="dms:DateTime"/>
      </xsd:simpleType>
    </xsd:element>
    <xsd:element name="Comments" ma:index="8" nillable="true" ma:displayName="Comments" ma:internalName="Comments">
      <xsd:simpleType>
        <xsd:restriction base="dms:Note">
          <xsd:maxLength value="255"/>
        </xsd:restriction>
      </xsd:simpleType>
    </xsd:element>
    <xsd:element name="Track" ma:index="9" nillable="true" ma:displayName="Track#" ma:list="{69d396dc-5f42-43fe-a4eb-db2c113d82fa}" ma:internalName="Track" ma:readOnly="false" ma:showField="field_0">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1997d230-d61d-49e2-9dee-5e06d053f986" xsi:nil="true"/>
    <MediaServiceMetadata xmlns="1997d230-d61d-49e2-9dee-5e06d053f986" xsi:nil="true"/>
    <Project xmlns="1997d230-d61d-49e2-9dee-5e06d053f986">Max Rates</Project>
    <Policy_x0020_Doc_x0020_Type xmlns="1997d230-d61d-49e2-9dee-5e06d053f986">WD Letter</Policy_x0020_Doc_x0020_Type>
    <Status xmlns="1997d230-d61d-49e2-9dee-5e06d053f986">In Editing</Status>
    <Comm_x0020_Action_x0020_Date xmlns="1997d230-d61d-49e2-9dee-5e06d053f986" xsi:nil="true"/>
    <Task xmlns="1997d230-d61d-49e2-9dee-5e06d053f986">350</Task>
    <Comments xmlns="1997d230-d61d-49e2-9dee-5e06d053f986" xsi:nil="true"/>
    <Track_x0020_Name xmlns="1997d230-d61d-49e2-9dee-5e06d053f986" xsi:nil="true"/>
    <Track xmlns="1997d230-d61d-49e2-9dee-5e06d053f986" xsi:nil="true"/>
    <SharedWithUsers xmlns="d75cc3ea-6d34-48b9-955f-20967247129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CD51C-B8D5-4790-9854-A935B534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d230-d61d-49e2-9dee-5e06d053f986"/>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FA625-D548-493D-B29B-D77EF015ED6D}">
  <ds:schemaRefs>
    <ds:schemaRef ds:uri="http://schemas.openxmlformats.org/officeDocument/2006/bibliography"/>
  </ds:schemaRefs>
</ds:datastoreItem>
</file>

<file path=customXml/itemProps3.xml><?xml version="1.0" encoding="utf-8"?>
<ds:datastoreItem xmlns:ds="http://schemas.openxmlformats.org/officeDocument/2006/customXml" ds:itemID="{48DD5C2C-909D-4FF4-A358-A78D1B81FFAF}">
  <ds:schemaRefs>
    <ds:schemaRef ds:uri="http://schemas.microsoft.com/office/2006/documentManagement/types"/>
    <ds:schemaRef ds:uri="http://purl.org/dc/terms/"/>
    <ds:schemaRef ds:uri="http://purl.org/dc/elements/1.1/"/>
    <ds:schemaRef ds:uri="d75cc3ea-6d34-48b9-955f-209672471296"/>
    <ds:schemaRef ds:uri="http://schemas.microsoft.com/office/2006/metadata/properties"/>
    <ds:schemaRef ds:uri="1997d230-d61d-49e2-9dee-5e06d053f98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307BBA-0B7E-463B-86AC-6298C1A77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Child Care Provider Maximum Reimbursement Rates</vt:lpstr>
    </vt:vector>
  </TitlesOfParts>
  <Company/>
  <LinksUpToDate>false</LinksUpToDate>
  <CharactersWithSpaces>6103</CharactersWithSpaces>
  <SharedDoc>false</SharedDoc>
  <HLinks>
    <vt:vector size="54" baseType="variant">
      <vt:variant>
        <vt:i4>1310778</vt:i4>
      </vt:variant>
      <vt:variant>
        <vt:i4>24</vt:i4>
      </vt:variant>
      <vt:variant>
        <vt:i4>0</vt:i4>
      </vt:variant>
      <vt:variant>
        <vt:i4>5</vt:i4>
      </vt:variant>
      <vt:variant>
        <vt:lpwstr>mailto:childcare.programassistance@twc.texas.gov</vt:lpwstr>
      </vt:variant>
      <vt:variant>
        <vt:lpwstr/>
      </vt:variant>
      <vt:variant>
        <vt:i4>1769491</vt:i4>
      </vt:variant>
      <vt:variant>
        <vt:i4>21</vt:i4>
      </vt:variant>
      <vt:variant>
        <vt:i4>0</vt:i4>
      </vt:variant>
      <vt:variant>
        <vt:i4>5</vt:i4>
      </vt:variant>
      <vt:variant>
        <vt:lpwstr>https://txicfw.socialwork.utexas.edu/2023-cost-of-quality-price-modeling-report/</vt:lpwstr>
      </vt:variant>
      <vt:variant>
        <vt:lpwstr/>
      </vt:variant>
      <vt:variant>
        <vt:i4>7929966</vt:i4>
      </vt:variant>
      <vt:variant>
        <vt:i4>18</vt:i4>
      </vt:variant>
      <vt:variant>
        <vt:i4>0</vt:i4>
      </vt:variant>
      <vt:variant>
        <vt:i4>5</vt:i4>
      </vt:variant>
      <vt:variant>
        <vt:lpwstr>https://txicfw.socialwork.utexas.edu/2023-texas-child-care-market-rate-survey/</vt:lpwstr>
      </vt:variant>
      <vt:variant>
        <vt:lpwstr/>
      </vt:variant>
      <vt:variant>
        <vt:i4>2752528</vt:i4>
      </vt:variant>
      <vt:variant>
        <vt:i4>15</vt:i4>
      </vt:variant>
      <vt:variant>
        <vt:i4>0</vt:i4>
      </vt:variant>
      <vt:variant>
        <vt:i4>5</vt:i4>
      </vt:variant>
      <vt:variant>
        <vt:lpwstr>https://texreg.sos.state.tx.us/public/readtac$ext.TacPage?sl=R&amp;app=9&amp;p_dir=&amp;p_rloc=&amp;p_tloc=&amp;p_ploc=&amp;pg=1&amp;p_tac=&amp;ti=40&amp;pt=20&amp;ch=809&amp;rl=20</vt:lpwstr>
      </vt:variant>
      <vt:variant>
        <vt:lpwstr/>
      </vt:variant>
      <vt:variant>
        <vt:i4>2752528</vt:i4>
      </vt:variant>
      <vt:variant>
        <vt:i4>12</vt:i4>
      </vt:variant>
      <vt:variant>
        <vt:i4>0</vt:i4>
      </vt:variant>
      <vt:variant>
        <vt:i4>5</vt:i4>
      </vt:variant>
      <vt:variant>
        <vt:lpwstr>https://texreg.sos.state.tx.us/public/readtac$ext.TacPage?sl=R&amp;app=9&amp;p_dir=&amp;p_rloc=&amp;p_tloc=&amp;p_ploc=&amp;pg=1&amp;p_tac=&amp;ti=40&amp;pt=20&amp;ch=809&amp;rl=20</vt:lpwstr>
      </vt:variant>
      <vt:variant>
        <vt:lpwstr/>
      </vt:variant>
      <vt:variant>
        <vt:i4>1769491</vt:i4>
      </vt:variant>
      <vt:variant>
        <vt:i4>9</vt:i4>
      </vt:variant>
      <vt:variant>
        <vt:i4>0</vt:i4>
      </vt:variant>
      <vt:variant>
        <vt:i4>5</vt:i4>
      </vt:variant>
      <vt:variant>
        <vt:lpwstr>https://txicfw.socialwork.utexas.edu/2023-cost-of-quality-price-modeling-report/</vt:lpwstr>
      </vt:variant>
      <vt:variant>
        <vt:lpwstr/>
      </vt:variant>
      <vt:variant>
        <vt:i4>7929966</vt:i4>
      </vt:variant>
      <vt:variant>
        <vt:i4>6</vt:i4>
      </vt:variant>
      <vt:variant>
        <vt:i4>0</vt:i4>
      </vt:variant>
      <vt:variant>
        <vt:i4>5</vt:i4>
      </vt:variant>
      <vt:variant>
        <vt:lpwstr>https://txicfw.socialwork.utexas.edu/2023-texas-child-care-market-rate-survey/</vt:lpwstr>
      </vt:variant>
      <vt:variant>
        <vt:lpwstr/>
      </vt:variant>
      <vt:variant>
        <vt:i4>7602218</vt:i4>
      </vt:variant>
      <vt:variant>
        <vt:i4>3</vt:i4>
      </vt:variant>
      <vt:variant>
        <vt:i4>0</vt:i4>
      </vt:variant>
      <vt:variant>
        <vt:i4>5</vt:i4>
      </vt:variant>
      <vt:variant>
        <vt:lpwstr>https://www.acf.hhs.gov/occ/policy-guidance/ccdf-acf-pi-2018-01</vt:lpwstr>
      </vt:variant>
      <vt:variant>
        <vt:lpwstr/>
      </vt:variant>
      <vt:variant>
        <vt:i4>589896</vt:i4>
      </vt:variant>
      <vt:variant>
        <vt:i4>0</vt:i4>
      </vt:variant>
      <vt:variant>
        <vt:i4>0</vt:i4>
      </vt:variant>
      <vt:variant>
        <vt:i4>5</vt:i4>
      </vt:variant>
      <vt:variant>
        <vt:lpwstr>https://www.ecfr.gov/current/title-45/subtitle-A/subchapter-A/part-98</vt:lpwstr>
      </vt:variant>
      <vt:variant>
        <vt:lpwstr>98.45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Provider Maximum Reimbursement Rates</dc:title>
  <dc:subject>Child Care Provider Maximum Reimbursement Rate Increases</dc:subject>
  <dc:creator>allison.wilson@twc.texas.gov</dc:creator>
  <cp:keywords>Child Care</cp:keywords>
  <dc:description/>
  <cp:lastModifiedBy>Gregurek,Emily F</cp:lastModifiedBy>
  <cp:revision>4</cp:revision>
  <cp:lastPrinted>2023-08-29T17:45:00Z</cp:lastPrinted>
  <dcterms:created xsi:type="dcterms:W3CDTF">2023-08-28T19:32:00Z</dcterms:created>
  <dcterms:modified xsi:type="dcterms:W3CDTF">2023-08-29T17:46:00Z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Acrobat PDFMaker 10.1 for Word</vt:lpwstr>
  </property>
  <property fmtid="{D5CDD505-2E9C-101B-9397-08002B2CF9AE}" pid="4" name="LastSaved">
    <vt:filetime>2018-10-05T00:00:00Z</vt:filetime>
  </property>
  <property fmtid="{D5CDD505-2E9C-101B-9397-08002B2CF9AE}" pid="5" name="ContentTypeId">
    <vt:lpwstr>0x0101009A949C19FD9A7445B633133223AC5253</vt:lpwstr>
  </property>
  <property fmtid="{D5CDD505-2E9C-101B-9397-08002B2CF9AE}" pid="6" name="Order">
    <vt:r8>89600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WD ##-YR">
    <vt:lpwstr>XX-22</vt:lpwstr>
  </property>
  <property fmtid="{D5CDD505-2E9C-101B-9397-08002B2CF9AE}" pid="11" name="Year">
    <vt:r8>2022</vt:r8>
  </property>
  <property fmtid="{D5CDD505-2E9C-101B-9397-08002B2CF9AE}" pid="12" name="SharedWithUsers">
    <vt:lpwstr/>
  </property>
</Properties>
</file>