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39F" w:rsidRPr="004F68C4" w:rsidRDefault="0075646C" w:rsidP="00F3439F">
      <w:pPr>
        <w:pStyle w:val="Title"/>
        <w:rPr>
          <w:rFonts w:cstheme="minorHAnsi"/>
          <w:sz w:val="24"/>
          <w:szCs w:val="24"/>
        </w:rPr>
      </w:pPr>
      <w:bookmarkStart w:id="0" w:name="_GoBack"/>
      <w:bookmarkEnd w:id="0"/>
      <w:r w:rsidRPr="004F68C4">
        <w:rPr>
          <w:rFonts w:cstheme="minorHAnsi"/>
          <w:sz w:val="24"/>
          <w:szCs w:val="24"/>
        </w:rPr>
        <w:t>Texas Workforce Commission</w:t>
      </w:r>
      <w:r w:rsidR="005A5D89" w:rsidRPr="004F68C4">
        <w:rPr>
          <w:rFonts w:cstheme="minorHAnsi"/>
          <w:sz w:val="24"/>
          <w:szCs w:val="24"/>
        </w:rPr>
        <w:t xml:space="preserve"> </w:t>
      </w:r>
      <w:r w:rsidRPr="004F68C4">
        <w:rPr>
          <w:rFonts w:cstheme="minorHAnsi"/>
          <w:sz w:val="24"/>
          <w:szCs w:val="24"/>
        </w:rPr>
        <w:t>Order</w:t>
      </w:r>
    </w:p>
    <w:p w:rsidR="00F3439F" w:rsidRPr="004F68C4" w:rsidRDefault="004F68C4" w:rsidP="00F3439F">
      <w:pPr>
        <w:pStyle w:val="Title"/>
        <w:rPr>
          <w:rFonts w:cstheme="minorHAnsi"/>
          <w:b w:val="0"/>
          <w:sz w:val="24"/>
          <w:szCs w:val="24"/>
        </w:rPr>
      </w:pPr>
      <w:r w:rsidRPr="004F68C4">
        <w:rPr>
          <w:rFonts w:cstheme="minorHAnsi"/>
          <w:sz w:val="24"/>
          <w:szCs w:val="24"/>
        </w:rPr>
        <w:t>Fiscal Year 2020 Operating Budget</w:t>
      </w:r>
    </w:p>
    <w:p w:rsidR="00D836E5" w:rsidRPr="004F68C4" w:rsidRDefault="004F68C4" w:rsidP="000D27DA">
      <w:pPr>
        <w:rPr>
          <w:rFonts w:cstheme="minorHAnsi"/>
          <w:sz w:val="24"/>
          <w:szCs w:val="24"/>
        </w:rPr>
      </w:pPr>
      <w:r w:rsidRPr="004F68C4">
        <w:rPr>
          <w:rFonts w:cstheme="minorHAnsi"/>
          <w:sz w:val="23"/>
          <w:szCs w:val="23"/>
        </w:rPr>
        <w:t>WHEREAS, H.B. No. 1, General Appropriations Act, 86</w:t>
      </w:r>
      <w:r w:rsidRPr="004F68C4">
        <w:rPr>
          <w:rFonts w:cstheme="minorHAnsi"/>
          <w:sz w:val="23"/>
          <w:szCs w:val="23"/>
          <w:vertAlign w:val="superscript"/>
        </w:rPr>
        <w:t>th</w:t>
      </w:r>
      <w:r w:rsidRPr="004F68C4">
        <w:rPr>
          <w:rFonts w:cstheme="minorHAnsi"/>
          <w:sz w:val="23"/>
          <w:szCs w:val="23"/>
        </w:rPr>
        <w:t xml:space="preserve"> Legislature, Regular Session, appropriates funds for the operations of the Texas Workforce Commission for the fiscal year 2020-21 biennium;</w:t>
      </w:r>
    </w:p>
    <w:p w:rsidR="00D836E5" w:rsidRPr="004F68C4" w:rsidRDefault="004F68C4" w:rsidP="000D27DA">
      <w:pPr>
        <w:rPr>
          <w:rFonts w:cstheme="minorHAnsi"/>
          <w:sz w:val="24"/>
          <w:szCs w:val="24"/>
        </w:rPr>
      </w:pPr>
      <w:r w:rsidRPr="004F68C4">
        <w:rPr>
          <w:rFonts w:cstheme="minorHAnsi"/>
          <w:sz w:val="23"/>
          <w:szCs w:val="23"/>
        </w:rPr>
        <w:t>WHEREAS, the funds are necessary to effectively and efficiently operate the activities of the Texas Workforce Commission in accordance with the guidelines set forth in H.B. No. 1, General Appropriations Act, 86</w:t>
      </w:r>
      <w:r w:rsidRPr="004F68C4">
        <w:rPr>
          <w:rFonts w:cstheme="minorHAnsi"/>
          <w:sz w:val="23"/>
          <w:szCs w:val="23"/>
          <w:vertAlign w:val="superscript"/>
        </w:rPr>
        <w:t>th</w:t>
      </w:r>
      <w:r w:rsidRPr="004F68C4">
        <w:rPr>
          <w:rFonts w:cstheme="minorHAnsi"/>
          <w:sz w:val="23"/>
          <w:szCs w:val="23"/>
        </w:rPr>
        <w:t xml:space="preserve"> Legislature, Regular Session;</w:t>
      </w:r>
    </w:p>
    <w:p w:rsidR="00F91B26" w:rsidRPr="004F68C4" w:rsidRDefault="004F68C4" w:rsidP="000D27DA">
      <w:pPr>
        <w:rPr>
          <w:rFonts w:cstheme="minorHAnsi"/>
          <w:sz w:val="24"/>
          <w:szCs w:val="24"/>
        </w:rPr>
      </w:pPr>
      <w:r w:rsidRPr="004F68C4">
        <w:rPr>
          <w:rFonts w:cstheme="minorHAnsi"/>
          <w:sz w:val="23"/>
          <w:szCs w:val="23"/>
        </w:rPr>
        <w:t>WHEREAS, the funds support the Texas Workforce Commission’s mission to promote and support a workforce system that offers individuals, employers and communities the opportunity to achieve and sustain economic prosperity;</w:t>
      </w:r>
    </w:p>
    <w:p w:rsidR="0075646C" w:rsidRPr="004F68C4" w:rsidRDefault="004F68C4" w:rsidP="000D27DA">
      <w:pPr>
        <w:rPr>
          <w:rFonts w:cstheme="minorHAnsi"/>
          <w:sz w:val="24"/>
          <w:szCs w:val="24"/>
        </w:rPr>
      </w:pPr>
      <w:r w:rsidRPr="004F68C4">
        <w:rPr>
          <w:rFonts w:cstheme="minorHAnsi"/>
          <w:sz w:val="23"/>
          <w:szCs w:val="23"/>
        </w:rPr>
        <w:t>WHEREAS, the Texas Workforce Commission proposes a budget of $1,965,030,168 (which excludes amounts for retirement and other personnel benefits that are excluded from LBB tracking, according to instruction) for fiscal year 2020 to accomplish the strategies funded in H.B. No. 1, General Appropriations Act, 86</w:t>
      </w:r>
      <w:r w:rsidRPr="004F68C4">
        <w:rPr>
          <w:rFonts w:cstheme="minorHAnsi"/>
          <w:sz w:val="23"/>
          <w:szCs w:val="23"/>
          <w:vertAlign w:val="superscript"/>
        </w:rPr>
        <w:t>th</w:t>
      </w:r>
      <w:r w:rsidRPr="004F68C4">
        <w:rPr>
          <w:rFonts w:cstheme="minorHAnsi"/>
          <w:sz w:val="23"/>
          <w:szCs w:val="23"/>
        </w:rPr>
        <w:t xml:space="preserve"> Legislature, Regular Session, using both federal and state resources;</w:t>
      </w:r>
    </w:p>
    <w:p w:rsidR="004F68C4" w:rsidRPr="004F68C4" w:rsidRDefault="004F68C4" w:rsidP="004F68C4">
      <w:pPr>
        <w:rPr>
          <w:rFonts w:cstheme="minorHAnsi"/>
          <w:sz w:val="23"/>
          <w:szCs w:val="23"/>
        </w:rPr>
      </w:pPr>
      <w:r w:rsidRPr="004F68C4">
        <w:rPr>
          <w:rFonts w:cstheme="minorHAnsi"/>
          <w:sz w:val="23"/>
          <w:szCs w:val="23"/>
        </w:rPr>
        <w:t>WHEREAS, the average number of full-time equivalent employees (FTEs) in this budget is 4,868.5, which is within the FTE cap limitation provided for TWC in H.B. No. 1, General Appropriations Act, 86</w:t>
      </w:r>
      <w:r w:rsidRPr="004F68C4">
        <w:rPr>
          <w:rFonts w:cstheme="minorHAnsi"/>
          <w:sz w:val="23"/>
          <w:szCs w:val="23"/>
          <w:vertAlign w:val="superscript"/>
        </w:rPr>
        <w:t>th</w:t>
      </w:r>
      <w:r w:rsidRPr="004F68C4">
        <w:rPr>
          <w:rFonts w:cstheme="minorHAnsi"/>
          <w:sz w:val="23"/>
          <w:szCs w:val="23"/>
        </w:rPr>
        <w:t xml:space="preserve"> Legislature, Regular Session for fiscal year 2020;</w:t>
      </w:r>
    </w:p>
    <w:p w:rsidR="004F68C4" w:rsidRPr="004F68C4" w:rsidRDefault="004F68C4" w:rsidP="004F68C4">
      <w:pPr>
        <w:rPr>
          <w:rFonts w:cstheme="minorHAnsi"/>
          <w:sz w:val="23"/>
          <w:szCs w:val="23"/>
        </w:rPr>
      </w:pPr>
      <w:r w:rsidRPr="004F68C4">
        <w:rPr>
          <w:rFonts w:cstheme="minorHAnsi"/>
          <w:sz w:val="23"/>
          <w:szCs w:val="23"/>
        </w:rPr>
        <w:t>WHEREAS, the Texas Workforce Commission’s Chief Financial Officer certifies the proposed attached budget meets the guidelines set forth in H.B. No. 1, General Appropriations Act,</w:t>
      </w:r>
      <w:r w:rsidRPr="004F68C4">
        <w:rPr>
          <w:rFonts w:cstheme="minorHAnsi"/>
          <w:sz w:val="23"/>
          <w:szCs w:val="23"/>
          <w:vertAlign w:val="superscript"/>
        </w:rPr>
        <w:t xml:space="preserve"> </w:t>
      </w:r>
      <w:r w:rsidRPr="004F68C4">
        <w:rPr>
          <w:rFonts w:cstheme="minorHAnsi"/>
          <w:sz w:val="23"/>
          <w:szCs w:val="23"/>
        </w:rPr>
        <w:t>86th Legislature, Regular Session.</w:t>
      </w:r>
    </w:p>
    <w:p w:rsidR="004F68C4" w:rsidRPr="004F68C4" w:rsidRDefault="004F68C4" w:rsidP="004F68C4">
      <w:pPr>
        <w:rPr>
          <w:rFonts w:cstheme="minorHAnsi"/>
          <w:sz w:val="23"/>
          <w:szCs w:val="23"/>
        </w:rPr>
      </w:pPr>
      <w:r w:rsidRPr="004F68C4">
        <w:rPr>
          <w:rFonts w:cstheme="minorHAnsi"/>
          <w:sz w:val="23"/>
          <w:szCs w:val="23"/>
        </w:rPr>
        <w:t xml:space="preserve">NOW THEREFORE, IT IS ORDERED by the Texas Workforce Commission that an Operating Budget of $1,965,030,168 be authorized for the operations of the agency for fiscal year 2020; and the </w:t>
      </w:r>
      <w:r>
        <w:rPr>
          <w:rFonts w:cstheme="minorHAnsi"/>
          <w:sz w:val="23"/>
          <w:szCs w:val="23"/>
        </w:rPr>
        <w:t xml:space="preserve">Interim </w:t>
      </w:r>
      <w:r w:rsidRPr="004F68C4">
        <w:rPr>
          <w:rFonts w:cstheme="minorHAnsi"/>
          <w:sz w:val="23"/>
          <w:szCs w:val="23"/>
        </w:rPr>
        <w:t>Executive Director is hereby ordered to administer this Operating Budget in the most feasible and economical manner and within all guidelines prescribed by H.B. No. 1, General Appropriations Act, 86</w:t>
      </w:r>
      <w:r w:rsidRPr="004F68C4">
        <w:rPr>
          <w:rFonts w:cstheme="minorHAnsi"/>
          <w:sz w:val="23"/>
          <w:szCs w:val="23"/>
          <w:vertAlign w:val="superscript"/>
        </w:rPr>
        <w:t>th</w:t>
      </w:r>
      <w:r w:rsidRPr="004F68C4">
        <w:rPr>
          <w:rFonts w:cstheme="minorHAnsi"/>
          <w:sz w:val="23"/>
          <w:szCs w:val="23"/>
        </w:rPr>
        <w:t xml:space="preserve"> Legislature, Regular Session.</w:t>
      </w:r>
    </w:p>
    <w:p w:rsidR="0075646C" w:rsidRPr="004F68C4" w:rsidRDefault="004F68C4" w:rsidP="004F68C4">
      <w:pPr>
        <w:rPr>
          <w:rFonts w:cstheme="minorHAnsi"/>
          <w:sz w:val="24"/>
          <w:szCs w:val="24"/>
        </w:rPr>
      </w:pPr>
      <w:r w:rsidRPr="004F68C4">
        <w:rPr>
          <w:rFonts w:cstheme="minorHAnsi"/>
          <w:sz w:val="23"/>
          <w:szCs w:val="23"/>
        </w:rPr>
        <w:t xml:space="preserve">IT IS FURTHER ORDERED that the </w:t>
      </w:r>
      <w:r w:rsidR="00812832">
        <w:rPr>
          <w:rFonts w:cstheme="minorHAnsi"/>
          <w:sz w:val="23"/>
          <w:szCs w:val="23"/>
        </w:rPr>
        <w:t xml:space="preserve">Interim </w:t>
      </w:r>
      <w:r w:rsidRPr="004F68C4">
        <w:rPr>
          <w:rFonts w:cstheme="minorHAnsi"/>
          <w:sz w:val="23"/>
          <w:szCs w:val="23"/>
        </w:rPr>
        <w:t>Executive Director is hereby authorized in accordance with agency strategic direction and Commission guidance to make the necessary adjustments to spending and FTE levels in accordance with H.B. No. 1, General Appropriations Act, 86</w:t>
      </w:r>
      <w:r w:rsidRPr="004F68C4">
        <w:rPr>
          <w:rFonts w:cstheme="minorHAnsi"/>
          <w:sz w:val="23"/>
          <w:szCs w:val="23"/>
          <w:vertAlign w:val="superscript"/>
        </w:rPr>
        <w:t>th</w:t>
      </w:r>
      <w:r w:rsidRPr="004F68C4">
        <w:rPr>
          <w:rFonts w:cstheme="minorHAnsi"/>
          <w:sz w:val="23"/>
          <w:szCs w:val="23"/>
        </w:rPr>
        <w:t xml:space="preserve"> Legislature, Regular Session, as may be necessary in the operation of the agency, given the requirements of federal and state statutes and the practical needs of program administration.</w:t>
      </w:r>
    </w:p>
    <w:p w:rsidR="0075646C" w:rsidRPr="004F68C4" w:rsidRDefault="0075646C" w:rsidP="000D27DA">
      <w:pPr>
        <w:pStyle w:val="Normal2"/>
        <w:rPr>
          <w:rFonts w:cstheme="minorHAnsi"/>
          <w:sz w:val="24"/>
          <w:szCs w:val="24"/>
        </w:rPr>
      </w:pPr>
      <w:r w:rsidRPr="004F68C4">
        <w:rPr>
          <w:rFonts w:cstheme="minorHAnsi"/>
          <w:sz w:val="24"/>
          <w:szCs w:val="24"/>
        </w:rPr>
        <w:t xml:space="preserve">Adopted on </w:t>
      </w:r>
      <w:r w:rsidR="00F3439F" w:rsidRPr="004F68C4">
        <w:rPr>
          <w:rFonts w:cstheme="minorHAnsi"/>
          <w:sz w:val="24"/>
          <w:szCs w:val="24"/>
        </w:rPr>
        <w:t>August 23, 2019</w:t>
      </w:r>
      <w:r w:rsidR="0047769A" w:rsidRPr="004F68C4">
        <w:rPr>
          <w:rFonts w:cstheme="minorHAnsi"/>
          <w:sz w:val="24"/>
          <w:szCs w:val="24"/>
        </w:rPr>
        <w:t>:</w:t>
      </w:r>
    </w:p>
    <w:p w:rsidR="00B51503" w:rsidRPr="004F68C4" w:rsidRDefault="00B51503" w:rsidP="000D27DA">
      <w:pPr>
        <w:pStyle w:val="Normal2"/>
        <w:rPr>
          <w:rFonts w:cstheme="minorHAnsi"/>
          <w:sz w:val="16"/>
          <w:szCs w:val="16"/>
        </w:rPr>
      </w:pPr>
    </w:p>
    <w:p w:rsidR="00F3439F" w:rsidRPr="004F68C4" w:rsidRDefault="00F3439F" w:rsidP="000D27DA">
      <w:pPr>
        <w:pStyle w:val="Normal2"/>
        <w:rPr>
          <w:rFonts w:cstheme="minorHAnsi"/>
          <w:sz w:val="16"/>
          <w:szCs w:val="16"/>
        </w:rPr>
      </w:pPr>
    </w:p>
    <w:p w:rsidR="00804C13" w:rsidRPr="004F68C4" w:rsidRDefault="006E31F5" w:rsidP="000D27DA">
      <w:pPr>
        <w:pStyle w:val="NoSpacing"/>
        <w:pBdr>
          <w:top w:val="single" w:sz="4" w:space="1" w:color="auto"/>
        </w:pBdr>
        <w:rPr>
          <w:rFonts w:cstheme="minorHAnsi"/>
          <w:sz w:val="24"/>
          <w:szCs w:val="24"/>
        </w:rPr>
      </w:pPr>
      <w:r w:rsidRPr="004F68C4">
        <w:rPr>
          <w:rFonts w:cstheme="minorHAnsi"/>
          <w:sz w:val="24"/>
          <w:szCs w:val="24"/>
        </w:rPr>
        <w:t>Ruth R. Hughs</w:t>
      </w:r>
      <w:r w:rsidR="00FF0C84" w:rsidRPr="004F68C4">
        <w:rPr>
          <w:rFonts w:cstheme="minorHAnsi"/>
          <w:sz w:val="24"/>
          <w:szCs w:val="24"/>
        </w:rPr>
        <w:t>,</w:t>
      </w:r>
      <w:r w:rsidRPr="004F68C4">
        <w:rPr>
          <w:rFonts w:cstheme="minorHAnsi"/>
          <w:sz w:val="24"/>
          <w:szCs w:val="24"/>
        </w:rPr>
        <w:t xml:space="preserve"> </w:t>
      </w:r>
      <w:r w:rsidR="00804C13" w:rsidRPr="004F68C4">
        <w:rPr>
          <w:rFonts w:cstheme="minorHAnsi"/>
          <w:sz w:val="24"/>
          <w:szCs w:val="24"/>
        </w:rPr>
        <w:t xml:space="preserve">Chair and Commissioner Representing </w:t>
      </w:r>
      <w:r w:rsidR="00FF0C84" w:rsidRPr="004F68C4">
        <w:rPr>
          <w:rFonts w:cstheme="minorHAnsi"/>
          <w:sz w:val="24"/>
          <w:szCs w:val="24"/>
        </w:rPr>
        <w:t>Employers</w:t>
      </w:r>
    </w:p>
    <w:p w:rsidR="00B51503" w:rsidRPr="004F68C4" w:rsidRDefault="00B51503" w:rsidP="000D27DA">
      <w:pPr>
        <w:pStyle w:val="Normal2"/>
        <w:rPr>
          <w:rFonts w:cstheme="minorHAnsi"/>
          <w:sz w:val="16"/>
          <w:szCs w:val="16"/>
        </w:rPr>
      </w:pPr>
    </w:p>
    <w:p w:rsidR="00F3439F" w:rsidRPr="004F68C4" w:rsidRDefault="00F3439F" w:rsidP="000D27DA">
      <w:pPr>
        <w:pStyle w:val="Normal2"/>
        <w:rPr>
          <w:rFonts w:cstheme="minorHAnsi"/>
          <w:sz w:val="16"/>
          <w:szCs w:val="16"/>
        </w:rPr>
      </w:pPr>
    </w:p>
    <w:p w:rsidR="00804C13" w:rsidRPr="004F68C4" w:rsidRDefault="00FF0C84" w:rsidP="000D27DA">
      <w:pPr>
        <w:pStyle w:val="NoSpacing"/>
        <w:pBdr>
          <w:top w:val="single" w:sz="4" w:space="1" w:color="auto"/>
        </w:pBdr>
        <w:rPr>
          <w:rFonts w:cstheme="minorHAnsi"/>
          <w:sz w:val="24"/>
          <w:szCs w:val="24"/>
        </w:rPr>
      </w:pPr>
      <w:r w:rsidRPr="004F68C4">
        <w:rPr>
          <w:rFonts w:cstheme="minorHAnsi"/>
          <w:sz w:val="24"/>
          <w:szCs w:val="24"/>
        </w:rPr>
        <w:t>Julian Alvarez, Commissioner Representing Labor</w:t>
      </w:r>
    </w:p>
    <w:p w:rsidR="00F3439F" w:rsidRPr="004F68C4" w:rsidRDefault="00F3439F" w:rsidP="00245C2C">
      <w:pPr>
        <w:pStyle w:val="Normal2"/>
        <w:rPr>
          <w:rFonts w:cstheme="minorHAnsi"/>
          <w:sz w:val="16"/>
          <w:szCs w:val="16"/>
        </w:rPr>
      </w:pPr>
    </w:p>
    <w:p w:rsidR="00245C2C" w:rsidRPr="004F68C4" w:rsidRDefault="00245C2C" w:rsidP="00245C2C">
      <w:pPr>
        <w:pStyle w:val="Normal2"/>
        <w:rPr>
          <w:rFonts w:cstheme="minorHAnsi"/>
          <w:sz w:val="16"/>
          <w:szCs w:val="16"/>
        </w:rPr>
      </w:pPr>
    </w:p>
    <w:p w:rsidR="00F3439F" w:rsidRPr="004F68C4" w:rsidRDefault="00F3439F" w:rsidP="00F3439F">
      <w:pPr>
        <w:pStyle w:val="NoSpacing"/>
        <w:pBdr>
          <w:top w:val="single" w:sz="4" w:space="1" w:color="auto"/>
        </w:pBdr>
        <w:rPr>
          <w:rFonts w:cstheme="minorHAnsi"/>
          <w:sz w:val="24"/>
          <w:szCs w:val="24"/>
        </w:rPr>
      </w:pPr>
      <w:r w:rsidRPr="004F68C4">
        <w:rPr>
          <w:rFonts w:cstheme="minorHAnsi"/>
          <w:sz w:val="24"/>
          <w:szCs w:val="24"/>
        </w:rPr>
        <w:t>Bryan Daniel, Commissioner Representing the Public</w:t>
      </w:r>
    </w:p>
    <w:sectPr w:rsidR="00F3439F" w:rsidRPr="004F68C4" w:rsidSect="00F3439F">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A3F" w:rsidRDefault="00C92A3F" w:rsidP="000D27DA">
      <w:r>
        <w:separator/>
      </w:r>
    </w:p>
  </w:endnote>
  <w:endnote w:type="continuationSeparator" w:id="0">
    <w:p w:rsidR="00C92A3F" w:rsidRDefault="00C92A3F" w:rsidP="000D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A3F" w:rsidRDefault="00C92A3F" w:rsidP="000D27DA">
      <w:r>
        <w:separator/>
      </w:r>
    </w:p>
  </w:footnote>
  <w:footnote w:type="continuationSeparator" w:id="0">
    <w:p w:rsidR="00C92A3F" w:rsidRDefault="00C92A3F" w:rsidP="000D2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F8"/>
    <w:rsid w:val="00006293"/>
    <w:rsid w:val="00020FC3"/>
    <w:rsid w:val="0003115D"/>
    <w:rsid w:val="00044496"/>
    <w:rsid w:val="0006303E"/>
    <w:rsid w:val="000C3F0C"/>
    <w:rsid w:val="000C5715"/>
    <w:rsid w:val="000D06EF"/>
    <w:rsid w:val="000D200D"/>
    <w:rsid w:val="000D27DA"/>
    <w:rsid w:val="000D4678"/>
    <w:rsid w:val="000F4DE4"/>
    <w:rsid w:val="0011029D"/>
    <w:rsid w:val="0014794F"/>
    <w:rsid w:val="0015472C"/>
    <w:rsid w:val="00162A26"/>
    <w:rsid w:val="00162CE7"/>
    <w:rsid w:val="00164CFA"/>
    <w:rsid w:val="0017683E"/>
    <w:rsid w:val="001B14F4"/>
    <w:rsid w:val="001B6525"/>
    <w:rsid w:val="001C2D99"/>
    <w:rsid w:val="001C6BE8"/>
    <w:rsid w:val="001E0A6E"/>
    <w:rsid w:val="001F72F8"/>
    <w:rsid w:val="00200710"/>
    <w:rsid w:val="002061A7"/>
    <w:rsid w:val="00210500"/>
    <w:rsid w:val="00214948"/>
    <w:rsid w:val="002304F3"/>
    <w:rsid w:val="0024036B"/>
    <w:rsid w:val="00245C2C"/>
    <w:rsid w:val="002634D3"/>
    <w:rsid w:val="00276DE3"/>
    <w:rsid w:val="002A2EE9"/>
    <w:rsid w:val="002B52A2"/>
    <w:rsid w:val="002D2450"/>
    <w:rsid w:val="002D6517"/>
    <w:rsid w:val="002E4843"/>
    <w:rsid w:val="00316E5D"/>
    <w:rsid w:val="00320237"/>
    <w:rsid w:val="00321828"/>
    <w:rsid w:val="003241B7"/>
    <w:rsid w:val="003354FD"/>
    <w:rsid w:val="0033798F"/>
    <w:rsid w:val="003433FE"/>
    <w:rsid w:val="00352441"/>
    <w:rsid w:val="00356980"/>
    <w:rsid w:val="00362123"/>
    <w:rsid w:val="00364309"/>
    <w:rsid w:val="00364A24"/>
    <w:rsid w:val="003705C7"/>
    <w:rsid w:val="00375409"/>
    <w:rsid w:val="00386E43"/>
    <w:rsid w:val="003A0F9B"/>
    <w:rsid w:val="003A14AB"/>
    <w:rsid w:val="00401CC8"/>
    <w:rsid w:val="00415449"/>
    <w:rsid w:val="00422E0F"/>
    <w:rsid w:val="0042541A"/>
    <w:rsid w:val="004446F2"/>
    <w:rsid w:val="004555CE"/>
    <w:rsid w:val="0046146B"/>
    <w:rsid w:val="0047769A"/>
    <w:rsid w:val="004A50BD"/>
    <w:rsid w:val="004D337C"/>
    <w:rsid w:val="004F68C4"/>
    <w:rsid w:val="0052257B"/>
    <w:rsid w:val="00527E2E"/>
    <w:rsid w:val="0053174E"/>
    <w:rsid w:val="00557CC3"/>
    <w:rsid w:val="00570636"/>
    <w:rsid w:val="00571F0E"/>
    <w:rsid w:val="00580BEC"/>
    <w:rsid w:val="00581949"/>
    <w:rsid w:val="00581E03"/>
    <w:rsid w:val="00591308"/>
    <w:rsid w:val="00597416"/>
    <w:rsid w:val="005A5903"/>
    <w:rsid w:val="005A5D89"/>
    <w:rsid w:val="005A5F94"/>
    <w:rsid w:val="005D10A2"/>
    <w:rsid w:val="005E02A0"/>
    <w:rsid w:val="005E6F27"/>
    <w:rsid w:val="005F040D"/>
    <w:rsid w:val="00647705"/>
    <w:rsid w:val="00657A4F"/>
    <w:rsid w:val="006744C9"/>
    <w:rsid w:val="006861ED"/>
    <w:rsid w:val="00690D7B"/>
    <w:rsid w:val="00693B9A"/>
    <w:rsid w:val="00695D15"/>
    <w:rsid w:val="006B12AE"/>
    <w:rsid w:val="006C1B3D"/>
    <w:rsid w:val="006C52A3"/>
    <w:rsid w:val="006D37A2"/>
    <w:rsid w:val="006D73A2"/>
    <w:rsid w:val="006E31F5"/>
    <w:rsid w:val="00707FEC"/>
    <w:rsid w:val="0071097D"/>
    <w:rsid w:val="00711C5B"/>
    <w:rsid w:val="00714D84"/>
    <w:rsid w:val="00725630"/>
    <w:rsid w:val="007271BC"/>
    <w:rsid w:val="0073339B"/>
    <w:rsid w:val="0073461D"/>
    <w:rsid w:val="00744A92"/>
    <w:rsid w:val="0075646C"/>
    <w:rsid w:val="00760DA3"/>
    <w:rsid w:val="00774415"/>
    <w:rsid w:val="00776887"/>
    <w:rsid w:val="007C3211"/>
    <w:rsid w:val="007F0407"/>
    <w:rsid w:val="007F15AE"/>
    <w:rsid w:val="00804C13"/>
    <w:rsid w:val="0080636F"/>
    <w:rsid w:val="00812832"/>
    <w:rsid w:val="00815437"/>
    <w:rsid w:val="008171F4"/>
    <w:rsid w:val="00825326"/>
    <w:rsid w:val="00826557"/>
    <w:rsid w:val="00830EEE"/>
    <w:rsid w:val="00837AA0"/>
    <w:rsid w:val="00844A53"/>
    <w:rsid w:val="00852633"/>
    <w:rsid w:val="00857204"/>
    <w:rsid w:val="008738B1"/>
    <w:rsid w:val="0089267F"/>
    <w:rsid w:val="008A5BCF"/>
    <w:rsid w:val="008B114E"/>
    <w:rsid w:val="008B21CC"/>
    <w:rsid w:val="008B3BEB"/>
    <w:rsid w:val="008B436C"/>
    <w:rsid w:val="008C5D86"/>
    <w:rsid w:val="008D48C0"/>
    <w:rsid w:val="008F220E"/>
    <w:rsid w:val="00903D43"/>
    <w:rsid w:val="009121A4"/>
    <w:rsid w:val="00927F55"/>
    <w:rsid w:val="0093119C"/>
    <w:rsid w:val="009469A9"/>
    <w:rsid w:val="009530C0"/>
    <w:rsid w:val="00953784"/>
    <w:rsid w:val="00956A6F"/>
    <w:rsid w:val="00971162"/>
    <w:rsid w:val="00996551"/>
    <w:rsid w:val="009A1914"/>
    <w:rsid w:val="009A40C6"/>
    <w:rsid w:val="009C142F"/>
    <w:rsid w:val="009C45AD"/>
    <w:rsid w:val="009C4946"/>
    <w:rsid w:val="009C7E0E"/>
    <w:rsid w:val="009D4741"/>
    <w:rsid w:val="009D4E65"/>
    <w:rsid w:val="009E38F8"/>
    <w:rsid w:val="00A00587"/>
    <w:rsid w:val="00A15F57"/>
    <w:rsid w:val="00A25517"/>
    <w:rsid w:val="00A27A9D"/>
    <w:rsid w:val="00A367CD"/>
    <w:rsid w:val="00A47C0E"/>
    <w:rsid w:val="00A5319F"/>
    <w:rsid w:val="00A57E4B"/>
    <w:rsid w:val="00A65397"/>
    <w:rsid w:val="00A804F4"/>
    <w:rsid w:val="00A8528C"/>
    <w:rsid w:val="00A856A6"/>
    <w:rsid w:val="00AB3C8A"/>
    <w:rsid w:val="00AE24CB"/>
    <w:rsid w:val="00AE5862"/>
    <w:rsid w:val="00AF3813"/>
    <w:rsid w:val="00B15F49"/>
    <w:rsid w:val="00B31C30"/>
    <w:rsid w:val="00B35B2F"/>
    <w:rsid w:val="00B51503"/>
    <w:rsid w:val="00B95A1F"/>
    <w:rsid w:val="00BA1B5E"/>
    <w:rsid w:val="00BC0569"/>
    <w:rsid w:val="00BC4F96"/>
    <w:rsid w:val="00BC53A1"/>
    <w:rsid w:val="00BE329D"/>
    <w:rsid w:val="00BF2D1C"/>
    <w:rsid w:val="00C00293"/>
    <w:rsid w:val="00C13EEB"/>
    <w:rsid w:val="00C17A93"/>
    <w:rsid w:val="00C354D0"/>
    <w:rsid w:val="00C36A1B"/>
    <w:rsid w:val="00C46974"/>
    <w:rsid w:val="00C53803"/>
    <w:rsid w:val="00C55DA3"/>
    <w:rsid w:val="00C862C6"/>
    <w:rsid w:val="00C92A3F"/>
    <w:rsid w:val="00CA4A4D"/>
    <w:rsid w:val="00CB1144"/>
    <w:rsid w:val="00CB746C"/>
    <w:rsid w:val="00CC07E9"/>
    <w:rsid w:val="00CC2209"/>
    <w:rsid w:val="00CC420E"/>
    <w:rsid w:val="00CD3D75"/>
    <w:rsid w:val="00CF6413"/>
    <w:rsid w:val="00D000B4"/>
    <w:rsid w:val="00D001CC"/>
    <w:rsid w:val="00D20206"/>
    <w:rsid w:val="00D640A5"/>
    <w:rsid w:val="00D836E5"/>
    <w:rsid w:val="00D84908"/>
    <w:rsid w:val="00D92CA3"/>
    <w:rsid w:val="00DC276C"/>
    <w:rsid w:val="00DE5E07"/>
    <w:rsid w:val="00E05680"/>
    <w:rsid w:val="00E3560B"/>
    <w:rsid w:val="00E40142"/>
    <w:rsid w:val="00E40528"/>
    <w:rsid w:val="00E4607B"/>
    <w:rsid w:val="00E57FF8"/>
    <w:rsid w:val="00E71A58"/>
    <w:rsid w:val="00E962D6"/>
    <w:rsid w:val="00EA4AE8"/>
    <w:rsid w:val="00EB14A4"/>
    <w:rsid w:val="00EC436A"/>
    <w:rsid w:val="00EE5E58"/>
    <w:rsid w:val="00EF1BDA"/>
    <w:rsid w:val="00EF71ED"/>
    <w:rsid w:val="00F21223"/>
    <w:rsid w:val="00F23C04"/>
    <w:rsid w:val="00F32F3D"/>
    <w:rsid w:val="00F33CFD"/>
    <w:rsid w:val="00F3439F"/>
    <w:rsid w:val="00F40065"/>
    <w:rsid w:val="00F45276"/>
    <w:rsid w:val="00F6235D"/>
    <w:rsid w:val="00F71674"/>
    <w:rsid w:val="00F76EB6"/>
    <w:rsid w:val="00F91B26"/>
    <w:rsid w:val="00FB134B"/>
    <w:rsid w:val="00FB4C4D"/>
    <w:rsid w:val="00FF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441A14-A5CC-4C82-9A27-2F98641E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27DA"/>
    <w:pPr>
      <w:spacing w:before="120" w:after="120"/>
      <w:ind w:firstLine="72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0D27DA"/>
    <w:pPr>
      <w:spacing w:after="240"/>
      <w:contextualSpacing/>
      <w:jc w:val="center"/>
    </w:pPr>
    <w:rPr>
      <w:rFonts w:asciiTheme="minorHAnsi" w:hAnsiTheme="minorHAnsi"/>
      <w:b/>
      <w:sz w:val="22"/>
      <w:szCs w:val="22"/>
    </w:rPr>
  </w:style>
  <w:style w:type="paragraph" w:styleId="Header">
    <w:name w:val="header"/>
    <w:basedOn w:val="Normal"/>
    <w:link w:val="HeaderChar"/>
    <w:uiPriority w:val="99"/>
    <w:rsid w:val="00A5319F"/>
    <w:pPr>
      <w:tabs>
        <w:tab w:val="center" w:pos="4320"/>
        <w:tab w:val="right" w:pos="8640"/>
      </w:tabs>
    </w:pPr>
  </w:style>
  <w:style w:type="paragraph" w:styleId="Footer">
    <w:name w:val="footer"/>
    <w:basedOn w:val="Normal"/>
    <w:rsid w:val="00A5319F"/>
    <w:pPr>
      <w:tabs>
        <w:tab w:val="center" w:pos="4320"/>
        <w:tab w:val="right" w:pos="8640"/>
      </w:tabs>
    </w:pPr>
  </w:style>
  <w:style w:type="paragraph" w:styleId="BalloonText">
    <w:name w:val="Balloon Text"/>
    <w:basedOn w:val="Normal"/>
    <w:link w:val="BalloonTextChar"/>
    <w:rsid w:val="0003115D"/>
    <w:rPr>
      <w:rFonts w:ascii="Tahoma" w:hAnsi="Tahoma" w:cs="Tahoma"/>
      <w:sz w:val="16"/>
      <w:szCs w:val="16"/>
    </w:rPr>
  </w:style>
  <w:style w:type="character" w:customStyle="1" w:styleId="BalloonTextChar">
    <w:name w:val="Balloon Text Char"/>
    <w:basedOn w:val="DefaultParagraphFont"/>
    <w:link w:val="BalloonText"/>
    <w:rsid w:val="0003115D"/>
    <w:rPr>
      <w:rFonts w:ascii="Tahoma" w:hAnsi="Tahoma" w:cs="Tahoma"/>
      <w:sz w:val="16"/>
      <w:szCs w:val="16"/>
    </w:rPr>
  </w:style>
  <w:style w:type="character" w:customStyle="1" w:styleId="HeaderChar">
    <w:name w:val="Header Char"/>
    <w:basedOn w:val="DefaultParagraphFont"/>
    <w:link w:val="Header"/>
    <w:uiPriority w:val="99"/>
    <w:rsid w:val="00804C13"/>
    <w:rPr>
      <w:sz w:val="24"/>
    </w:rPr>
  </w:style>
  <w:style w:type="paragraph" w:styleId="NoSpacing">
    <w:name w:val="No Spacing"/>
    <w:uiPriority w:val="1"/>
    <w:qFormat/>
    <w:rsid w:val="000D27DA"/>
    <w:rPr>
      <w:rFonts w:asciiTheme="minorHAnsi" w:hAnsiTheme="minorHAnsi"/>
      <w:sz w:val="22"/>
    </w:rPr>
  </w:style>
  <w:style w:type="character" w:styleId="CommentReference">
    <w:name w:val="annotation reference"/>
    <w:basedOn w:val="DefaultParagraphFont"/>
    <w:rsid w:val="00C46974"/>
    <w:rPr>
      <w:sz w:val="16"/>
      <w:szCs w:val="16"/>
    </w:rPr>
  </w:style>
  <w:style w:type="paragraph" w:styleId="CommentText">
    <w:name w:val="annotation text"/>
    <w:basedOn w:val="Normal"/>
    <w:link w:val="CommentTextChar"/>
    <w:rsid w:val="00C46974"/>
    <w:rPr>
      <w:sz w:val="20"/>
    </w:rPr>
  </w:style>
  <w:style w:type="character" w:customStyle="1" w:styleId="CommentTextChar">
    <w:name w:val="Comment Text Char"/>
    <w:basedOn w:val="DefaultParagraphFont"/>
    <w:link w:val="CommentText"/>
    <w:rsid w:val="00C46974"/>
  </w:style>
  <w:style w:type="paragraph" w:styleId="CommentSubject">
    <w:name w:val="annotation subject"/>
    <w:basedOn w:val="CommentText"/>
    <w:next w:val="CommentText"/>
    <w:link w:val="CommentSubjectChar"/>
    <w:rsid w:val="00C46974"/>
    <w:rPr>
      <w:b/>
      <w:bCs/>
    </w:rPr>
  </w:style>
  <w:style w:type="character" w:customStyle="1" w:styleId="CommentSubjectChar">
    <w:name w:val="Comment Subject Char"/>
    <w:basedOn w:val="CommentTextChar"/>
    <w:link w:val="CommentSubject"/>
    <w:rsid w:val="00C46974"/>
    <w:rPr>
      <w:b/>
      <w:bCs/>
    </w:rPr>
  </w:style>
  <w:style w:type="paragraph" w:customStyle="1" w:styleId="Normal2">
    <w:name w:val="Normal 2"/>
    <w:basedOn w:val="Normal"/>
    <w:link w:val="Normal2Char"/>
    <w:qFormat/>
    <w:rsid w:val="000D27DA"/>
    <w:pPr>
      <w:ind w:firstLine="0"/>
    </w:pPr>
  </w:style>
  <w:style w:type="character" w:customStyle="1" w:styleId="Normal2Char">
    <w:name w:val="Normal 2 Char"/>
    <w:basedOn w:val="DefaultParagraphFont"/>
    <w:link w:val="Normal2"/>
    <w:rsid w:val="000D27DA"/>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Texas Workforce Commission Order Program Year 2017 Block Grant Allocations and Fiscal Year 2018 Planning Estimates</vt:lpstr>
    </vt:vector>
  </TitlesOfParts>
  <Company>TWC</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Workforce Commission Order Program Year 2017 Block Grant Allocations and Fiscal Year 2018 Planning Estimates</dc:title>
  <dc:creator>TWC</dc:creator>
  <cp:keywords>block grant allocations, planning estimates</cp:keywords>
  <cp:lastModifiedBy>Lopez,Andres</cp:lastModifiedBy>
  <cp:revision>2</cp:revision>
  <cp:lastPrinted>2019-08-16T13:10:00Z</cp:lastPrinted>
  <dcterms:created xsi:type="dcterms:W3CDTF">2019-08-19T21:15:00Z</dcterms:created>
  <dcterms:modified xsi:type="dcterms:W3CDTF">2019-08-19T21:15:00Z</dcterms:modified>
</cp:coreProperties>
</file>