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895CC" w14:textId="7D277593" w:rsidR="00B343C6" w:rsidRPr="002D07B8" w:rsidRDefault="00B343C6" w:rsidP="004C1867">
      <w:pPr>
        <w:pStyle w:val="Title"/>
        <w:spacing w:before="240"/>
        <w:rPr>
          <w:rFonts w:asciiTheme="minorHAnsi" w:hAnsiTheme="minorHAnsi" w:cstheme="minorHAnsi"/>
        </w:rPr>
      </w:pPr>
      <w:bookmarkStart w:id="0" w:name="_GoBack"/>
      <w:bookmarkEnd w:id="0"/>
      <w:r w:rsidRPr="002D07B8">
        <w:rPr>
          <w:rFonts w:asciiTheme="minorHAnsi" w:hAnsiTheme="minorHAnsi" w:cstheme="minorHAnsi"/>
        </w:rPr>
        <w:t xml:space="preserve">Discussion, Consideration and Possible Action Regarding Local Workforce Development </w:t>
      </w:r>
      <w:r w:rsidR="00B11152" w:rsidRPr="002D07B8">
        <w:rPr>
          <w:rFonts w:asciiTheme="minorHAnsi" w:hAnsiTheme="minorHAnsi" w:cstheme="minorHAnsi"/>
        </w:rPr>
        <w:t xml:space="preserve">Area </w:t>
      </w:r>
      <w:r w:rsidRPr="002D07B8">
        <w:rPr>
          <w:rFonts w:asciiTheme="minorHAnsi" w:hAnsiTheme="minorHAnsi" w:cstheme="minorHAnsi"/>
        </w:rPr>
        <w:t xml:space="preserve">Performance </w:t>
      </w:r>
      <w:r w:rsidR="00027B49" w:rsidRPr="002D07B8">
        <w:rPr>
          <w:rFonts w:asciiTheme="minorHAnsi" w:hAnsiTheme="minorHAnsi" w:cstheme="minorHAnsi"/>
        </w:rPr>
        <w:t>Expectations f</w:t>
      </w:r>
      <w:r w:rsidR="00B11152" w:rsidRPr="002D07B8">
        <w:rPr>
          <w:rFonts w:asciiTheme="minorHAnsi" w:hAnsiTheme="minorHAnsi" w:cstheme="minorHAnsi"/>
        </w:rPr>
        <w:t xml:space="preserve">or Board Contract Year </w:t>
      </w:r>
      <w:r w:rsidR="00C80972" w:rsidRPr="002D07B8">
        <w:rPr>
          <w:rFonts w:asciiTheme="minorHAnsi" w:hAnsiTheme="minorHAnsi" w:cstheme="minorHAnsi"/>
        </w:rPr>
        <w:t>2020</w:t>
      </w:r>
    </w:p>
    <w:p w14:paraId="429895CD" w14:textId="77777777" w:rsidR="00986868" w:rsidRPr="002D07B8" w:rsidRDefault="00BC06D2" w:rsidP="00986868">
      <w:pPr>
        <w:pStyle w:val="Heading1"/>
        <w:rPr>
          <w:rFonts w:asciiTheme="minorHAnsi" w:hAnsiTheme="minorHAnsi" w:cstheme="minorHAnsi"/>
        </w:rPr>
      </w:pPr>
      <w:r w:rsidRPr="002D07B8">
        <w:rPr>
          <w:rFonts w:asciiTheme="minorHAnsi" w:hAnsiTheme="minorHAnsi" w:cstheme="minorHAnsi"/>
        </w:rPr>
        <w:t>Introduction</w:t>
      </w:r>
    </w:p>
    <w:p w14:paraId="429895CE" w14:textId="0B9630B0" w:rsidR="00120BB2" w:rsidRPr="002D07B8" w:rsidRDefault="00B11152" w:rsidP="005A3171">
      <w:pPr>
        <w:spacing w:after="120"/>
        <w:rPr>
          <w:rFonts w:asciiTheme="minorHAnsi" w:hAnsiTheme="minorHAnsi" w:cstheme="minorHAnsi"/>
          <w:szCs w:val="22"/>
        </w:rPr>
      </w:pPr>
      <w:r w:rsidRPr="002D07B8">
        <w:rPr>
          <w:rFonts w:asciiTheme="minorHAnsi" w:hAnsiTheme="minorHAnsi" w:cstheme="minorHAnsi"/>
          <w:szCs w:val="22"/>
        </w:rPr>
        <w:t>T</w:t>
      </w:r>
      <w:r w:rsidR="007A3084" w:rsidRPr="002D07B8">
        <w:rPr>
          <w:rFonts w:asciiTheme="minorHAnsi" w:hAnsiTheme="minorHAnsi" w:cstheme="minorHAnsi"/>
          <w:szCs w:val="22"/>
        </w:rPr>
        <w:t>oday, staff presen</w:t>
      </w:r>
      <w:r w:rsidR="00574C7A" w:rsidRPr="002D07B8">
        <w:rPr>
          <w:rFonts w:asciiTheme="minorHAnsi" w:hAnsiTheme="minorHAnsi" w:cstheme="minorHAnsi"/>
          <w:szCs w:val="22"/>
        </w:rPr>
        <w:t xml:space="preserve">t BCY20 performance expectation recommendations; that is </w:t>
      </w:r>
      <w:r w:rsidRPr="002D07B8">
        <w:rPr>
          <w:rFonts w:asciiTheme="minorHAnsi" w:hAnsiTheme="minorHAnsi" w:cstheme="minorHAnsi"/>
          <w:szCs w:val="22"/>
        </w:rPr>
        <w:t xml:space="preserve">target </w:t>
      </w:r>
      <w:r w:rsidR="002F4CBC" w:rsidRPr="002D07B8">
        <w:rPr>
          <w:rFonts w:asciiTheme="minorHAnsi" w:hAnsiTheme="minorHAnsi" w:cstheme="minorHAnsi"/>
          <w:szCs w:val="22"/>
        </w:rPr>
        <w:t xml:space="preserve">and target methodology </w:t>
      </w:r>
      <w:r w:rsidR="007A3084" w:rsidRPr="002D07B8">
        <w:rPr>
          <w:rFonts w:asciiTheme="minorHAnsi" w:hAnsiTheme="minorHAnsi" w:cstheme="minorHAnsi"/>
          <w:szCs w:val="22"/>
        </w:rPr>
        <w:t xml:space="preserve">recommendations </w:t>
      </w:r>
      <w:r w:rsidRPr="002D07B8">
        <w:rPr>
          <w:rFonts w:asciiTheme="minorHAnsi" w:hAnsiTheme="minorHAnsi" w:cstheme="minorHAnsi"/>
          <w:szCs w:val="22"/>
        </w:rPr>
        <w:t>for</w:t>
      </w:r>
      <w:r w:rsidR="007A3084" w:rsidRPr="002D07B8">
        <w:rPr>
          <w:rFonts w:asciiTheme="minorHAnsi" w:hAnsiTheme="minorHAnsi" w:cstheme="minorHAnsi"/>
          <w:szCs w:val="22"/>
        </w:rPr>
        <w:t xml:space="preserve"> </w:t>
      </w:r>
      <w:r w:rsidR="00FB0804" w:rsidRPr="002D07B8">
        <w:rPr>
          <w:rFonts w:asciiTheme="minorHAnsi" w:hAnsiTheme="minorHAnsi" w:cstheme="minorHAnsi"/>
          <w:szCs w:val="22"/>
        </w:rPr>
        <w:t>eight</w:t>
      </w:r>
      <w:r w:rsidR="00120BB2" w:rsidRPr="002D07B8">
        <w:rPr>
          <w:rFonts w:asciiTheme="minorHAnsi" w:hAnsiTheme="minorHAnsi" w:cstheme="minorHAnsi"/>
          <w:szCs w:val="22"/>
        </w:rPr>
        <w:t xml:space="preserve"> </w:t>
      </w:r>
      <w:r w:rsidR="007A3084" w:rsidRPr="002D07B8">
        <w:rPr>
          <w:rFonts w:asciiTheme="minorHAnsi" w:hAnsiTheme="minorHAnsi" w:cstheme="minorHAnsi"/>
          <w:szCs w:val="22"/>
        </w:rPr>
        <w:t xml:space="preserve">measures: </w:t>
      </w:r>
    </w:p>
    <w:p w14:paraId="429895CF" w14:textId="77777777" w:rsidR="00C55AA6" w:rsidRPr="002D07B8" w:rsidRDefault="00C55AA6" w:rsidP="00C55AA6">
      <w:pPr>
        <w:pStyle w:val="ListParagraph"/>
        <w:numPr>
          <w:ilvl w:val="0"/>
          <w:numId w:val="32"/>
        </w:numPr>
        <w:spacing w:after="120"/>
        <w:rPr>
          <w:rFonts w:asciiTheme="minorHAnsi" w:hAnsiTheme="minorHAnsi" w:cstheme="minorHAnsi"/>
          <w:szCs w:val="22"/>
        </w:rPr>
      </w:pPr>
      <w:bookmarkStart w:id="1" w:name="_Hlk521949044"/>
      <w:r w:rsidRPr="002D07B8">
        <w:rPr>
          <w:rFonts w:asciiTheme="minorHAnsi" w:hAnsiTheme="minorHAnsi" w:cstheme="minorHAnsi"/>
          <w:szCs w:val="22"/>
        </w:rPr>
        <w:t xml:space="preserve">4 WIOA-based </w:t>
      </w:r>
      <w:r w:rsidR="00C12480" w:rsidRPr="002D07B8">
        <w:rPr>
          <w:rFonts w:asciiTheme="minorHAnsi" w:hAnsiTheme="minorHAnsi" w:cstheme="minorHAnsi"/>
          <w:szCs w:val="22"/>
        </w:rPr>
        <w:t>Me</w:t>
      </w:r>
      <w:r w:rsidRPr="002D07B8">
        <w:rPr>
          <w:rFonts w:asciiTheme="minorHAnsi" w:hAnsiTheme="minorHAnsi" w:cstheme="minorHAnsi"/>
          <w:szCs w:val="22"/>
        </w:rPr>
        <w:t xml:space="preserve">asures: </w:t>
      </w:r>
    </w:p>
    <w:p w14:paraId="429895D0" w14:textId="77777777" w:rsidR="00120BB2" w:rsidRPr="002D07B8" w:rsidRDefault="00120BB2" w:rsidP="00C55AA6">
      <w:pPr>
        <w:pStyle w:val="ListParagraph"/>
        <w:numPr>
          <w:ilvl w:val="1"/>
          <w:numId w:val="32"/>
        </w:numPr>
        <w:spacing w:after="120"/>
        <w:rPr>
          <w:rFonts w:asciiTheme="minorHAnsi" w:hAnsiTheme="minorHAnsi" w:cstheme="minorHAnsi"/>
          <w:szCs w:val="22"/>
        </w:rPr>
      </w:pPr>
      <w:r w:rsidRPr="002D07B8">
        <w:rPr>
          <w:rFonts w:asciiTheme="minorHAnsi" w:hAnsiTheme="minorHAnsi" w:cstheme="minorHAnsi"/>
          <w:szCs w:val="22"/>
        </w:rPr>
        <w:t>Employed/Enrolled Q2 Post-Exit</w:t>
      </w:r>
      <w:r w:rsidR="00C55AA6" w:rsidRPr="002D07B8">
        <w:rPr>
          <w:rFonts w:asciiTheme="minorHAnsi" w:hAnsiTheme="minorHAnsi" w:cstheme="minorHAnsi"/>
          <w:szCs w:val="22"/>
        </w:rPr>
        <w:t xml:space="preserve"> – All Participants</w:t>
      </w:r>
    </w:p>
    <w:p w14:paraId="429895D1" w14:textId="77777777" w:rsidR="00120BB2" w:rsidRPr="002D07B8" w:rsidRDefault="00120BB2" w:rsidP="00C55AA6">
      <w:pPr>
        <w:pStyle w:val="ListParagraph"/>
        <w:numPr>
          <w:ilvl w:val="1"/>
          <w:numId w:val="32"/>
        </w:numPr>
        <w:spacing w:after="120"/>
        <w:rPr>
          <w:rFonts w:asciiTheme="minorHAnsi" w:hAnsiTheme="minorHAnsi" w:cstheme="minorHAnsi"/>
          <w:szCs w:val="22"/>
        </w:rPr>
      </w:pPr>
      <w:r w:rsidRPr="002D07B8">
        <w:rPr>
          <w:rFonts w:asciiTheme="minorHAnsi" w:hAnsiTheme="minorHAnsi" w:cstheme="minorHAnsi"/>
          <w:szCs w:val="22"/>
        </w:rPr>
        <w:t>Employed/Enrolled Q2</w:t>
      </w:r>
      <w:r w:rsidR="001B26FC" w:rsidRPr="002D07B8">
        <w:rPr>
          <w:rFonts w:asciiTheme="minorHAnsi" w:hAnsiTheme="minorHAnsi" w:cstheme="minorHAnsi"/>
          <w:szCs w:val="22"/>
        </w:rPr>
        <w:t>-4</w:t>
      </w:r>
      <w:r w:rsidRPr="002D07B8">
        <w:rPr>
          <w:rFonts w:asciiTheme="minorHAnsi" w:hAnsiTheme="minorHAnsi" w:cstheme="minorHAnsi"/>
          <w:szCs w:val="22"/>
        </w:rPr>
        <w:t xml:space="preserve"> Post-Exit</w:t>
      </w:r>
      <w:r w:rsidR="00C55AA6" w:rsidRPr="002D07B8">
        <w:rPr>
          <w:rFonts w:asciiTheme="minorHAnsi" w:hAnsiTheme="minorHAnsi" w:cstheme="minorHAnsi"/>
          <w:szCs w:val="22"/>
        </w:rPr>
        <w:t xml:space="preserve"> – All Participants</w:t>
      </w:r>
    </w:p>
    <w:p w14:paraId="429895D2" w14:textId="77777777" w:rsidR="003935BE" w:rsidRPr="002D07B8" w:rsidRDefault="003935BE" w:rsidP="00C55AA6">
      <w:pPr>
        <w:pStyle w:val="ListParagraph"/>
        <w:numPr>
          <w:ilvl w:val="1"/>
          <w:numId w:val="32"/>
        </w:numPr>
        <w:spacing w:after="120"/>
        <w:rPr>
          <w:rFonts w:asciiTheme="minorHAnsi" w:hAnsiTheme="minorHAnsi" w:cstheme="minorHAnsi"/>
          <w:szCs w:val="22"/>
        </w:rPr>
      </w:pPr>
      <w:r w:rsidRPr="002D07B8">
        <w:rPr>
          <w:rFonts w:asciiTheme="minorHAnsi" w:hAnsiTheme="minorHAnsi" w:cstheme="minorHAnsi"/>
          <w:szCs w:val="22"/>
        </w:rPr>
        <w:t>Credential Rate – All Participants</w:t>
      </w:r>
    </w:p>
    <w:p w14:paraId="429895D3" w14:textId="77777777" w:rsidR="00C55AA6" w:rsidRPr="002D07B8" w:rsidRDefault="00C55AA6" w:rsidP="00C55AA6">
      <w:pPr>
        <w:pStyle w:val="ListParagraph"/>
        <w:numPr>
          <w:ilvl w:val="1"/>
          <w:numId w:val="32"/>
        </w:numPr>
        <w:spacing w:after="120"/>
        <w:rPr>
          <w:rFonts w:asciiTheme="minorHAnsi" w:hAnsiTheme="minorHAnsi" w:cstheme="minorHAnsi"/>
          <w:szCs w:val="22"/>
        </w:rPr>
      </w:pPr>
      <w:r w:rsidRPr="002D07B8">
        <w:rPr>
          <w:rFonts w:asciiTheme="minorHAnsi" w:hAnsiTheme="minorHAnsi" w:cstheme="minorHAnsi"/>
          <w:szCs w:val="22"/>
        </w:rPr>
        <w:t>Median Earnings Q2 Post-Exit – All Participants</w:t>
      </w:r>
    </w:p>
    <w:p w14:paraId="429895D4" w14:textId="77777777" w:rsidR="00C55AA6" w:rsidRPr="002D07B8" w:rsidRDefault="00C55AA6" w:rsidP="00C55AA6">
      <w:pPr>
        <w:pStyle w:val="ListParagraph"/>
        <w:numPr>
          <w:ilvl w:val="0"/>
          <w:numId w:val="32"/>
        </w:numPr>
        <w:spacing w:after="120"/>
        <w:rPr>
          <w:rFonts w:asciiTheme="minorHAnsi" w:hAnsiTheme="minorHAnsi" w:cstheme="minorHAnsi"/>
          <w:szCs w:val="22"/>
        </w:rPr>
      </w:pPr>
      <w:r w:rsidRPr="002D07B8">
        <w:rPr>
          <w:rFonts w:asciiTheme="minorHAnsi" w:hAnsiTheme="minorHAnsi" w:cstheme="minorHAnsi"/>
          <w:szCs w:val="22"/>
        </w:rPr>
        <w:t>Choices Full Work Rate</w:t>
      </w:r>
    </w:p>
    <w:p w14:paraId="429895D5" w14:textId="77777777" w:rsidR="00C55AA6" w:rsidRPr="002D07B8" w:rsidRDefault="00482B47" w:rsidP="00C55AA6">
      <w:pPr>
        <w:pStyle w:val="ListParagraph"/>
        <w:numPr>
          <w:ilvl w:val="0"/>
          <w:numId w:val="32"/>
        </w:numPr>
        <w:spacing w:after="120"/>
        <w:rPr>
          <w:rFonts w:asciiTheme="minorHAnsi" w:hAnsiTheme="minorHAnsi" w:cstheme="minorHAnsi"/>
          <w:szCs w:val="22"/>
        </w:rPr>
      </w:pPr>
      <w:r w:rsidRPr="002D07B8">
        <w:rPr>
          <w:rFonts w:asciiTheme="minorHAnsi" w:hAnsiTheme="minorHAnsi" w:cstheme="minorHAnsi"/>
          <w:szCs w:val="22"/>
        </w:rPr>
        <w:t xml:space="preserve"># of </w:t>
      </w:r>
      <w:r w:rsidR="00C55AA6" w:rsidRPr="002D07B8">
        <w:rPr>
          <w:rFonts w:asciiTheme="minorHAnsi" w:hAnsiTheme="minorHAnsi" w:cstheme="minorHAnsi"/>
          <w:szCs w:val="22"/>
        </w:rPr>
        <w:t>Employers Receiving Workforce Assistance</w:t>
      </w:r>
    </w:p>
    <w:p w14:paraId="429895D6" w14:textId="744A15E9" w:rsidR="00C55AA6" w:rsidRPr="002D07B8" w:rsidRDefault="00C55AA6" w:rsidP="00C55AA6">
      <w:pPr>
        <w:pStyle w:val="ListParagraph"/>
        <w:numPr>
          <w:ilvl w:val="0"/>
          <w:numId w:val="32"/>
        </w:numPr>
        <w:spacing w:after="120"/>
        <w:rPr>
          <w:rFonts w:asciiTheme="minorHAnsi" w:hAnsiTheme="minorHAnsi" w:cstheme="minorHAnsi"/>
          <w:szCs w:val="22"/>
        </w:rPr>
      </w:pPr>
      <w:r w:rsidRPr="002D07B8">
        <w:rPr>
          <w:rFonts w:asciiTheme="minorHAnsi" w:hAnsiTheme="minorHAnsi" w:cstheme="minorHAnsi"/>
          <w:szCs w:val="22"/>
        </w:rPr>
        <w:t>Claimant Reemployment within 10 Weeks</w:t>
      </w:r>
    </w:p>
    <w:p w14:paraId="59378361" w14:textId="7E334E71" w:rsidR="00733269" w:rsidRPr="002D07B8" w:rsidRDefault="00733269" w:rsidP="00C55AA6">
      <w:pPr>
        <w:pStyle w:val="ListParagraph"/>
        <w:numPr>
          <w:ilvl w:val="0"/>
          <w:numId w:val="32"/>
        </w:numPr>
        <w:spacing w:after="120"/>
        <w:rPr>
          <w:rFonts w:asciiTheme="minorHAnsi" w:hAnsiTheme="minorHAnsi" w:cstheme="minorHAnsi"/>
          <w:szCs w:val="22"/>
        </w:rPr>
      </w:pPr>
      <w:r w:rsidRPr="002D07B8">
        <w:rPr>
          <w:rFonts w:asciiTheme="minorHAnsi" w:hAnsiTheme="minorHAnsi" w:cstheme="minorHAnsi"/>
          <w:szCs w:val="22"/>
        </w:rPr>
        <w:t>Average Kids Served Per Day</w:t>
      </w:r>
    </w:p>
    <w:bookmarkEnd w:id="1"/>
    <w:p w14:paraId="429895D7" w14:textId="475B5493" w:rsidR="00C55AA6" w:rsidRPr="002D07B8" w:rsidRDefault="00C80972" w:rsidP="00C55AA6">
      <w:pPr>
        <w:pStyle w:val="Heading1"/>
        <w:rPr>
          <w:rFonts w:asciiTheme="minorHAnsi" w:hAnsiTheme="minorHAnsi" w:cstheme="minorHAnsi"/>
        </w:rPr>
      </w:pPr>
      <w:r w:rsidRPr="002D07B8">
        <w:rPr>
          <w:rFonts w:asciiTheme="minorHAnsi" w:hAnsiTheme="minorHAnsi" w:cstheme="minorHAnsi"/>
        </w:rPr>
        <w:t>BCY20</w:t>
      </w:r>
      <w:r w:rsidR="001548D3" w:rsidRPr="002D07B8">
        <w:rPr>
          <w:rFonts w:asciiTheme="minorHAnsi" w:hAnsiTheme="minorHAnsi" w:cstheme="minorHAnsi"/>
        </w:rPr>
        <w:t xml:space="preserve"> </w:t>
      </w:r>
      <w:r w:rsidR="004B1BF7" w:rsidRPr="002D07B8">
        <w:rPr>
          <w:rFonts w:asciiTheme="minorHAnsi" w:hAnsiTheme="minorHAnsi" w:cstheme="minorHAnsi"/>
        </w:rPr>
        <w:t xml:space="preserve">Targets for </w:t>
      </w:r>
      <w:r w:rsidR="00C55AA6" w:rsidRPr="002D07B8">
        <w:rPr>
          <w:rFonts w:asciiTheme="minorHAnsi" w:hAnsiTheme="minorHAnsi" w:cstheme="minorHAnsi"/>
        </w:rPr>
        <w:t>WIOA-Based All Participant Measures</w:t>
      </w:r>
    </w:p>
    <w:p w14:paraId="429895D8" w14:textId="35F4FA5D" w:rsidR="00C55AA6" w:rsidRPr="002D07B8" w:rsidRDefault="003935BE" w:rsidP="00C55AA6">
      <w:pPr>
        <w:spacing w:after="120"/>
        <w:rPr>
          <w:rFonts w:asciiTheme="minorHAnsi" w:hAnsiTheme="minorHAnsi" w:cstheme="minorHAnsi"/>
        </w:rPr>
      </w:pPr>
      <w:r w:rsidRPr="002D07B8">
        <w:rPr>
          <w:rFonts w:asciiTheme="minorHAnsi" w:hAnsiTheme="minorHAnsi" w:cstheme="minorHAnsi"/>
          <w:szCs w:val="22"/>
        </w:rPr>
        <w:t xml:space="preserve">The first </w:t>
      </w:r>
      <w:r w:rsidR="00B52E28" w:rsidRPr="002D07B8">
        <w:rPr>
          <w:rFonts w:asciiTheme="minorHAnsi" w:hAnsiTheme="minorHAnsi" w:cstheme="minorHAnsi"/>
          <w:szCs w:val="22"/>
        </w:rPr>
        <w:t>three</w:t>
      </w:r>
      <w:r w:rsidRPr="002D07B8">
        <w:rPr>
          <w:rFonts w:asciiTheme="minorHAnsi" w:hAnsiTheme="minorHAnsi" w:cstheme="minorHAnsi"/>
          <w:szCs w:val="22"/>
        </w:rPr>
        <w:t xml:space="preserve"> WIOA-based measures </w:t>
      </w:r>
      <w:r w:rsidR="00C12480" w:rsidRPr="002D07B8">
        <w:rPr>
          <w:rFonts w:asciiTheme="minorHAnsi" w:hAnsiTheme="minorHAnsi" w:cstheme="minorHAnsi"/>
          <w:szCs w:val="22"/>
        </w:rPr>
        <w:t xml:space="preserve">are now </w:t>
      </w:r>
      <w:r w:rsidR="00406BF2" w:rsidRPr="002D07B8">
        <w:rPr>
          <w:rFonts w:asciiTheme="minorHAnsi" w:hAnsiTheme="minorHAnsi" w:cstheme="minorHAnsi"/>
          <w:szCs w:val="22"/>
        </w:rPr>
        <w:t xml:space="preserve">included in </w:t>
      </w:r>
      <w:r w:rsidR="00C12480" w:rsidRPr="002D07B8">
        <w:rPr>
          <w:rFonts w:asciiTheme="minorHAnsi" w:hAnsiTheme="minorHAnsi" w:cstheme="minorHAnsi"/>
          <w:szCs w:val="22"/>
        </w:rPr>
        <w:t>TWC</w:t>
      </w:r>
      <w:r w:rsidR="00406BF2" w:rsidRPr="002D07B8">
        <w:rPr>
          <w:rFonts w:asciiTheme="minorHAnsi" w:hAnsiTheme="minorHAnsi" w:cstheme="minorHAnsi"/>
          <w:szCs w:val="22"/>
        </w:rPr>
        <w:t>’s</w:t>
      </w:r>
      <w:r w:rsidR="00C12480" w:rsidRPr="002D07B8">
        <w:rPr>
          <w:rFonts w:asciiTheme="minorHAnsi" w:hAnsiTheme="minorHAnsi" w:cstheme="minorHAnsi"/>
          <w:szCs w:val="22"/>
        </w:rPr>
        <w:t xml:space="preserve"> official measures in the General Appropriations Act </w:t>
      </w:r>
      <w:r w:rsidR="00C80972" w:rsidRPr="002D07B8">
        <w:rPr>
          <w:rFonts w:asciiTheme="minorHAnsi" w:hAnsiTheme="minorHAnsi" w:cstheme="minorHAnsi"/>
          <w:szCs w:val="22"/>
        </w:rPr>
        <w:t xml:space="preserve">(GAA) </w:t>
      </w:r>
      <w:r w:rsidR="000A1FD0" w:rsidRPr="002D07B8">
        <w:rPr>
          <w:rFonts w:asciiTheme="minorHAnsi" w:hAnsiTheme="minorHAnsi" w:cstheme="minorHAnsi"/>
          <w:szCs w:val="22"/>
        </w:rPr>
        <w:t xml:space="preserve">and we recommend that </w:t>
      </w:r>
      <w:r w:rsidR="00C80972" w:rsidRPr="002D07B8">
        <w:rPr>
          <w:rFonts w:asciiTheme="minorHAnsi" w:hAnsiTheme="minorHAnsi" w:cstheme="minorHAnsi"/>
          <w:szCs w:val="22"/>
        </w:rPr>
        <w:t>targets be set at the levels prescribed in the GAA</w:t>
      </w:r>
      <w:r w:rsidR="000A1FD0" w:rsidRPr="002D07B8">
        <w:rPr>
          <w:rFonts w:asciiTheme="minorHAnsi" w:hAnsiTheme="minorHAnsi" w:cstheme="minorHAnsi"/>
          <w:szCs w:val="22"/>
        </w:rPr>
        <w:t xml:space="preserve"> for each Board</w:t>
      </w:r>
      <w:r w:rsidR="00C12480" w:rsidRPr="002D07B8">
        <w:rPr>
          <w:rFonts w:asciiTheme="minorHAnsi" w:hAnsiTheme="minorHAnsi" w:cstheme="minorHAnsi"/>
          <w:szCs w:val="22"/>
        </w:rPr>
        <w:t>.  The 4</w:t>
      </w:r>
      <w:r w:rsidR="00C12480" w:rsidRPr="002D07B8">
        <w:rPr>
          <w:rFonts w:asciiTheme="minorHAnsi" w:hAnsiTheme="minorHAnsi" w:cstheme="minorHAnsi"/>
          <w:szCs w:val="22"/>
          <w:vertAlign w:val="superscript"/>
        </w:rPr>
        <w:t>th</w:t>
      </w:r>
      <w:r w:rsidR="00C12480" w:rsidRPr="002D07B8">
        <w:rPr>
          <w:rFonts w:asciiTheme="minorHAnsi" w:hAnsiTheme="minorHAnsi" w:cstheme="minorHAnsi"/>
          <w:szCs w:val="22"/>
        </w:rPr>
        <w:t xml:space="preserve"> measure, Median Earnings Q2 Post-Exit does not have a statewide target and so we recommend using the methodology from </w:t>
      </w:r>
      <w:r w:rsidR="00C80972" w:rsidRPr="002D07B8">
        <w:rPr>
          <w:rFonts w:asciiTheme="minorHAnsi" w:hAnsiTheme="minorHAnsi" w:cstheme="minorHAnsi"/>
          <w:szCs w:val="22"/>
        </w:rPr>
        <w:t xml:space="preserve">the </w:t>
      </w:r>
      <w:r w:rsidR="00C12480" w:rsidRPr="002D07B8">
        <w:rPr>
          <w:rFonts w:asciiTheme="minorHAnsi" w:hAnsiTheme="minorHAnsi" w:cstheme="minorHAnsi"/>
          <w:szCs w:val="22"/>
        </w:rPr>
        <w:t xml:space="preserve">last </w:t>
      </w:r>
      <w:r w:rsidR="00C80972" w:rsidRPr="002D07B8">
        <w:rPr>
          <w:rFonts w:asciiTheme="minorHAnsi" w:hAnsiTheme="minorHAnsi" w:cstheme="minorHAnsi"/>
          <w:szCs w:val="22"/>
        </w:rPr>
        <w:t xml:space="preserve">two </w:t>
      </w:r>
      <w:r w:rsidR="00C12480" w:rsidRPr="002D07B8">
        <w:rPr>
          <w:rFonts w:asciiTheme="minorHAnsi" w:hAnsiTheme="minorHAnsi" w:cstheme="minorHAnsi"/>
          <w:szCs w:val="22"/>
        </w:rPr>
        <w:t>year</w:t>
      </w:r>
      <w:r w:rsidR="00C80972" w:rsidRPr="002D07B8">
        <w:rPr>
          <w:rFonts w:asciiTheme="minorHAnsi" w:hAnsiTheme="minorHAnsi" w:cstheme="minorHAnsi"/>
          <w:szCs w:val="22"/>
        </w:rPr>
        <w:t>s</w:t>
      </w:r>
      <w:r w:rsidR="00C12480" w:rsidRPr="002D07B8">
        <w:rPr>
          <w:rFonts w:asciiTheme="minorHAnsi" w:hAnsiTheme="minorHAnsi" w:cstheme="minorHAnsi"/>
          <w:szCs w:val="22"/>
        </w:rPr>
        <w:t xml:space="preserve"> in which we </w:t>
      </w:r>
      <w:r w:rsidR="00C12480" w:rsidRPr="002D07B8">
        <w:rPr>
          <w:rFonts w:asciiTheme="minorHAnsi" w:hAnsiTheme="minorHAnsi" w:cstheme="minorHAnsi"/>
        </w:rPr>
        <w:t>developed targets based on the average level of performance over the last several years, slightly weighted towards more recent performance</w:t>
      </w:r>
      <w:r w:rsidR="00C80972" w:rsidRPr="002D07B8">
        <w:rPr>
          <w:rFonts w:asciiTheme="minorHAnsi" w:hAnsiTheme="minorHAnsi" w:cstheme="minorHAnsi"/>
        </w:rPr>
        <w:t>.</w:t>
      </w:r>
      <w:r w:rsidR="000C4616" w:rsidRPr="002D07B8">
        <w:rPr>
          <w:rFonts w:asciiTheme="minorHAnsi" w:hAnsiTheme="minorHAnsi" w:cstheme="minorHAnsi"/>
        </w:rPr>
        <w:t xml:space="preserve">  </w:t>
      </w:r>
      <w:r w:rsidR="000C4616" w:rsidRPr="002D07B8">
        <w:rPr>
          <w:rFonts w:asciiTheme="minorHAnsi" w:hAnsiTheme="minorHAnsi" w:cstheme="minorHAnsi"/>
          <w:u w:val="single"/>
        </w:rPr>
        <w:t xml:space="preserve">The table on </w:t>
      </w:r>
      <w:r w:rsidR="0063471A" w:rsidRPr="002D07B8">
        <w:rPr>
          <w:rFonts w:asciiTheme="minorHAnsi" w:hAnsiTheme="minorHAnsi" w:cstheme="minorHAnsi"/>
          <w:u w:val="single"/>
        </w:rPr>
        <w:t>Page</w:t>
      </w:r>
      <w:r w:rsidR="000C4616" w:rsidRPr="002D07B8">
        <w:rPr>
          <w:rFonts w:asciiTheme="minorHAnsi" w:hAnsiTheme="minorHAnsi" w:cstheme="minorHAnsi"/>
          <w:u w:val="single"/>
        </w:rPr>
        <w:t xml:space="preserve"> </w:t>
      </w:r>
      <w:r w:rsidR="00694EEE" w:rsidRPr="002D07B8">
        <w:rPr>
          <w:rFonts w:asciiTheme="minorHAnsi" w:hAnsiTheme="minorHAnsi" w:cstheme="minorHAnsi"/>
          <w:u w:val="single"/>
        </w:rPr>
        <w:t>3</w:t>
      </w:r>
      <w:r w:rsidR="000C4616" w:rsidRPr="002D07B8">
        <w:rPr>
          <w:rFonts w:asciiTheme="minorHAnsi" w:hAnsiTheme="minorHAnsi" w:cstheme="minorHAnsi"/>
          <w:u w:val="single"/>
        </w:rPr>
        <w:t xml:space="preserve"> shows the data used to set these targets</w:t>
      </w:r>
      <w:r w:rsidR="004315D0" w:rsidRPr="002D07B8">
        <w:rPr>
          <w:rFonts w:asciiTheme="minorHAnsi" w:hAnsiTheme="minorHAnsi" w:cstheme="minorHAnsi"/>
          <w:u w:val="single"/>
        </w:rPr>
        <w:t>.</w:t>
      </w:r>
    </w:p>
    <w:p w14:paraId="429895D9" w14:textId="5A8320A8" w:rsidR="00AB7E8E" w:rsidRPr="002D07B8" w:rsidRDefault="00AB7E8E" w:rsidP="00C55AA6">
      <w:pPr>
        <w:spacing w:after="120"/>
        <w:rPr>
          <w:rFonts w:asciiTheme="minorHAnsi" w:hAnsiTheme="minorHAnsi" w:cstheme="minorHAnsi"/>
        </w:rPr>
      </w:pPr>
      <w:r w:rsidRPr="002D07B8">
        <w:rPr>
          <w:rFonts w:asciiTheme="minorHAnsi" w:hAnsiTheme="minorHAnsi" w:cstheme="minorHAnsi"/>
        </w:rPr>
        <w:t xml:space="preserve">Note that the program-specific WIOA measures </w:t>
      </w:r>
      <w:r w:rsidR="00A15495" w:rsidRPr="002D07B8">
        <w:rPr>
          <w:rFonts w:asciiTheme="minorHAnsi" w:hAnsiTheme="minorHAnsi" w:cstheme="minorHAnsi"/>
        </w:rPr>
        <w:t>were set last fall thru the WIOA-required negotiation process and require no further action at this time</w:t>
      </w:r>
      <w:r w:rsidR="001548D3" w:rsidRPr="002D07B8">
        <w:rPr>
          <w:rFonts w:asciiTheme="minorHAnsi" w:hAnsiTheme="minorHAnsi" w:cstheme="minorHAnsi"/>
        </w:rPr>
        <w:t>.</w:t>
      </w:r>
    </w:p>
    <w:p w14:paraId="429895DA" w14:textId="408B101E" w:rsidR="00986868" w:rsidRPr="002D07B8" w:rsidRDefault="001548D3" w:rsidP="00986868">
      <w:pPr>
        <w:pStyle w:val="Heading1"/>
        <w:rPr>
          <w:rFonts w:asciiTheme="minorHAnsi" w:hAnsiTheme="minorHAnsi" w:cstheme="minorHAnsi"/>
        </w:rPr>
      </w:pPr>
      <w:r w:rsidRPr="002D07B8">
        <w:rPr>
          <w:rFonts w:asciiTheme="minorHAnsi" w:hAnsiTheme="minorHAnsi" w:cstheme="minorHAnsi"/>
        </w:rPr>
        <w:t>BCY</w:t>
      </w:r>
      <w:r w:rsidR="00A15495" w:rsidRPr="002D07B8">
        <w:rPr>
          <w:rFonts w:asciiTheme="minorHAnsi" w:hAnsiTheme="minorHAnsi" w:cstheme="minorHAnsi"/>
        </w:rPr>
        <w:t>20</w:t>
      </w:r>
      <w:r w:rsidRPr="002D07B8">
        <w:rPr>
          <w:rFonts w:asciiTheme="minorHAnsi" w:hAnsiTheme="minorHAnsi" w:cstheme="minorHAnsi"/>
        </w:rPr>
        <w:t xml:space="preserve"> </w:t>
      </w:r>
      <w:r w:rsidR="0055320A" w:rsidRPr="002D07B8">
        <w:rPr>
          <w:rFonts w:asciiTheme="minorHAnsi" w:hAnsiTheme="minorHAnsi" w:cstheme="minorHAnsi"/>
        </w:rPr>
        <w:t>Target</w:t>
      </w:r>
      <w:r w:rsidR="00497AEC" w:rsidRPr="002D07B8">
        <w:rPr>
          <w:rFonts w:asciiTheme="minorHAnsi" w:hAnsiTheme="minorHAnsi" w:cstheme="minorHAnsi"/>
        </w:rPr>
        <w:t>s</w:t>
      </w:r>
      <w:r w:rsidR="0055320A" w:rsidRPr="002D07B8">
        <w:rPr>
          <w:rFonts w:asciiTheme="minorHAnsi" w:hAnsiTheme="minorHAnsi" w:cstheme="minorHAnsi"/>
        </w:rPr>
        <w:t xml:space="preserve"> </w:t>
      </w:r>
      <w:r w:rsidR="0019262A" w:rsidRPr="002D07B8">
        <w:rPr>
          <w:rFonts w:asciiTheme="minorHAnsi" w:hAnsiTheme="minorHAnsi" w:cstheme="minorHAnsi"/>
        </w:rPr>
        <w:t xml:space="preserve">for </w:t>
      </w:r>
      <w:r w:rsidR="00B11152" w:rsidRPr="002D07B8">
        <w:rPr>
          <w:rFonts w:asciiTheme="minorHAnsi" w:hAnsiTheme="minorHAnsi" w:cstheme="minorHAnsi"/>
        </w:rPr>
        <w:t>Choices Full-Work Rate</w:t>
      </w:r>
    </w:p>
    <w:p w14:paraId="429895DB" w14:textId="55F80E58" w:rsidR="00B11152" w:rsidRPr="002D07B8" w:rsidRDefault="00B11152" w:rsidP="005A3171">
      <w:pPr>
        <w:spacing w:after="120"/>
        <w:rPr>
          <w:rFonts w:asciiTheme="minorHAnsi" w:hAnsiTheme="minorHAnsi" w:cstheme="minorHAnsi"/>
          <w:szCs w:val="22"/>
        </w:rPr>
      </w:pPr>
      <w:r w:rsidRPr="002D07B8">
        <w:rPr>
          <w:rFonts w:asciiTheme="minorHAnsi" w:hAnsiTheme="minorHAnsi" w:cstheme="minorHAnsi"/>
          <w:szCs w:val="22"/>
        </w:rPr>
        <w:t xml:space="preserve">This is the Commission’s </w:t>
      </w:r>
      <w:r w:rsidR="00A15495" w:rsidRPr="002D07B8">
        <w:rPr>
          <w:rFonts w:asciiTheme="minorHAnsi" w:hAnsiTheme="minorHAnsi" w:cstheme="minorHAnsi"/>
          <w:szCs w:val="22"/>
        </w:rPr>
        <w:t>8</w:t>
      </w:r>
      <w:r w:rsidRPr="002D07B8">
        <w:rPr>
          <w:rFonts w:asciiTheme="minorHAnsi" w:hAnsiTheme="minorHAnsi" w:cstheme="minorHAnsi"/>
          <w:szCs w:val="22"/>
        </w:rPr>
        <w:t>th year using this measure with the expectation that targets would escalate over time</w:t>
      </w:r>
      <w:r w:rsidR="00760FEB" w:rsidRPr="002D07B8">
        <w:rPr>
          <w:rFonts w:asciiTheme="minorHAnsi" w:hAnsiTheme="minorHAnsi" w:cstheme="minorHAnsi"/>
          <w:szCs w:val="22"/>
        </w:rPr>
        <w:t>,</w:t>
      </w:r>
      <w:r w:rsidRPr="002D07B8">
        <w:rPr>
          <w:rFonts w:asciiTheme="minorHAnsi" w:hAnsiTheme="minorHAnsi" w:cstheme="minorHAnsi"/>
          <w:szCs w:val="22"/>
        </w:rPr>
        <w:t xml:space="preserve"> until all Boards would eventually have targets of 50%. </w:t>
      </w:r>
      <w:r w:rsidR="00A15495" w:rsidRPr="002D07B8">
        <w:rPr>
          <w:rFonts w:asciiTheme="minorHAnsi" w:hAnsiTheme="minorHAnsi" w:cstheme="minorHAnsi"/>
          <w:szCs w:val="22"/>
        </w:rPr>
        <w:t xml:space="preserve"> At this point, all Boards have demonstrated the </w:t>
      </w:r>
      <w:r w:rsidR="00D66CDD" w:rsidRPr="002D07B8">
        <w:rPr>
          <w:rFonts w:asciiTheme="minorHAnsi" w:hAnsiTheme="minorHAnsi" w:cstheme="minorHAnsi"/>
          <w:szCs w:val="22"/>
        </w:rPr>
        <w:t>ability</w:t>
      </w:r>
      <w:r w:rsidR="00C76504" w:rsidRPr="002D07B8">
        <w:rPr>
          <w:rFonts w:asciiTheme="minorHAnsi" w:hAnsiTheme="minorHAnsi" w:cstheme="minorHAnsi"/>
          <w:szCs w:val="22"/>
        </w:rPr>
        <w:t xml:space="preserve"> to meet the</w:t>
      </w:r>
      <w:r w:rsidR="00A15495" w:rsidRPr="002D07B8">
        <w:rPr>
          <w:rFonts w:asciiTheme="minorHAnsi" w:hAnsiTheme="minorHAnsi" w:cstheme="minorHAnsi"/>
          <w:szCs w:val="22"/>
        </w:rPr>
        <w:t xml:space="preserve"> 50% target and thus staff recommend a</w:t>
      </w:r>
      <w:r w:rsidR="00D66CDD" w:rsidRPr="002D07B8">
        <w:rPr>
          <w:rFonts w:asciiTheme="minorHAnsi" w:hAnsiTheme="minorHAnsi" w:cstheme="minorHAnsi"/>
          <w:szCs w:val="22"/>
        </w:rPr>
        <w:t>ll Boards be set at 50% for BCY20.</w:t>
      </w:r>
      <w:r w:rsidRPr="002D07B8">
        <w:rPr>
          <w:rFonts w:asciiTheme="minorHAnsi" w:hAnsiTheme="minorHAnsi" w:cstheme="minorHAnsi"/>
          <w:szCs w:val="22"/>
        </w:rPr>
        <w:t xml:space="preserve">  </w:t>
      </w:r>
      <w:r w:rsidR="00C12973" w:rsidRPr="002D07B8">
        <w:rPr>
          <w:rFonts w:asciiTheme="minorHAnsi" w:hAnsiTheme="minorHAnsi" w:cstheme="minorHAnsi"/>
          <w:szCs w:val="22"/>
          <w:u w:val="single"/>
        </w:rPr>
        <w:t>The table on</w:t>
      </w:r>
      <w:r w:rsidR="00C32235" w:rsidRPr="002D07B8">
        <w:rPr>
          <w:rFonts w:asciiTheme="minorHAnsi" w:hAnsiTheme="minorHAnsi" w:cstheme="minorHAnsi"/>
          <w:szCs w:val="22"/>
          <w:u w:val="single"/>
        </w:rPr>
        <w:t xml:space="preserve"> Page </w:t>
      </w:r>
      <w:r w:rsidR="00694EEE" w:rsidRPr="002D07B8">
        <w:rPr>
          <w:rFonts w:asciiTheme="minorHAnsi" w:hAnsiTheme="minorHAnsi" w:cstheme="minorHAnsi"/>
          <w:szCs w:val="22"/>
          <w:u w:val="single"/>
        </w:rPr>
        <w:t>4</w:t>
      </w:r>
      <w:r w:rsidR="00C12973" w:rsidRPr="002D07B8">
        <w:rPr>
          <w:rFonts w:asciiTheme="minorHAnsi" w:hAnsiTheme="minorHAnsi" w:cstheme="minorHAnsi"/>
          <w:szCs w:val="22"/>
          <w:u w:val="single"/>
        </w:rPr>
        <w:t xml:space="preserve"> of this material</w:t>
      </w:r>
      <w:r w:rsidRPr="002D07B8">
        <w:rPr>
          <w:rFonts w:asciiTheme="minorHAnsi" w:hAnsiTheme="minorHAnsi" w:cstheme="minorHAnsi"/>
          <w:szCs w:val="22"/>
          <w:u w:val="single"/>
        </w:rPr>
        <w:t xml:space="preserve"> shows each Board’s recent rolling 12-month performance </w:t>
      </w:r>
      <w:r w:rsidR="00497AEC" w:rsidRPr="002D07B8">
        <w:rPr>
          <w:rFonts w:asciiTheme="minorHAnsi" w:hAnsiTheme="minorHAnsi" w:cstheme="minorHAnsi"/>
          <w:szCs w:val="22"/>
          <w:u w:val="single"/>
        </w:rPr>
        <w:t>data</w:t>
      </w:r>
      <w:r w:rsidR="00EC42D0" w:rsidRPr="002D07B8">
        <w:rPr>
          <w:rFonts w:asciiTheme="minorHAnsi" w:hAnsiTheme="minorHAnsi" w:cstheme="minorHAnsi"/>
          <w:szCs w:val="22"/>
          <w:u w:val="single"/>
        </w:rPr>
        <w:t>,</w:t>
      </w:r>
      <w:r w:rsidR="00497AEC" w:rsidRPr="002D07B8">
        <w:rPr>
          <w:rFonts w:asciiTheme="minorHAnsi" w:hAnsiTheme="minorHAnsi" w:cstheme="minorHAnsi"/>
          <w:szCs w:val="22"/>
          <w:u w:val="single"/>
        </w:rPr>
        <w:t xml:space="preserve"> as well as both </w:t>
      </w:r>
      <w:r w:rsidR="00173693" w:rsidRPr="002D07B8">
        <w:rPr>
          <w:rFonts w:asciiTheme="minorHAnsi" w:hAnsiTheme="minorHAnsi" w:cstheme="minorHAnsi"/>
          <w:szCs w:val="22"/>
          <w:u w:val="single"/>
        </w:rPr>
        <w:t>B</w:t>
      </w:r>
      <w:r w:rsidRPr="002D07B8">
        <w:rPr>
          <w:rFonts w:asciiTheme="minorHAnsi" w:hAnsiTheme="minorHAnsi" w:cstheme="minorHAnsi"/>
          <w:szCs w:val="22"/>
          <w:u w:val="single"/>
        </w:rPr>
        <w:t>CY1</w:t>
      </w:r>
      <w:r w:rsidR="002561F0" w:rsidRPr="002D07B8">
        <w:rPr>
          <w:rFonts w:asciiTheme="minorHAnsi" w:hAnsiTheme="minorHAnsi" w:cstheme="minorHAnsi"/>
          <w:szCs w:val="22"/>
          <w:u w:val="single"/>
        </w:rPr>
        <w:t>8</w:t>
      </w:r>
      <w:r w:rsidRPr="002D07B8">
        <w:rPr>
          <w:rFonts w:asciiTheme="minorHAnsi" w:hAnsiTheme="minorHAnsi" w:cstheme="minorHAnsi"/>
          <w:szCs w:val="22"/>
          <w:u w:val="single"/>
        </w:rPr>
        <w:t xml:space="preserve"> and proposed BCY1</w:t>
      </w:r>
      <w:r w:rsidR="002561F0" w:rsidRPr="002D07B8">
        <w:rPr>
          <w:rFonts w:asciiTheme="minorHAnsi" w:hAnsiTheme="minorHAnsi" w:cstheme="minorHAnsi"/>
          <w:szCs w:val="22"/>
          <w:u w:val="single"/>
        </w:rPr>
        <w:t>9</w:t>
      </w:r>
      <w:r w:rsidRPr="002D07B8">
        <w:rPr>
          <w:rFonts w:asciiTheme="minorHAnsi" w:hAnsiTheme="minorHAnsi" w:cstheme="minorHAnsi"/>
          <w:szCs w:val="22"/>
          <w:u w:val="single"/>
        </w:rPr>
        <w:t xml:space="preserve"> targets.</w:t>
      </w:r>
      <w:r w:rsidR="00AB7E8E" w:rsidRPr="002D07B8">
        <w:rPr>
          <w:rFonts w:asciiTheme="minorHAnsi" w:hAnsiTheme="minorHAnsi" w:cstheme="minorHAnsi"/>
          <w:szCs w:val="22"/>
          <w:u w:val="single"/>
        </w:rPr>
        <w:t xml:space="preserve"> </w:t>
      </w:r>
      <w:r w:rsidR="00AB7E8E" w:rsidRPr="002D07B8">
        <w:rPr>
          <w:rFonts w:asciiTheme="minorHAnsi" w:hAnsiTheme="minorHAnsi" w:cstheme="minorHAnsi"/>
          <w:szCs w:val="22"/>
        </w:rPr>
        <w:t xml:space="preserve"> </w:t>
      </w:r>
    </w:p>
    <w:p w14:paraId="42989649" w14:textId="169DCF77" w:rsidR="004B1BF7" w:rsidRPr="002D07B8" w:rsidRDefault="004B1BF7" w:rsidP="004B1BF7">
      <w:pPr>
        <w:pStyle w:val="Heading1"/>
        <w:rPr>
          <w:rFonts w:asciiTheme="minorHAnsi" w:hAnsiTheme="minorHAnsi" w:cstheme="minorHAnsi"/>
        </w:rPr>
      </w:pPr>
      <w:r w:rsidRPr="002D07B8">
        <w:rPr>
          <w:rFonts w:asciiTheme="minorHAnsi" w:hAnsiTheme="minorHAnsi" w:cstheme="minorHAnsi"/>
        </w:rPr>
        <w:t>BCY</w:t>
      </w:r>
      <w:r w:rsidR="00A001C2" w:rsidRPr="002D07B8">
        <w:rPr>
          <w:rFonts w:asciiTheme="minorHAnsi" w:hAnsiTheme="minorHAnsi" w:cstheme="minorHAnsi"/>
        </w:rPr>
        <w:t>20</w:t>
      </w:r>
      <w:r w:rsidRPr="002D07B8">
        <w:rPr>
          <w:rFonts w:asciiTheme="minorHAnsi" w:hAnsiTheme="minorHAnsi" w:cstheme="minorHAnsi"/>
        </w:rPr>
        <w:t xml:space="preserve"> Target </w:t>
      </w:r>
      <w:r w:rsidRPr="002D07B8">
        <w:rPr>
          <w:rFonts w:asciiTheme="minorHAnsi" w:hAnsiTheme="minorHAnsi" w:cstheme="minorHAnsi"/>
          <w:color w:val="FF0000"/>
        </w:rPr>
        <w:t>Methodology</w:t>
      </w:r>
      <w:r w:rsidRPr="002D07B8">
        <w:rPr>
          <w:rFonts w:asciiTheme="minorHAnsi" w:hAnsiTheme="minorHAnsi" w:cstheme="minorHAnsi"/>
        </w:rPr>
        <w:t xml:space="preserve"> for # of Employers Receiving Workforce Assistance</w:t>
      </w:r>
    </w:p>
    <w:p w14:paraId="5C43778B" w14:textId="77777777" w:rsidR="001A25F5" w:rsidRPr="002D07B8" w:rsidRDefault="001A25F5" w:rsidP="001A25F5">
      <w:pPr>
        <w:spacing w:after="120"/>
        <w:rPr>
          <w:rFonts w:asciiTheme="minorHAnsi" w:hAnsiTheme="minorHAnsi" w:cstheme="minorHAnsi"/>
          <w:szCs w:val="22"/>
        </w:rPr>
      </w:pPr>
      <w:r w:rsidRPr="002D07B8">
        <w:rPr>
          <w:rFonts w:asciiTheme="minorHAnsi" w:hAnsiTheme="minorHAnsi" w:cstheme="minorHAnsi"/>
          <w:szCs w:val="22"/>
        </w:rPr>
        <w:t>For the last several years, we’ve set targets for this measure by setting two subtargets:</w:t>
      </w:r>
    </w:p>
    <w:p w14:paraId="234DE810" w14:textId="77777777" w:rsidR="001A25F5" w:rsidRPr="002D07B8" w:rsidRDefault="001A25F5" w:rsidP="001A25F5">
      <w:pPr>
        <w:pStyle w:val="ListParagraph"/>
        <w:numPr>
          <w:ilvl w:val="0"/>
          <w:numId w:val="33"/>
        </w:numPr>
        <w:spacing w:after="120"/>
        <w:rPr>
          <w:rFonts w:asciiTheme="minorHAnsi" w:hAnsiTheme="minorHAnsi" w:cstheme="minorHAnsi"/>
          <w:szCs w:val="22"/>
        </w:rPr>
      </w:pPr>
      <w:r w:rsidRPr="002D07B8">
        <w:rPr>
          <w:rFonts w:asciiTheme="minorHAnsi" w:hAnsiTheme="minorHAnsi" w:cstheme="minorHAnsi"/>
          <w:szCs w:val="22"/>
        </w:rPr>
        <w:t>Number of employers in each area that we expect TWC to serve (primarily through the Work Opportunity Tax Credit and Skills Development programs); and</w:t>
      </w:r>
    </w:p>
    <w:p w14:paraId="7ECC7C1C" w14:textId="77777777" w:rsidR="001A25F5" w:rsidRPr="002D07B8" w:rsidRDefault="001A25F5" w:rsidP="001A25F5">
      <w:pPr>
        <w:pStyle w:val="ListParagraph"/>
        <w:numPr>
          <w:ilvl w:val="0"/>
          <w:numId w:val="33"/>
        </w:numPr>
        <w:spacing w:after="120"/>
        <w:rPr>
          <w:rFonts w:asciiTheme="minorHAnsi" w:hAnsiTheme="minorHAnsi" w:cstheme="minorHAnsi"/>
          <w:szCs w:val="22"/>
        </w:rPr>
      </w:pPr>
      <w:r w:rsidRPr="002D07B8">
        <w:rPr>
          <w:rFonts w:asciiTheme="minorHAnsi" w:hAnsiTheme="minorHAnsi" w:cstheme="minorHAnsi"/>
          <w:szCs w:val="22"/>
        </w:rPr>
        <w:t>Number of employers we expect to be served locally (either by local staff or self-service by the employers).</w:t>
      </w:r>
    </w:p>
    <w:p w14:paraId="05C23743" w14:textId="5BB36251" w:rsidR="001A25F5" w:rsidRPr="002D07B8" w:rsidRDefault="001A25F5" w:rsidP="001A25F5">
      <w:pPr>
        <w:spacing w:after="120"/>
        <w:rPr>
          <w:rFonts w:asciiTheme="minorHAnsi" w:hAnsiTheme="minorHAnsi" w:cstheme="minorHAnsi"/>
          <w:szCs w:val="22"/>
        </w:rPr>
      </w:pPr>
      <w:r w:rsidRPr="002D07B8">
        <w:rPr>
          <w:rFonts w:asciiTheme="minorHAnsi" w:hAnsiTheme="minorHAnsi" w:cstheme="minorHAnsi"/>
          <w:szCs w:val="22"/>
        </w:rPr>
        <w:t xml:space="preserve">What this means, however, is that if TWC’s contribution is less than expected, it could set a Board up to fail to meet their target.  Conversely, if TWC’s contribution is greater than expected, a Board could have failed to meet their local target and yet be shown as passing.  Therefore, beginning last year, staff </w:t>
      </w:r>
      <w:proofErr w:type="gramStart"/>
      <w:r w:rsidRPr="002D07B8">
        <w:rPr>
          <w:rFonts w:asciiTheme="minorHAnsi" w:hAnsiTheme="minorHAnsi" w:cstheme="minorHAnsi"/>
          <w:szCs w:val="22"/>
        </w:rPr>
        <w:t>recommended</w:t>
      </w:r>
      <w:proofErr w:type="gramEnd"/>
      <w:r w:rsidRPr="002D07B8">
        <w:rPr>
          <w:rFonts w:asciiTheme="minorHAnsi" w:hAnsiTheme="minorHAnsi" w:cstheme="minorHAnsi"/>
          <w:szCs w:val="22"/>
        </w:rPr>
        <w:t xml:space="preserve"> and the Commission approved a modification to the methodology to allow staff to adjust the targets by updating the subtarget for “TWC Only” served employers from what was expected to what happened.  This ensures that final accountability will only based on the “Local Target” and local performance.</w:t>
      </w:r>
    </w:p>
    <w:p w14:paraId="4298964B" w14:textId="7DFA3596" w:rsidR="00173693" w:rsidRPr="002D07B8" w:rsidRDefault="00694EEE" w:rsidP="00173693">
      <w:pPr>
        <w:spacing w:after="120"/>
        <w:rPr>
          <w:rFonts w:asciiTheme="minorHAnsi" w:hAnsiTheme="minorHAnsi" w:cstheme="minorHAnsi"/>
          <w:szCs w:val="22"/>
        </w:rPr>
      </w:pPr>
      <w:r w:rsidRPr="002D07B8">
        <w:rPr>
          <w:rFonts w:asciiTheme="minorHAnsi" w:hAnsiTheme="minorHAnsi" w:cstheme="minorHAnsi"/>
          <w:szCs w:val="22"/>
        </w:rPr>
        <w:t>In terms of setting the Local Target, s</w:t>
      </w:r>
      <w:r w:rsidR="004B1BF7" w:rsidRPr="002D07B8">
        <w:rPr>
          <w:rFonts w:asciiTheme="minorHAnsi" w:hAnsiTheme="minorHAnsi" w:cstheme="minorHAnsi"/>
          <w:szCs w:val="22"/>
        </w:rPr>
        <w:t xml:space="preserve">taff </w:t>
      </w:r>
      <w:r w:rsidR="004315D0" w:rsidRPr="002D07B8">
        <w:rPr>
          <w:rFonts w:asciiTheme="minorHAnsi" w:hAnsiTheme="minorHAnsi" w:cstheme="minorHAnsi"/>
          <w:szCs w:val="22"/>
        </w:rPr>
        <w:t>r</w:t>
      </w:r>
      <w:r w:rsidR="004B1BF7" w:rsidRPr="002D07B8">
        <w:rPr>
          <w:rFonts w:asciiTheme="minorHAnsi" w:hAnsiTheme="minorHAnsi" w:cstheme="minorHAnsi"/>
          <w:szCs w:val="22"/>
        </w:rPr>
        <w:t xml:space="preserve">ecommend that </w:t>
      </w:r>
      <w:r w:rsidRPr="002D07B8">
        <w:rPr>
          <w:rFonts w:asciiTheme="minorHAnsi" w:hAnsiTheme="minorHAnsi" w:cstheme="minorHAnsi"/>
          <w:szCs w:val="22"/>
        </w:rPr>
        <w:t>the BCY19 Local Targets go</w:t>
      </w:r>
      <w:r w:rsidR="004315D0" w:rsidRPr="002D07B8">
        <w:rPr>
          <w:rFonts w:asciiTheme="minorHAnsi" w:hAnsiTheme="minorHAnsi" w:cstheme="minorHAnsi"/>
          <w:szCs w:val="22"/>
        </w:rPr>
        <w:t xml:space="preserve"> up or down by the percent change in </w:t>
      </w:r>
      <w:r w:rsidR="004B1BF7" w:rsidRPr="002D07B8">
        <w:rPr>
          <w:rFonts w:asciiTheme="minorHAnsi" w:hAnsiTheme="minorHAnsi" w:cstheme="minorHAnsi"/>
          <w:szCs w:val="22"/>
        </w:rPr>
        <w:t xml:space="preserve">the number of employer establishments </w:t>
      </w:r>
      <w:r w:rsidR="004315D0" w:rsidRPr="002D07B8">
        <w:rPr>
          <w:rFonts w:asciiTheme="minorHAnsi" w:hAnsiTheme="minorHAnsi" w:cstheme="minorHAnsi"/>
          <w:szCs w:val="22"/>
        </w:rPr>
        <w:t>in each Board area and accounting for changes</w:t>
      </w:r>
      <w:r w:rsidRPr="002D07B8">
        <w:rPr>
          <w:rFonts w:asciiTheme="minorHAnsi" w:hAnsiTheme="minorHAnsi" w:cstheme="minorHAnsi"/>
          <w:szCs w:val="22"/>
        </w:rPr>
        <w:t xml:space="preserve"> as we did last year</w:t>
      </w:r>
      <w:r w:rsidR="004315D0" w:rsidRPr="002D07B8">
        <w:rPr>
          <w:rFonts w:asciiTheme="minorHAnsi" w:hAnsiTheme="minorHAnsi" w:cstheme="minorHAnsi"/>
          <w:szCs w:val="22"/>
        </w:rPr>
        <w:t xml:space="preserve">. Statewide, there was a </w:t>
      </w:r>
      <w:r w:rsidR="001A25F5" w:rsidRPr="002D07B8">
        <w:rPr>
          <w:rFonts w:asciiTheme="minorHAnsi" w:hAnsiTheme="minorHAnsi" w:cstheme="minorHAnsi"/>
          <w:szCs w:val="22"/>
        </w:rPr>
        <w:t>2.4</w:t>
      </w:r>
      <w:r w:rsidR="004315D0" w:rsidRPr="002D07B8">
        <w:rPr>
          <w:rFonts w:asciiTheme="minorHAnsi" w:hAnsiTheme="minorHAnsi" w:cstheme="minorHAnsi"/>
          <w:szCs w:val="22"/>
        </w:rPr>
        <w:t>% increase in employer establishments identified by LMCI using the last 2 years of data.</w:t>
      </w:r>
      <w:r w:rsidR="00AB7E8E" w:rsidRPr="002D07B8">
        <w:rPr>
          <w:rFonts w:asciiTheme="minorHAnsi" w:hAnsiTheme="minorHAnsi" w:cstheme="minorHAnsi"/>
          <w:szCs w:val="22"/>
        </w:rPr>
        <w:t xml:space="preserve">  </w:t>
      </w:r>
      <w:r w:rsidR="00AB7E8E" w:rsidRPr="002D07B8">
        <w:rPr>
          <w:rFonts w:asciiTheme="minorHAnsi" w:hAnsiTheme="minorHAnsi" w:cstheme="minorHAnsi"/>
          <w:szCs w:val="22"/>
          <w:u w:val="single"/>
        </w:rPr>
        <w:t xml:space="preserve">Page </w:t>
      </w:r>
      <w:r w:rsidRPr="002D07B8">
        <w:rPr>
          <w:rFonts w:asciiTheme="minorHAnsi" w:hAnsiTheme="minorHAnsi" w:cstheme="minorHAnsi"/>
          <w:szCs w:val="22"/>
          <w:u w:val="single"/>
        </w:rPr>
        <w:t>5</w:t>
      </w:r>
      <w:r w:rsidR="00C32235" w:rsidRPr="002D07B8">
        <w:rPr>
          <w:rFonts w:asciiTheme="minorHAnsi" w:hAnsiTheme="minorHAnsi" w:cstheme="minorHAnsi"/>
          <w:szCs w:val="22"/>
          <w:u w:val="single"/>
        </w:rPr>
        <w:t xml:space="preserve"> </w:t>
      </w:r>
      <w:r w:rsidR="00AB7E8E" w:rsidRPr="002D07B8">
        <w:rPr>
          <w:rFonts w:asciiTheme="minorHAnsi" w:hAnsiTheme="minorHAnsi" w:cstheme="minorHAnsi"/>
          <w:szCs w:val="22"/>
          <w:u w:val="single"/>
        </w:rPr>
        <w:t>shows the material used to set these targets and the final targets themselves.</w:t>
      </w:r>
    </w:p>
    <w:p w14:paraId="4298964C" w14:textId="54ACE119" w:rsidR="00986868" w:rsidRPr="002D07B8" w:rsidRDefault="0019262A" w:rsidP="00986868">
      <w:pPr>
        <w:pStyle w:val="Heading1"/>
        <w:rPr>
          <w:rFonts w:asciiTheme="minorHAnsi" w:hAnsiTheme="minorHAnsi" w:cstheme="minorHAnsi"/>
        </w:rPr>
      </w:pPr>
      <w:r w:rsidRPr="002D07B8">
        <w:rPr>
          <w:rFonts w:asciiTheme="minorHAnsi" w:hAnsiTheme="minorHAnsi" w:cstheme="minorHAnsi"/>
        </w:rPr>
        <w:lastRenderedPageBreak/>
        <w:t>BCY</w:t>
      </w:r>
      <w:r w:rsidR="00A001C2" w:rsidRPr="002D07B8">
        <w:rPr>
          <w:rFonts w:asciiTheme="minorHAnsi" w:hAnsiTheme="minorHAnsi" w:cstheme="minorHAnsi"/>
        </w:rPr>
        <w:t>20</w:t>
      </w:r>
      <w:r w:rsidRPr="002D07B8">
        <w:rPr>
          <w:rFonts w:asciiTheme="minorHAnsi" w:hAnsiTheme="minorHAnsi" w:cstheme="minorHAnsi"/>
        </w:rPr>
        <w:t xml:space="preserve"> Targ</w:t>
      </w:r>
      <w:r w:rsidR="008C09A8" w:rsidRPr="002D07B8">
        <w:rPr>
          <w:rFonts w:asciiTheme="minorHAnsi" w:hAnsiTheme="minorHAnsi" w:cstheme="minorHAnsi"/>
        </w:rPr>
        <w:t xml:space="preserve">et </w:t>
      </w:r>
      <w:r w:rsidR="008C09A8" w:rsidRPr="002D07B8">
        <w:rPr>
          <w:rFonts w:asciiTheme="minorHAnsi" w:hAnsiTheme="minorHAnsi" w:cstheme="minorHAnsi"/>
          <w:color w:val="FF0000"/>
        </w:rPr>
        <w:t>Methodology</w:t>
      </w:r>
      <w:r w:rsidRPr="002D07B8">
        <w:rPr>
          <w:rFonts w:asciiTheme="minorHAnsi" w:hAnsiTheme="minorHAnsi" w:cstheme="minorHAnsi"/>
        </w:rPr>
        <w:t xml:space="preserve"> for </w:t>
      </w:r>
      <w:r w:rsidR="007A3084" w:rsidRPr="002D07B8">
        <w:rPr>
          <w:rFonts w:asciiTheme="minorHAnsi" w:hAnsiTheme="minorHAnsi" w:cstheme="minorHAnsi"/>
        </w:rPr>
        <w:t>Claimant Reemployment within 10 Weeks</w:t>
      </w:r>
    </w:p>
    <w:p w14:paraId="4298964D" w14:textId="77777777" w:rsidR="00282C57" w:rsidRPr="002D07B8" w:rsidRDefault="00173693" w:rsidP="005A3171">
      <w:pPr>
        <w:spacing w:after="120"/>
        <w:rPr>
          <w:rFonts w:asciiTheme="minorHAnsi" w:hAnsiTheme="minorHAnsi" w:cstheme="minorHAnsi"/>
          <w:szCs w:val="22"/>
        </w:rPr>
      </w:pPr>
      <w:r w:rsidRPr="002D07B8">
        <w:rPr>
          <w:rFonts w:asciiTheme="minorHAnsi" w:hAnsiTheme="minorHAnsi" w:cstheme="minorHAnsi"/>
          <w:szCs w:val="22"/>
        </w:rPr>
        <w:t xml:space="preserve">For the past few years, TWC has used a “blended target” approach to set performance targets on this measure.  </w:t>
      </w:r>
      <w:r w:rsidR="004B1BF7" w:rsidRPr="002D07B8">
        <w:rPr>
          <w:rFonts w:asciiTheme="minorHAnsi" w:hAnsiTheme="minorHAnsi" w:cstheme="minorHAnsi"/>
          <w:szCs w:val="22"/>
        </w:rPr>
        <w:t xml:space="preserve">The blend was based on setting subtargets for each of five </w:t>
      </w:r>
      <w:r w:rsidR="00C956CD" w:rsidRPr="002D07B8">
        <w:rPr>
          <w:rFonts w:asciiTheme="minorHAnsi" w:hAnsiTheme="minorHAnsi" w:cstheme="minorHAnsi"/>
          <w:szCs w:val="22"/>
        </w:rPr>
        <w:t xml:space="preserve">unique types of claims that </w:t>
      </w:r>
      <w:r w:rsidR="004B1BF7" w:rsidRPr="002D07B8">
        <w:rPr>
          <w:rFonts w:asciiTheme="minorHAnsi" w:hAnsiTheme="minorHAnsi" w:cstheme="minorHAnsi"/>
          <w:szCs w:val="22"/>
        </w:rPr>
        <w:t xml:space="preserve">we found generally have </w:t>
      </w:r>
      <w:r w:rsidR="00C956CD" w:rsidRPr="002D07B8">
        <w:rPr>
          <w:rFonts w:asciiTheme="minorHAnsi" w:hAnsiTheme="minorHAnsi" w:cstheme="minorHAnsi"/>
          <w:szCs w:val="22"/>
        </w:rPr>
        <w:t>different levels of performance:</w:t>
      </w:r>
    </w:p>
    <w:p w14:paraId="4298964E" w14:textId="77777777" w:rsidR="00C956CD" w:rsidRPr="002D07B8" w:rsidRDefault="00C956CD" w:rsidP="00C956CD">
      <w:pPr>
        <w:pStyle w:val="ListParagraph"/>
        <w:numPr>
          <w:ilvl w:val="0"/>
          <w:numId w:val="31"/>
        </w:numPr>
        <w:spacing w:after="120"/>
        <w:rPr>
          <w:rFonts w:asciiTheme="minorHAnsi" w:hAnsiTheme="minorHAnsi" w:cstheme="minorHAnsi"/>
          <w:szCs w:val="22"/>
        </w:rPr>
      </w:pPr>
      <w:r w:rsidRPr="002D07B8">
        <w:rPr>
          <w:rFonts w:asciiTheme="minorHAnsi" w:hAnsiTheme="minorHAnsi" w:cstheme="minorHAnsi"/>
          <w:szCs w:val="22"/>
        </w:rPr>
        <w:t>UCX claims</w:t>
      </w:r>
    </w:p>
    <w:p w14:paraId="4298964F" w14:textId="77777777" w:rsidR="00C956CD" w:rsidRPr="002D07B8" w:rsidRDefault="00C956CD" w:rsidP="00C956CD">
      <w:pPr>
        <w:pStyle w:val="ListParagraph"/>
        <w:numPr>
          <w:ilvl w:val="0"/>
          <w:numId w:val="31"/>
        </w:numPr>
        <w:spacing w:after="120"/>
        <w:rPr>
          <w:rFonts w:asciiTheme="minorHAnsi" w:hAnsiTheme="minorHAnsi" w:cstheme="minorHAnsi"/>
          <w:szCs w:val="22"/>
        </w:rPr>
      </w:pPr>
      <w:r w:rsidRPr="002D07B8">
        <w:rPr>
          <w:rFonts w:asciiTheme="minorHAnsi" w:hAnsiTheme="minorHAnsi" w:cstheme="minorHAnsi"/>
          <w:szCs w:val="22"/>
        </w:rPr>
        <w:t>Federal Employment Claims</w:t>
      </w:r>
    </w:p>
    <w:p w14:paraId="42989650" w14:textId="77777777" w:rsidR="00C956CD" w:rsidRPr="002D07B8" w:rsidRDefault="00C956CD" w:rsidP="00C956CD">
      <w:pPr>
        <w:pStyle w:val="ListParagraph"/>
        <w:numPr>
          <w:ilvl w:val="0"/>
          <w:numId w:val="31"/>
        </w:numPr>
        <w:spacing w:after="120"/>
        <w:rPr>
          <w:rFonts w:asciiTheme="minorHAnsi" w:hAnsiTheme="minorHAnsi" w:cstheme="minorHAnsi"/>
          <w:szCs w:val="22"/>
        </w:rPr>
      </w:pPr>
      <w:r w:rsidRPr="002D07B8">
        <w:rPr>
          <w:rFonts w:asciiTheme="minorHAnsi" w:hAnsiTheme="minorHAnsi" w:cstheme="minorHAnsi"/>
          <w:szCs w:val="22"/>
        </w:rPr>
        <w:t>Oil/Gas Texas Regular Claims</w:t>
      </w:r>
    </w:p>
    <w:p w14:paraId="42989651" w14:textId="77777777" w:rsidR="00C956CD" w:rsidRPr="002D07B8" w:rsidRDefault="00C956CD" w:rsidP="00C956CD">
      <w:pPr>
        <w:pStyle w:val="ListParagraph"/>
        <w:numPr>
          <w:ilvl w:val="0"/>
          <w:numId w:val="31"/>
        </w:numPr>
        <w:spacing w:after="120"/>
        <w:rPr>
          <w:rFonts w:asciiTheme="minorHAnsi" w:hAnsiTheme="minorHAnsi" w:cstheme="minorHAnsi"/>
          <w:szCs w:val="22"/>
        </w:rPr>
      </w:pPr>
      <w:r w:rsidRPr="002D07B8">
        <w:rPr>
          <w:rFonts w:asciiTheme="minorHAnsi" w:hAnsiTheme="minorHAnsi" w:cstheme="minorHAnsi"/>
          <w:szCs w:val="22"/>
        </w:rPr>
        <w:t>Non-Oil/Gas Texas Regular Claims</w:t>
      </w:r>
    </w:p>
    <w:p w14:paraId="42989652" w14:textId="77777777" w:rsidR="00C956CD" w:rsidRPr="002D07B8" w:rsidRDefault="00C956CD" w:rsidP="00C956CD">
      <w:pPr>
        <w:pStyle w:val="ListParagraph"/>
        <w:numPr>
          <w:ilvl w:val="0"/>
          <w:numId w:val="31"/>
        </w:numPr>
        <w:spacing w:after="120"/>
        <w:rPr>
          <w:rFonts w:asciiTheme="minorHAnsi" w:hAnsiTheme="minorHAnsi" w:cstheme="minorHAnsi"/>
          <w:szCs w:val="22"/>
        </w:rPr>
      </w:pPr>
      <w:r w:rsidRPr="002D07B8">
        <w:rPr>
          <w:rFonts w:asciiTheme="minorHAnsi" w:hAnsiTheme="minorHAnsi" w:cstheme="minorHAnsi"/>
          <w:szCs w:val="22"/>
        </w:rPr>
        <w:t>Texas Regular Claims where Industry was Unknown (not in any of the other 4 categories)</w:t>
      </w:r>
    </w:p>
    <w:p w14:paraId="42989653" w14:textId="77777777" w:rsidR="00C956CD" w:rsidRPr="002D07B8" w:rsidRDefault="004B1BF7" w:rsidP="00C956CD">
      <w:pPr>
        <w:spacing w:after="120"/>
        <w:rPr>
          <w:rFonts w:asciiTheme="minorHAnsi" w:hAnsiTheme="minorHAnsi" w:cstheme="minorHAnsi"/>
          <w:szCs w:val="22"/>
        </w:rPr>
      </w:pPr>
      <w:r w:rsidRPr="002D07B8">
        <w:rPr>
          <w:rFonts w:asciiTheme="minorHAnsi" w:hAnsiTheme="minorHAnsi" w:cstheme="minorHAnsi"/>
          <w:szCs w:val="22"/>
        </w:rPr>
        <w:t xml:space="preserve">What we found in developing that methodology was that </w:t>
      </w:r>
      <w:r w:rsidR="00F004D3" w:rsidRPr="002D07B8">
        <w:rPr>
          <w:rFonts w:asciiTheme="minorHAnsi" w:hAnsiTheme="minorHAnsi" w:cstheme="minorHAnsi"/>
          <w:szCs w:val="22"/>
        </w:rPr>
        <w:t>UCX, Oil/</w:t>
      </w:r>
      <w:r w:rsidR="00C956CD" w:rsidRPr="002D07B8">
        <w:rPr>
          <w:rFonts w:asciiTheme="minorHAnsi" w:hAnsiTheme="minorHAnsi" w:cstheme="minorHAnsi"/>
          <w:szCs w:val="22"/>
        </w:rPr>
        <w:t xml:space="preserve">Gas, and Unknown Industry claims </w:t>
      </w:r>
      <w:r w:rsidR="00F004D3" w:rsidRPr="002D07B8">
        <w:rPr>
          <w:rFonts w:asciiTheme="minorHAnsi" w:hAnsiTheme="minorHAnsi" w:cstheme="minorHAnsi"/>
          <w:szCs w:val="22"/>
        </w:rPr>
        <w:t>tended to run lower than the overall level</w:t>
      </w:r>
      <w:r w:rsidR="00406BF2" w:rsidRPr="002D07B8">
        <w:rPr>
          <w:rFonts w:asciiTheme="minorHAnsi" w:hAnsiTheme="minorHAnsi" w:cstheme="minorHAnsi"/>
          <w:szCs w:val="22"/>
        </w:rPr>
        <w:t>,</w:t>
      </w:r>
      <w:r w:rsidR="00F004D3" w:rsidRPr="002D07B8">
        <w:rPr>
          <w:rFonts w:asciiTheme="minorHAnsi" w:hAnsiTheme="minorHAnsi" w:cstheme="minorHAnsi"/>
          <w:szCs w:val="22"/>
        </w:rPr>
        <w:t xml:space="preserve"> while </w:t>
      </w:r>
      <w:r w:rsidR="00997FA8" w:rsidRPr="002D07B8">
        <w:rPr>
          <w:rFonts w:asciiTheme="minorHAnsi" w:hAnsiTheme="minorHAnsi" w:cstheme="minorHAnsi"/>
          <w:szCs w:val="22"/>
        </w:rPr>
        <w:t>F</w:t>
      </w:r>
      <w:r w:rsidR="00F004D3" w:rsidRPr="002D07B8">
        <w:rPr>
          <w:rFonts w:asciiTheme="minorHAnsi" w:hAnsiTheme="minorHAnsi" w:cstheme="minorHAnsi"/>
          <w:szCs w:val="22"/>
        </w:rPr>
        <w:t>ederal claims tended to run above the overall average and the Non-Oil/Gas claims t</w:t>
      </w:r>
      <w:r w:rsidR="00997FA8" w:rsidRPr="002D07B8">
        <w:rPr>
          <w:rFonts w:asciiTheme="minorHAnsi" w:hAnsiTheme="minorHAnsi" w:cstheme="minorHAnsi"/>
          <w:szCs w:val="22"/>
        </w:rPr>
        <w:t>r</w:t>
      </w:r>
      <w:r w:rsidR="00F004D3" w:rsidRPr="002D07B8">
        <w:rPr>
          <w:rFonts w:asciiTheme="minorHAnsi" w:hAnsiTheme="minorHAnsi" w:cstheme="minorHAnsi"/>
          <w:szCs w:val="22"/>
        </w:rPr>
        <w:t>ended most closely to the overall performance (which is not surprising consider</w:t>
      </w:r>
      <w:r w:rsidR="00997FA8" w:rsidRPr="002D07B8">
        <w:rPr>
          <w:rFonts w:asciiTheme="minorHAnsi" w:hAnsiTheme="minorHAnsi" w:cstheme="minorHAnsi"/>
          <w:szCs w:val="22"/>
        </w:rPr>
        <w:t>ing</w:t>
      </w:r>
      <w:r w:rsidR="00F004D3" w:rsidRPr="002D07B8">
        <w:rPr>
          <w:rFonts w:asciiTheme="minorHAnsi" w:hAnsiTheme="minorHAnsi" w:cstheme="minorHAnsi"/>
          <w:szCs w:val="22"/>
        </w:rPr>
        <w:t xml:space="preserve"> they make up the overwhelming majority of claims)</w:t>
      </w:r>
      <w:r w:rsidR="007E10EF" w:rsidRPr="002D07B8">
        <w:rPr>
          <w:rFonts w:asciiTheme="minorHAnsi" w:hAnsiTheme="minorHAnsi" w:cstheme="minorHAnsi"/>
          <w:szCs w:val="22"/>
        </w:rPr>
        <w:t xml:space="preserve">. </w:t>
      </w:r>
      <w:r w:rsidR="004F3D54" w:rsidRPr="002D07B8">
        <w:rPr>
          <w:rFonts w:asciiTheme="minorHAnsi" w:hAnsiTheme="minorHAnsi" w:cstheme="minorHAnsi"/>
          <w:szCs w:val="22"/>
        </w:rPr>
        <w:t xml:space="preserve"> </w:t>
      </w:r>
      <w:r w:rsidR="007E10EF" w:rsidRPr="002D07B8">
        <w:rPr>
          <w:rFonts w:asciiTheme="minorHAnsi" w:hAnsiTheme="minorHAnsi" w:cstheme="minorHAnsi"/>
          <w:szCs w:val="22"/>
        </w:rPr>
        <w:t>In addition, we found a lot of variance from Board to Board</w:t>
      </w:r>
      <w:r w:rsidR="00F004D3" w:rsidRPr="002D07B8">
        <w:rPr>
          <w:rFonts w:asciiTheme="minorHAnsi" w:hAnsiTheme="minorHAnsi" w:cstheme="minorHAnsi"/>
          <w:szCs w:val="22"/>
        </w:rPr>
        <w:t>:</w:t>
      </w:r>
    </w:p>
    <w:tbl>
      <w:tblPr>
        <w:tblW w:w="10601" w:type="dxa"/>
        <w:jc w:val="center"/>
        <w:tblLook w:val="04A0" w:firstRow="1" w:lastRow="0" w:firstColumn="1" w:lastColumn="0" w:noHBand="0" w:noVBand="1"/>
        <w:tblDescription w:val="BCY19 Target Variance from Board to Board"/>
      </w:tblPr>
      <w:tblGrid>
        <w:gridCol w:w="3595"/>
        <w:gridCol w:w="1080"/>
        <w:gridCol w:w="1080"/>
        <w:gridCol w:w="1080"/>
        <w:gridCol w:w="1677"/>
        <w:gridCol w:w="1102"/>
        <w:gridCol w:w="987"/>
      </w:tblGrid>
      <w:tr w:rsidR="007E10EF" w:rsidRPr="002D07B8" w14:paraId="4298965B" w14:textId="77777777" w:rsidTr="00037C0C">
        <w:trPr>
          <w:trHeight w:val="300"/>
          <w:jc w:val="center"/>
        </w:trPr>
        <w:tc>
          <w:tcPr>
            <w:tcW w:w="3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89654" w14:textId="77777777" w:rsidR="007E10EF" w:rsidRPr="002D07B8" w:rsidRDefault="007E10EF" w:rsidP="007E10EF">
            <w:pPr>
              <w:rPr>
                <w:rFonts w:asciiTheme="minorHAnsi" w:hAnsiTheme="minorHAnsi" w:cstheme="minorHAnsi"/>
                <w:b/>
                <w:color w:val="000000"/>
                <w:szCs w:val="22"/>
              </w:rPr>
            </w:pPr>
            <w:bookmarkStart w:id="2" w:name="Title_4_BCY19_Target_Variance_Bd_to_Bd"/>
            <w:bookmarkEnd w:id="2"/>
            <w:r w:rsidRPr="002D07B8">
              <w:rPr>
                <w:rFonts w:asciiTheme="minorHAnsi" w:hAnsiTheme="minorHAnsi" w:cstheme="minorHAnsi"/>
                <w:b/>
                <w:color w:val="000000"/>
                <w:szCs w:val="22"/>
              </w:rPr>
              <w:t>Breakouts/Analysis</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2989655" w14:textId="77777777" w:rsidR="007E10EF" w:rsidRPr="002D07B8" w:rsidRDefault="007E10EF" w:rsidP="007E10EF">
            <w:pPr>
              <w:jc w:val="center"/>
              <w:rPr>
                <w:rFonts w:asciiTheme="minorHAnsi" w:hAnsiTheme="minorHAnsi" w:cstheme="minorHAnsi"/>
                <w:b/>
                <w:color w:val="000000"/>
                <w:szCs w:val="22"/>
              </w:rPr>
            </w:pPr>
            <w:r w:rsidRPr="002D07B8">
              <w:rPr>
                <w:rFonts w:asciiTheme="minorHAnsi" w:hAnsiTheme="minorHAnsi" w:cstheme="minorHAnsi"/>
                <w:b/>
                <w:color w:val="000000"/>
                <w:szCs w:val="22"/>
              </w:rPr>
              <w:t>UCX</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2989656" w14:textId="77777777" w:rsidR="007E10EF" w:rsidRPr="002D07B8" w:rsidRDefault="007E10EF" w:rsidP="007E10EF">
            <w:pPr>
              <w:jc w:val="center"/>
              <w:rPr>
                <w:rFonts w:asciiTheme="minorHAnsi" w:hAnsiTheme="minorHAnsi" w:cstheme="minorHAnsi"/>
                <w:b/>
                <w:color w:val="000000"/>
                <w:szCs w:val="22"/>
              </w:rPr>
            </w:pPr>
            <w:r w:rsidRPr="002D07B8">
              <w:rPr>
                <w:rFonts w:asciiTheme="minorHAnsi" w:hAnsiTheme="minorHAnsi" w:cstheme="minorHAnsi"/>
                <w:b/>
                <w:color w:val="000000"/>
                <w:szCs w:val="22"/>
              </w:rPr>
              <w:t>Fed</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2989657" w14:textId="77777777" w:rsidR="007E10EF" w:rsidRPr="002D07B8" w:rsidRDefault="007E10EF" w:rsidP="007E10EF">
            <w:pPr>
              <w:jc w:val="center"/>
              <w:rPr>
                <w:rFonts w:asciiTheme="minorHAnsi" w:hAnsiTheme="minorHAnsi" w:cstheme="minorHAnsi"/>
                <w:b/>
                <w:color w:val="000000"/>
                <w:szCs w:val="22"/>
              </w:rPr>
            </w:pPr>
            <w:r w:rsidRPr="002D07B8">
              <w:rPr>
                <w:rFonts w:asciiTheme="minorHAnsi" w:hAnsiTheme="minorHAnsi" w:cstheme="minorHAnsi"/>
                <w:b/>
                <w:color w:val="000000"/>
                <w:szCs w:val="22"/>
              </w:rPr>
              <w:t>Oil-Gas</w:t>
            </w:r>
          </w:p>
        </w:tc>
        <w:tc>
          <w:tcPr>
            <w:tcW w:w="1677" w:type="dxa"/>
            <w:tcBorders>
              <w:top w:val="single" w:sz="4" w:space="0" w:color="auto"/>
              <w:left w:val="nil"/>
              <w:bottom w:val="single" w:sz="4" w:space="0" w:color="auto"/>
              <w:right w:val="single" w:sz="4" w:space="0" w:color="auto"/>
            </w:tcBorders>
            <w:shd w:val="clear" w:color="auto" w:fill="auto"/>
            <w:noWrap/>
            <w:vAlign w:val="bottom"/>
            <w:hideMark/>
          </w:tcPr>
          <w:p w14:paraId="42989658" w14:textId="77777777" w:rsidR="007E10EF" w:rsidRPr="002D07B8" w:rsidRDefault="007E10EF" w:rsidP="007E10EF">
            <w:pPr>
              <w:jc w:val="center"/>
              <w:rPr>
                <w:rFonts w:asciiTheme="minorHAnsi" w:hAnsiTheme="minorHAnsi" w:cstheme="minorHAnsi"/>
                <w:b/>
                <w:color w:val="000000"/>
                <w:szCs w:val="22"/>
              </w:rPr>
            </w:pPr>
            <w:r w:rsidRPr="002D07B8">
              <w:rPr>
                <w:rFonts w:asciiTheme="minorHAnsi" w:hAnsiTheme="minorHAnsi" w:cstheme="minorHAnsi"/>
                <w:b/>
                <w:color w:val="000000"/>
                <w:szCs w:val="22"/>
              </w:rPr>
              <w:t>Non-Oil-Gas</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14:paraId="42989659" w14:textId="77777777" w:rsidR="007E10EF" w:rsidRPr="002D07B8" w:rsidRDefault="007E10EF" w:rsidP="007E10EF">
            <w:pPr>
              <w:jc w:val="center"/>
              <w:rPr>
                <w:rFonts w:asciiTheme="minorHAnsi" w:hAnsiTheme="minorHAnsi" w:cstheme="minorHAnsi"/>
                <w:b/>
                <w:color w:val="000000"/>
                <w:szCs w:val="22"/>
              </w:rPr>
            </w:pPr>
            <w:r w:rsidRPr="002D07B8">
              <w:rPr>
                <w:rFonts w:asciiTheme="minorHAnsi" w:hAnsiTheme="minorHAnsi" w:cstheme="minorHAnsi"/>
                <w:b/>
                <w:color w:val="000000"/>
                <w:szCs w:val="22"/>
              </w:rPr>
              <w:t>Unknown</w:t>
            </w:r>
          </w:p>
        </w:tc>
        <w:tc>
          <w:tcPr>
            <w:tcW w:w="987" w:type="dxa"/>
            <w:tcBorders>
              <w:top w:val="single" w:sz="4" w:space="0" w:color="auto"/>
              <w:left w:val="nil"/>
              <w:bottom w:val="single" w:sz="4" w:space="0" w:color="auto"/>
              <w:right w:val="single" w:sz="4" w:space="0" w:color="auto"/>
            </w:tcBorders>
            <w:shd w:val="clear" w:color="auto" w:fill="auto"/>
            <w:noWrap/>
            <w:vAlign w:val="bottom"/>
            <w:hideMark/>
          </w:tcPr>
          <w:p w14:paraId="4298965A" w14:textId="77777777" w:rsidR="007E10EF" w:rsidRPr="002D07B8" w:rsidRDefault="007E10EF" w:rsidP="007E10EF">
            <w:pPr>
              <w:jc w:val="center"/>
              <w:rPr>
                <w:rFonts w:asciiTheme="minorHAnsi" w:hAnsiTheme="minorHAnsi" w:cstheme="minorHAnsi"/>
                <w:b/>
                <w:color w:val="000000"/>
                <w:szCs w:val="22"/>
              </w:rPr>
            </w:pPr>
            <w:r w:rsidRPr="002D07B8">
              <w:rPr>
                <w:rFonts w:asciiTheme="minorHAnsi" w:hAnsiTheme="minorHAnsi" w:cstheme="minorHAnsi"/>
                <w:b/>
                <w:color w:val="000000"/>
                <w:szCs w:val="22"/>
              </w:rPr>
              <w:t>Overall</w:t>
            </w:r>
          </w:p>
        </w:tc>
      </w:tr>
      <w:tr w:rsidR="00074E92" w:rsidRPr="002D07B8" w14:paraId="42989663" w14:textId="77777777" w:rsidTr="00037C0C">
        <w:trPr>
          <w:trHeight w:val="300"/>
          <w:jc w:val="center"/>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4298965C" w14:textId="77777777" w:rsidR="00074E92" w:rsidRPr="002D07B8" w:rsidRDefault="00074E92" w:rsidP="00074E92">
            <w:pPr>
              <w:rPr>
                <w:rFonts w:asciiTheme="minorHAnsi" w:hAnsiTheme="minorHAnsi" w:cstheme="minorHAnsi"/>
                <w:b/>
                <w:color w:val="000000"/>
                <w:szCs w:val="22"/>
              </w:rPr>
            </w:pPr>
            <w:r w:rsidRPr="002D07B8">
              <w:rPr>
                <w:rFonts w:asciiTheme="minorHAnsi" w:hAnsiTheme="minorHAnsi" w:cstheme="minorHAnsi"/>
                <w:b/>
                <w:color w:val="000000"/>
                <w:szCs w:val="22"/>
              </w:rPr>
              <w:t>Performance</w:t>
            </w:r>
          </w:p>
        </w:tc>
        <w:tc>
          <w:tcPr>
            <w:tcW w:w="1080" w:type="dxa"/>
            <w:tcBorders>
              <w:top w:val="nil"/>
              <w:left w:val="nil"/>
              <w:bottom w:val="single" w:sz="4" w:space="0" w:color="auto"/>
              <w:right w:val="single" w:sz="4" w:space="0" w:color="auto"/>
            </w:tcBorders>
            <w:shd w:val="clear" w:color="auto" w:fill="auto"/>
            <w:noWrap/>
            <w:vAlign w:val="bottom"/>
            <w:hideMark/>
          </w:tcPr>
          <w:p w14:paraId="4298965D" w14:textId="15575D6D" w:rsidR="00074E92" w:rsidRPr="002D07B8" w:rsidRDefault="00074E92" w:rsidP="00074E92">
            <w:pPr>
              <w:jc w:val="center"/>
              <w:rPr>
                <w:rFonts w:asciiTheme="minorHAnsi" w:hAnsiTheme="minorHAnsi" w:cstheme="minorHAnsi"/>
                <w:color w:val="000000"/>
                <w:szCs w:val="22"/>
              </w:rPr>
            </w:pPr>
            <w:r w:rsidRPr="002D07B8">
              <w:rPr>
                <w:rFonts w:asciiTheme="minorHAnsi" w:hAnsiTheme="minorHAnsi" w:cstheme="minorHAnsi"/>
                <w:color w:val="000000"/>
                <w:szCs w:val="22"/>
              </w:rPr>
              <w:t>54.64%</w:t>
            </w:r>
          </w:p>
        </w:tc>
        <w:tc>
          <w:tcPr>
            <w:tcW w:w="1080" w:type="dxa"/>
            <w:tcBorders>
              <w:top w:val="nil"/>
              <w:left w:val="nil"/>
              <w:bottom w:val="single" w:sz="4" w:space="0" w:color="auto"/>
              <w:right w:val="single" w:sz="4" w:space="0" w:color="auto"/>
            </w:tcBorders>
            <w:shd w:val="clear" w:color="auto" w:fill="auto"/>
            <w:noWrap/>
            <w:vAlign w:val="bottom"/>
            <w:hideMark/>
          </w:tcPr>
          <w:p w14:paraId="4298965E" w14:textId="694CA7E6" w:rsidR="00074E92" w:rsidRPr="002D07B8" w:rsidRDefault="00074E92" w:rsidP="00074E92">
            <w:pPr>
              <w:jc w:val="center"/>
              <w:rPr>
                <w:rFonts w:asciiTheme="minorHAnsi" w:hAnsiTheme="minorHAnsi" w:cstheme="minorHAnsi"/>
                <w:color w:val="000000"/>
                <w:szCs w:val="22"/>
              </w:rPr>
            </w:pPr>
            <w:r w:rsidRPr="002D07B8">
              <w:rPr>
                <w:rFonts w:asciiTheme="minorHAnsi" w:hAnsiTheme="minorHAnsi" w:cstheme="minorHAnsi"/>
                <w:color w:val="000000"/>
                <w:szCs w:val="22"/>
              </w:rPr>
              <w:t>61.48%</w:t>
            </w:r>
          </w:p>
        </w:tc>
        <w:tc>
          <w:tcPr>
            <w:tcW w:w="1080" w:type="dxa"/>
            <w:tcBorders>
              <w:top w:val="nil"/>
              <w:left w:val="nil"/>
              <w:bottom w:val="single" w:sz="4" w:space="0" w:color="auto"/>
              <w:right w:val="single" w:sz="4" w:space="0" w:color="auto"/>
            </w:tcBorders>
            <w:shd w:val="clear" w:color="auto" w:fill="auto"/>
            <w:noWrap/>
            <w:vAlign w:val="bottom"/>
            <w:hideMark/>
          </w:tcPr>
          <w:p w14:paraId="4298965F" w14:textId="6172E1D7" w:rsidR="00074E92" w:rsidRPr="002D07B8" w:rsidRDefault="00074E92" w:rsidP="00074E92">
            <w:pPr>
              <w:jc w:val="center"/>
              <w:rPr>
                <w:rFonts w:asciiTheme="minorHAnsi" w:hAnsiTheme="minorHAnsi" w:cstheme="minorHAnsi"/>
                <w:color w:val="000000"/>
                <w:szCs w:val="22"/>
              </w:rPr>
            </w:pPr>
            <w:r w:rsidRPr="002D07B8">
              <w:rPr>
                <w:rFonts w:asciiTheme="minorHAnsi" w:hAnsiTheme="minorHAnsi" w:cstheme="minorHAnsi"/>
                <w:color w:val="000000"/>
                <w:szCs w:val="22"/>
              </w:rPr>
              <w:t>65.42%</w:t>
            </w:r>
          </w:p>
        </w:tc>
        <w:tc>
          <w:tcPr>
            <w:tcW w:w="1677" w:type="dxa"/>
            <w:tcBorders>
              <w:top w:val="nil"/>
              <w:left w:val="nil"/>
              <w:bottom w:val="single" w:sz="4" w:space="0" w:color="auto"/>
              <w:right w:val="single" w:sz="4" w:space="0" w:color="auto"/>
            </w:tcBorders>
            <w:shd w:val="clear" w:color="auto" w:fill="auto"/>
            <w:noWrap/>
            <w:vAlign w:val="bottom"/>
            <w:hideMark/>
          </w:tcPr>
          <w:p w14:paraId="42989660" w14:textId="610F016D" w:rsidR="00074E92" w:rsidRPr="002D07B8" w:rsidRDefault="00074E92" w:rsidP="00074E92">
            <w:pPr>
              <w:jc w:val="center"/>
              <w:rPr>
                <w:rFonts w:asciiTheme="minorHAnsi" w:hAnsiTheme="minorHAnsi" w:cstheme="minorHAnsi"/>
                <w:color w:val="000000"/>
                <w:szCs w:val="22"/>
              </w:rPr>
            </w:pPr>
            <w:r w:rsidRPr="002D07B8">
              <w:rPr>
                <w:rFonts w:asciiTheme="minorHAnsi" w:hAnsiTheme="minorHAnsi" w:cstheme="minorHAnsi"/>
                <w:color w:val="000000"/>
                <w:szCs w:val="22"/>
              </w:rPr>
              <w:t>58.84%</w:t>
            </w:r>
          </w:p>
        </w:tc>
        <w:tc>
          <w:tcPr>
            <w:tcW w:w="1102" w:type="dxa"/>
            <w:tcBorders>
              <w:top w:val="nil"/>
              <w:left w:val="nil"/>
              <w:bottom w:val="single" w:sz="4" w:space="0" w:color="auto"/>
              <w:right w:val="single" w:sz="4" w:space="0" w:color="auto"/>
            </w:tcBorders>
            <w:shd w:val="clear" w:color="auto" w:fill="auto"/>
            <w:noWrap/>
            <w:vAlign w:val="bottom"/>
            <w:hideMark/>
          </w:tcPr>
          <w:p w14:paraId="42989661" w14:textId="5108786E" w:rsidR="00074E92" w:rsidRPr="002D07B8" w:rsidRDefault="00074E92" w:rsidP="00074E92">
            <w:pPr>
              <w:jc w:val="center"/>
              <w:rPr>
                <w:rFonts w:asciiTheme="minorHAnsi" w:hAnsiTheme="minorHAnsi" w:cstheme="minorHAnsi"/>
                <w:color w:val="000000"/>
                <w:szCs w:val="22"/>
              </w:rPr>
            </w:pPr>
            <w:r w:rsidRPr="002D07B8">
              <w:rPr>
                <w:rFonts w:asciiTheme="minorHAnsi" w:hAnsiTheme="minorHAnsi" w:cstheme="minorHAnsi"/>
                <w:color w:val="000000"/>
                <w:szCs w:val="22"/>
              </w:rPr>
              <w:t>53.30%</w:t>
            </w:r>
          </w:p>
        </w:tc>
        <w:tc>
          <w:tcPr>
            <w:tcW w:w="987" w:type="dxa"/>
            <w:tcBorders>
              <w:top w:val="nil"/>
              <w:left w:val="nil"/>
              <w:bottom w:val="single" w:sz="4" w:space="0" w:color="auto"/>
              <w:right w:val="single" w:sz="4" w:space="0" w:color="auto"/>
            </w:tcBorders>
            <w:shd w:val="clear" w:color="auto" w:fill="auto"/>
            <w:noWrap/>
            <w:vAlign w:val="bottom"/>
            <w:hideMark/>
          </w:tcPr>
          <w:p w14:paraId="42989662" w14:textId="3600768B" w:rsidR="00074E92" w:rsidRPr="002D07B8" w:rsidRDefault="00074E92" w:rsidP="00074E92">
            <w:pPr>
              <w:jc w:val="center"/>
              <w:rPr>
                <w:rFonts w:asciiTheme="minorHAnsi" w:hAnsiTheme="minorHAnsi" w:cstheme="minorHAnsi"/>
                <w:color w:val="000000"/>
                <w:szCs w:val="22"/>
              </w:rPr>
            </w:pPr>
            <w:r w:rsidRPr="002D07B8">
              <w:rPr>
                <w:rFonts w:asciiTheme="minorHAnsi" w:hAnsiTheme="minorHAnsi" w:cstheme="minorHAnsi"/>
                <w:color w:val="000000"/>
                <w:szCs w:val="22"/>
              </w:rPr>
              <w:t>59.14%</w:t>
            </w:r>
          </w:p>
        </w:tc>
      </w:tr>
      <w:tr w:rsidR="00074E92" w:rsidRPr="002D07B8" w14:paraId="4298966B" w14:textId="77777777" w:rsidTr="00037C0C">
        <w:trPr>
          <w:trHeight w:val="300"/>
          <w:jc w:val="center"/>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42989664" w14:textId="77777777" w:rsidR="00074E92" w:rsidRPr="002D07B8" w:rsidRDefault="00074E92" w:rsidP="00074E92">
            <w:pPr>
              <w:rPr>
                <w:rFonts w:asciiTheme="minorHAnsi" w:hAnsiTheme="minorHAnsi" w:cstheme="minorHAnsi"/>
                <w:b/>
                <w:color w:val="000000"/>
                <w:szCs w:val="22"/>
              </w:rPr>
            </w:pPr>
            <w:r w:rsidRPr="002D07B8">
              <w:rPr>
                <w:rFonts w:asciiTheme="minorHAnsi" w:hAnsiTheme="minorHAnsi" w:cstheme="minorHAnsi"/>
                <w:b/>
                <w:color w:val="000000"/>
                <w:szCs w:val="22"/>
              </w:rPr>
              <w:t>% of Overall Performance</w:t>
            </w:r>
          </w:p>
        </w:tc>
        <w:tc>
          <w:tcPr>
            <w:tcW w:w="1080" w:type="dxa"/>
            <w:tcBorders>
              <w:top w:val="nil"/>
              <w:left w:val="nil"/>
              <w:bottom w:val="single" w:sz="4" w:space="0" w:color="auto"/>
              <w:right w:val="single" w:sz="4" w:space="0" w:color="auto"/>
            </w:tcBorders>
            <w:shd w:val="clear" w:color="auto" w:fill="auto"/>
            <w:noWrap/>
            <w:vAlign w:val="bottom"/>
            <w:hideMark/>
          </w:tcPr>
          <w:p w14:paraId="42989665" w14:textId="3E3A0A31" w:rsidR="00074E92" w:rsidRPr="002D07B8" w:rsidRDefault="00074E92" w:rsidP="00074E92">
            <w:pPr>
              <w:jc w:val="center"/>
              <w:rPr>
                <w:rFonts w:asciiTheme="minorHAnsi" w:hAnsiTheme="minorHAnsi" w:cstheme="minorHAnsi"/>
                <w:color w:val="000000"/>
                <w:szCs w:val="22"/>
              </w:rPr>
            </w:pPr>
            <w:r w:rsidRPr="002D07B8">
              <w:rPr>
                <w:rFonts w:asciiTheme="minorHAnsi" w:hAnsiTheme="minorHAnsi" w:cstheme="minorHAnsi"/>
                <w:color w:val="000000"/>
                <w:szCs w:val="22"/>
              </w:rPr>
              <w:t>92.39%</w:t>
            </w:r>
          </w:p>
        </w:tc>
        <w:tc>
          <w:tcPr>
            <w:tcW w:w="1080" w:type="dxa"/>
            <w:tcBorders>
              <w:top w:val="nil"/>
              <w:left w:val="nil"/>
              <w:bottom w:val="single" w:sz="4" w:space="0" w:color="auto"/>
              <w:right w:val="single" w:sz="4" w:space="0" w:color="auto"/>
            </w:tcBorders>
            <w:shd w:val="clear" w:color="auto" w:fill="auto"/>
            <w:noWrap/>
            <w:vAlign w:val="bottom"/>
            <w:hideMark/>
          </w:tcPr>
          <w:p w14:paraId="42989666" w14:textId="184573D4" w:rsidR="00074E92" w:rsidRPr="002D07B8" w:rsidRDefault="00074E92" w:rsidP="00074E92">
            <w:pPr>
              <w:jc w:val="center"/>
              <w:rPr>
                <w:rFonts w:asciiTheme="minorHAnsi" w:hAnsiTheme="minorHAnsi" w:cstheme="minorHAnsi"/>
                <w:color w:val="000000"/>
                <w:szCs w:val="22"/>
              </w:rPr>
            </w:pPr>
            <w:r w:rsidRPr="002D07B8">
              <w:rPr>
                <w:rFonts w:asciiTheme="minorHAnsi" w:hAnsiTheme="minorHAnsi" w:cstheme="minorHAnsi"/>
                <w:color w:val="000000"/>
                <w:szCs w:val="22"/>
              </w:rPr>
              <w:t>103.96%</w:t>
            </w:r>
          </w:p>
        </w:tc>
        <w:tc>
          <w:tcPr>
            <w:tcW w:w="1080" w:type="dxa"/>
            <w:tcBorders>
              <w:top w:val="nil"/>
              <w:left w:val="nil"/>
              <w:bottom w:val="single" w:sz="4" w:space="0" w:color="auto"/>
              <w:right w:val="single" w:sz="4" w:space="0" w:color="auto"/>
            </w:tcBorders>
            <w:shd w:val="clear" w:color="auto" w:fill="auto"/>
            <w:noWrap/>
            <w:vAlign w:val="bottom"/>
            <w:hideMark/>
          </w:tcPr>
          <w:p w14:paraId="42989667" w14:textId="34B69FC2" w:rsidR="00074E92" w:rsidRPr="002D07B8" w:rsidRDefault="00074E92" w:rsidP="00074E92">
            <w:pPr>
              <w:jc w:val="center"/>
              <w:rPr>
                <w:rFonts w:asciiTheme="minorHAnsi" w:hAnsiTheme="minorHAnsi" w:cstheme="minorHAnsi"/>
                <w:color w:val="000000"/>
                <w:szCs w:val="22"/>
              </w:rPr>
            </w:pPr>
            <w:r w:rsidRPr="002D07B8">
              <w:rPr>
                <w:rFonts w:asciiTheme="minorHAnsi" w:hAnsiTheme="minorHAnsi" w:cstheme="minorHAnsi"/>
                <w:color w:val="000000"/>
                <w:szCs w:val="22"/>
              </w:rPr>
              <w:t>110.62%</w:t>
            </w:r>
          </w:p>
        </w:tc>
        <w:tc>
          <w:tcPr>
            <w:tcW w:w="1677" w:type="dxa"/>
            <w:tcBorders>
              <w:top w:val="nil"/>
              <w:left w:val="nil"/>
              <w:bottom w:val="single" w:sz="4" w:space="0" w:color="auto"/>
              <w:right w:val="single" w:sz="4" w:space="0" w:color="auto"/>
            </w:tcBorders>
            <w:shd w:val="clear" w:color="auto" w:fill="auto"/>
            <w:noWrap/>
            <w:vAlign w:val="bottom"/>
            <w:hideMark/>
          </w:tcPr>
          <w:p w14:paraId="42989668" w14:textId="08895A77" w:rsidR="00074E92" w:rsidRPr="002D07B8" w:rsidRDefault="00074E92" w:rsidP="00074E92">
            <w:pPr>
              <w:jc w:val="center"/>
              <w:rPr>
                <w:rFonts w:asciiTheme="minorHAnsi" w:hAnsiTheme="minorHAnsi" w:cstheme="minorHAnsi"/>
                <w:color w:val="000000"/>
                <w:szCs w:val="22"/>
              </w:rPr>
            </w:pPr>
            <w:r w:rsidRPr="002D07B8">
              <w:rPr>
                <w:rFonts w:asciiTheme="minorHAnsi" w:hAnsiTheme="minorHAnsi" w:cstheme="minorHAnsi"/>
                <w:color w:val="000000"/>
                <w:szCs w:val="22"/>
              </w:rPr>
              <w:t>99.49%</w:t>
            </w:r>
          </w:p>
        </w:tc>
        <w:tc>
          <w:tcPr>
            <w:tcW w:w="1102" w:type="dxa"/>
            <w:tcBorders>
              <w:top w:val="nil"/>
              <w:left w:val="nil"/>
              <w:bottom w:val="single" w:sz="4" w:space="0" w:color="auto"/>
              <w:right w:val="single" w:sz="4" w:space="0" w:color="auto"/>
            </w:tcBorders>
            <w:shd w:val="clear" w:color="auto" w:fill="auto"/>
            <w:noWrap/>
            <w:vAlign w:val="bottom"/>
            <w:hideMark/>
          </w:tcPr>
          <w:p w14:paraId="42989669" w14:textId="401D7364" w:rsidR="00074E92" w:rsidRPr="002D07B8" w:rsidRDefault="00074E92" w:rsidP="00074E92">
            <w:pPr>
              <w:jc w:val="center"/>
              <w:rPr>
                <w:rFonts w:asciiTheme="minorHAnsi" w:hAnsiTheme="minorHAnsi" w:cstheme="minorHAnsi"/>
                <w:color w:val="000000"/>
                <w:szCs w:val="22"/>
              </w:rPr>
            </w:pPr>
            <w:r w:rsidRPr="002D07B8">
              <w:rPr>
                <w:rFonts w:asciiTheme="minorHAnsi" w:hAnsiTheme="minorHAnsi" w:cstheme="minorHAnsi"/>
                <w:color w:val="000000"/>
                <w:szCs w:val="22"/>
              </w:rPr>
              <w:t>90.13%</w:t>
            </w:r>
          </w:p>
        </w:tc>
        <w:tc>
          <w:tcPr>
            <w:tcW w:w="987" w:type="dxa"/>
            <w:tcBorders>
              <w:top w:val="nil"/>
              <w:left w:val="nil"/>
              <w:bottom w:val="single" w:sz="4" w:space="0" w:color="auto"/>
              <w:right w:val="single" w:sz="4" w:space="0" w:color="auto"/>
            </w:tcBorders>
            <w:shd w:val="clear" w:color="auto" w:fill="auto"/>
            <w:noWrap/>
            <w:vAlign w:val="bottom"/>
            <w:hideMark/>
          </w:tcPr>
          <w:p w14:paraId="4298966A" w14:textId="7611A246" w:rsidR="00074E92" w:rsidRPr="002D07B8" w:rsidRDefault="00074E92" w:rsidP="00074E92">
            <w:pPr>
              <w:jc w:val="center"/>
              <w:rPr>
                <w:rFonts w:asciiTheme="minorHAnsi" w:hAnsiTheme="minorHAnsi" w:cstheme="minorHAnsi"/>
                <w:color w:val="000000"/>
                <w:szCs w:val="22"/>
              </w:rPr>
            </w:pPr>
            <w:r w:rsidRPr="002D07B8">
              <w:rPr>
                <w:rFonts w:asciiTheme="minorHAnsi" w:hAnsiTheme="minorHAnsi" w:cstheme="minorHAnsi"/>
                <w:color w:val="000000"/>
                <w:szCs w:val="22"/>
              </w:rPr>
              <w:t>100.00%</w:t>
            </w:r>
          </w:p>
        </w:tc>
      </w:tr>
      <w:tr w:rsidR="00074E92" w:rsidRPr="002D07B8" w14:paraId="42989673" w14:textId="77777777" w:rsidTr="00037C0C">
        <w:trPr>
          <w:trHeight w:val="288"/>
          <w:jc w:val="center"/>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4298966C" w14:textId="77777777" w:rsidR="00074E92" w:rsidRPr="002D07B8" w:rsidRDefault="00074E92" w:rsidP="00074E92">
            <w:pPr>
              <w:rPr>
                <w:rFonts w:asciiTheme="minorHAnsi" w:hAnsiTheme="minorHAnsi" w:cstheme="minorHAnsi"/>
                <w:b/>
                <w:color w:val="000000"/>
                <w:szCs w:val="22"/>
              </w:rPr>
            </w:pPr>
            <w:r w:rsidRPr="002D07B8">
              <w:rPr>
                <w:rFonts w:asciiTheme="minorHAnsi" w:hAnsiTheme="minorHAnsi" w:cstheme="minorHAnsi"/>
                <w:b/>
                <w:color w:val="000000"/>
                <w:szCs w:val="22"/>
              </w:rPr>
              <w:t>% of State Denominator</w:t>
            </w:r>
          </w:p>
        </w:tc>
        <w:tc>
          <w:tcPr>
            <w:tcW w:w="1080" w:type="dxa"/>
            <w:tcBorders>
              <w:top w:val="nil"/>
              <w:left w:val="nil"/>
              <w:bottom w:val="single" w:sz="4" w:space="0" w:color="auto"/>
              <w:right w:val="single" w:sz="4" w:space="0" w:color="auto"/>
            </w:tcBorders>
            <w:shd w:val="clear" w:color="auto" w:fill="auto"/>
            <w:noWrap/>
            <w:vAlign w:val="bottom"/>
            <w:hideMark/>
          </w:tcPr>
          <w:p w14:paraId="4298966D" w14:textId="071DA30C" w:rsidR="00074E92" w:rsidRPr="002D07B8" w:rsidRDefault="00074E92" w:rsidP="00074E92">
            <w:pPr>
              <w:jc w:val="center"/>
              <w:rPr>
                <w:rFonts w:asciiTheme="minorHAnsi" w:hAnsiTheme="minorHAnsi" w:cstheme="minorHAnsi"/>
                <w:color w:val="000000"/>
                <w:szCs w:val="22"/>
              </w:rPr>
            </w:pPr>
            <w:r w:rsidRPr="002D07B8">
              <w:rPr>
                <w:rFonts w:asciiTheme="minorHAnsi" w:hAnsiTheme="minorHAnsi" w:cstheme="minorHAnsi"/>
                <w:color w:val="000000"/>
                <w:szCs w:val="22"/>
              </w:rPr>
              <w:t>1.08%</w:t>
            </w:r>
          </w:p>
        </w:tc>
        <w:tc>
          <w:tcPr>
            <w:tcW w:w="1080" w:type="dxa"/>
            <w:tcBorders>
              <w:top w:val="nil"/>
              <w:left w:val="nil"/>
              <w:bottom w:val="single" w:sz="4" w:space="0" w:color="auto"/>
              <w:right w:val="single" w:sz="4" w:space="0" w:color="auto"/>
            </w:tcBorders>
            <w:shd w:val="clear" w:color="auto" w:fill="auto"/>
            <w:noWrap/>
            <w:vAlign w:val="bottom"/>
            <w:hideMark/>
          </w:tcPr>
          <w:p w14:paraId="4298966E" w14:textId="2D51059C" w:rsidR="00074E92" w:rsidRPr="002D07B8" w:rsidRDefault="00074E92" w:rsidP="00074E92">
            <w:pPr>
              <w:jc w:val="center"/>
              <w:rPr>
                <w:rFonts w:asciiTheme="minorHAnsi" w:hAnsiTheme="minorHAnsi" w:cstheme="minorHAnsi"/>
                <w:color w:val="000000"/>
                <w:szCs w:val="22"/>
              </w:rPr>
            </w:pPr>
            <w:r w:rsidRPr="002D07B8">
              <w:rPr>
                <w:rFonts w:asciiTheme="minorHAnsi" w:hAnsiTheme="minorHAnsi" w:cstheme="minorHAnsi"/>
                <w:color w:val="000000"/>
                <w:szCs w:val="22"/>
              </w:rPr>
              <w:t>1.05%</w:t>
            </w:r>
          </w:p>
        </w:tc>
        <w:tc>
          <w:tcPr>
            <w:tcW w:w="1080" w:type="dxa"/>
            <w:tcBorders>
              <w:top w:val="nil"/>
              <w:left w:val="nil"/>
              <w:bottom w:val="single" w:sz="4" w:space="0" w:color="auto"/>
              <w:right w:val="single" w:sz="4" w:space="0" w:color="auto"/>
            </w:tcBorders>
            <w:shd w:val="clear" w:color="auto" w:fill="auto"/>
            <w:noWrap/>
            <w:vAlign w:val="bottom"/>
            <w:hideMark/>
          </w:tcPr>
          <w:p w14:paraId="4298966F" w14:textId="7795595F" w:rsidR="00074E92" w:rsidRPr="002D07B8" w:rsidRDefault="00074E92" w:rsidP="00074E92">
            <w:pPr>
              <w:jc w:val="center"/>
              <w:rPr>
                <w:rFonts w:asciiTheme="minorHAnsi" w:hAnsiTheme="minorHAnsi" w:cstheme="minorHAnsi"/>
                <w:color w:val="000000"/>
                <w:szCs w:val="22"/>
              </w:rPr>
            </w:pPr>
            <w:r w:rsidRPr="002D07B8">
              <w:rPr>
                <w:rFonts w:asciiTheme="minorHAnsi" w:hAnsiTheme="minorHAnsi" w:cstheme="minorHAnsi"/>
                <w:color w:val="000000"/>
                <w:szCs w:val="22"/>
              </w:rPr>
              <w:t>5.65%</w:t>
            </w:r>
          </w:p>
        </w:tc>
        <w:tc>
          <w:tcPr>
            <w:tcW w:w="1677" w:type="dxa"/>
            <w:tcBorders>
              <w:top w:val="nil"/>
              <w:left w:val="nil"/>
              <w:bottom w:val="single" w:sz="4" w:space="0" w:color="auto"/>
              <w:right w:val="single" w:sz="4" w:space="0" w:color="auto"/>
            </w:tcBorders>
            <w:shd w:val="clear" w:color="auto" w:fill="auto"/>
            <w:noWrap/>
            <w:vAlign w:val="bottom"/>
            <w:hideMark/>
          </w:tcPr>
          <w:p w14:paraId="42989670" w14:textId="0C549229" w:rsidR="00074E92" w:rsidRPr="002D07B8" w:rsidRDefault="00074E92" w:rsidP="00074E92">
            <w:pPr>
              <w:jc w:val="center"/>
              <w:rPr>
                <w:rFonts w:asciiTheme="minorHAnsi" w:hAnsiTheme="minorHAnsi" w:cstheme="minorHAnsi"/>
                <w:color w:val="000000"/>
                <w:szCs w:val="22"/>
              </w:rPr>
            </w:pPr>
            <w:r w:rsidRPr="002D07B8">
              <w:rPr>
                <w:rFonts w:asciiTheme="minorHAnsi" w:hAnsiTheme="minorHAnsi" w:cstheme="minorHAnsi"/>
                <w:color w:val="000000"/>
                <w:szCs w:val="22"/>
              </w:rPr>
              <w:t>89.32%</w:t>
            </w:r>
          </w:p>
        </w:tc>
        <w:tc>
          <w:tcPr>
            <w:tcW w:w="1102" w:type="dxa"/>
            <w:tcBorders>
              <w:top w:val="nil"/>
              <w:left w:val="nil"/>
              <w:bottom w:val="single" w:sz="4" w:space="0" w:color="auto"/>
              <w:right w:val="single" w:sz="4" w:space="0" w:color="auto"/>
            </w:tcBorders>
            <w:shd w:val="clear" w:color="auto" w:fill="auto"/>
            <w:noWrap/>
            <w:vAlign w:val="bottom"/>
            <w:hideMark/>
          </w:tcPr>
          <w:p w14:paraId="42989671" w14:textId="49764535" w:rsidR="00074E92" w:rsidRPr="002D07B8" w:rsidRDefault="00074E92" w:rsidP="00074E92">
            <w:pPr>
              <w:jc w:val="center"/>
              <w:rPr>
                <w:rFonts w:asciiTheme="minorHAnsi" w:hAnsiTheme="minorHAnsi" w:cstheme="minorHAnsi"/>
                <w:color w:val="000000"/>
                <w:szCs w:val="22"/>
              </w:rPr>
            </w:pPr>
            <w:r w:rsidRPr="002D07B8">
              <w:rPr>
                <w:rFonts w:asciiTheme="minorHAnsi" w:hAnsiTheme="minorHAnsi" w:cstheme="minorHAnsi"/>
                <w:color w:val="000000"/>
                <w:szCs w:val="22"/>
              </w:rPr>
              <w:t>2.90%</w:t>
            </w:r>
          </w:p>
        </w:tc>
        <w:tc>
          <w:tcPr>
            <w:tcW w:w="987" w:type="dxa"/>
            <w:tcBorders>
              <w:top w:val="nil"/>
              <w:left w:val="nil"/>
              <w:bottom w:val="single" w:sz="4" w:space="0" w:color="auto"/>
              <w:right w:val="single" w:sz="4" w:space="0" w:color="auto"/>
            </w:tcBorders>
            <w:shd w:val="clear" w:color="auto" w:fill="auto"/>
            <w:noWrap/>
            <w:vAlign w:val="bottom"/>
            <w:hideMark/>
          </w:tcPr>
          <w:p w14:paraId="42989672" w14:textId="04871420" w:rsidR="00074E92" w:rsidRPr="002D07B8" w:rsidRDefault="00074E92" w:rsidP="00074E92">
            <w:pPr>
              <w:jc w:val="center"/>
              <w:rPr>
                <w:rFonts w:asciiTheme="minorHAnsi" w:hAnsiTheme="minorHAnsi" w:cstheme="minorHAnsi"/>
                <w:color w:val="000000"/>
                <w:szCs w:val="22"/>
              </w:rPr>
            </w:pPr>
            <w:r w:rsidRPr="002D07B8">
              <w:rPr>
                <w:rFonts w:asciiTheme="minorHAnsi" w:hAnsiTheme="minorHAnsi" w:cstheme="minorHAnsi"/>
                <w:color w:val="000000"/>
                <w:szCs w:val="22"/>
              </w:rPr>
              <w:t>100.00%</w:t>
            </w:r>
          </w:p>
        </w:tc>
      </w:tr>
      <w:tr w:rsidR="00074E92" w:rsidRPr="002D07B8" w14:paraId="4298967B" w14:textId="77777777" w:rsidTr="00037C0C">
        <w:trPr>
          <w:trHeight w:val="288"/>
          <w:jc w:val="center"/>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42989674" w14:textId="77777777" w:rsidR="00074E92" w:rsidRPr="002D07B8" w:rsidRDefault="00074E92" w:rsidP="00074E92">
            <w:pPr>
              <w:rPr>
                <w:rFonts w:asciiTheme="minorHAnsi" w:hAnsiTheme="minorHAnsi" w:cstheme="minorHAnsi"/>
                <w:b/>
                <w:color w:val="000000"/>
                <w:szCs w:val="22"/>
              </w:rPr>
            </w:pPr>
            <w:r w:rsidRPr="002D07B8">
              <w:rPr>
                <w:rFonts w:asciiTheme="minorHAnsi" w:hAnsiTheme="minorHAnsi" w:cstheme="minorHAnsi"/>
                <w:b/>
                <w:color w:val="000000"/>
                <w:szCs w:val="22"/>
              </w:rPr>
              <w:t>Low % of Board Denominator</w:t>
            </w:r>
          </w:p>
        </w:tc>
        <w:tc>
          <w:tcPr>
            <w:tcW w:w="1080" w:type="dxa"/>
            <w:tcBorders>
              <w:top w:val="nil"/>
              <w:left w:val="nil"/>
              <w:bottom w:val="single" w:sz="4" w:space="0" w:color="auto"/>
              <w:right w:val="single" w:sz="4" w:space="0" w:color="auto"/>
            </w:tcBorders>
            <w:shd w:val="clear" w:color="auto" w:fill="auto"/>
            <w:noWrap/>
            <w:vAlign w:val="bottom"/>
            <w:hideMark/>
          </w:tcPr>
          <w:p w14:paraId="42989675" w14:textId="3A584DCD" w:rsidR="00074E92" w:rsidRPr="002D07B8" w:rsidRDefault="00074E92" w:rsidP="00074E92">
            <w:pPr>
              <w:jc w:val="center"/>
              <w:rPr>
                <w:rFonts w:asciiTheme="minorHAnsi" w:hAnsiTheme="minorHAnsi" w:cstheme="minorHAnsi"/>
                <w:color w:val="000000"/>
                <w:szCs w:val="22"/>
              </w:rPr>
            </w:pPr>
            <w:r w:rsidRPr="002D07B8">
              <w:rPr>
                <w:rFonts w:asciiTheme="minorHAnsi" w:hAnsiTheme="minorHAnsi" w:cstheme="minorHAnsi"/>
                <w:color w:val="000000"/>
                <w:szCs w:val="22"/>
              </w:rPr>
              <w:t>0.35%</w:t>
            </w:r>
          </w:p>
        </w:tc>
        <w:tc>
          <w:tcPr>
            <w:tcW w:w="1080" w:type="dxa"/>
            <w:tcBorders>
              <w:top w:val="nil"/>
              <w:left w:val="nil"/>
              <w:bottom w:val="single" w:sz="4" w:space="0" w:color="auto"/>
              <w:right w:val="single" w:sz="4" w:space="0" w:color="auto"/>
            </w:tcBorders>
            <w:shd w:val="clear" w:color="auto" w:fill="auto"/>
            <w:noWrap/>
            <w:vAlign w:val="bottom"/>
            <w:hideMark/>
          </w:tcPr>
          <w:p w14:paraId="42989676" w14:textId="6689996E" w:rsidR="00074E92" w:rsidRPr="002D07B8" w:rsidRDefault="00074E92" w:rsidP="00074E92">
            <w:pPr>
              <w:jc w:val="center"/>
              <w:rPr>
                <w:rFonts w:asciiTheme="minorHAnsi" w:hAnsiTheme="minorHAnsi" w:cstheme="minorHAnsi"/>
                <w:color w:val="000000"/>
                <w:szCs w:val="22"/>
              </w:rPr>
            </w:pPr>
            <w:r w:rsidRPr="002D07B8">
              <w:rPr>
                <w:rFonts w:asciiTheme="minorHAnsi" w:hAnsiTheme="minorHAnsi" w:cstheme="minorHAnsi"/>
                <w:color w:val="000000"/>
                <w:szCs w:val="22"/>
              </w:rPr>
              <w:t>0.26%</w:t>
            </w:r>
          </w:p>
        </w:tc>
        <w:tc>
          <w:tcPr>
            <w:tcW w:w="1080" w:type="dxa"/>
            <w:tcBorders>
              <w:top w:val="nil"/>
              <w:left w:val="nil"/>
              <w:bottom w:val="single" w:sz="4" w:space="0" w:color="auto"/>
              <w:right w:val="single" w:sz="4" w:space="0" w:color="auto"/>
            </w:tcBorders>
            <w:shd w:val="clear" w:color="auto" w:fill="auto"/>
            <w:noWrap/>
            <w:vAlign w:val="bottom"/>
            <w:hideMark/>
          </w:tcPr>
          <w:p w14:paraId="42989677" w14:textId="0F24A400" w:rsidR="00074E92" w:rsidRPr="002D07B8" w:rsidRDefault="00074E92" w:rsidP="00074E92">
            <w:pPr>
              <w:jc w:val="center"/>
              <w:rPr>
                <w:rFonts w:asciiTheme="minorHAnsi" w:hAnsiTheme="minorHAnsi" w:cstheme="minorHAnsi"/>
                <w:color w:val="000000"/>
                <w:szCs w:val="22"/>
              </w:rPr>
            </w:pPr>
            <w:r w:rsidRPr="002D07B8">
              <w:rPr>
                <w:rFonts w:asciiTheme="minorHAnsi" w:hAnsiTheme="minorHAnsi" w:cstheme="minorHAnsi"/>
                <w:color w:val="000000"/>
                <w:szCs w:val="22"/>
              </w:rPr>
              <w:t>0.54%</w:t>
            </w:r>
          </w:p>
        </w:tc>
        <w:tc>
          <w:tcPr>
            <w:tcW w:w="1677" w:type="dxa"/>
            <w:tcBorders>
              <w:top w:val="nil"/>
              <w:left w:val="nil"/>
              <w:bottom w:val="single" w:sz="4" w:space="0" w:color="auto"/>
              <w:right w:val="single" w:sz="4" w:space="0" w:color="auto"/>
            </w:tcBorders>
            <w:shd w:val="clear" w:color="auto" w:fill="auto"/>
            <w:noWrap/>
            <w:vAlign w:val="bottom"/>
            <w:hideMark/>
          </w:tcPr>
          <w:p w14:paraId="42989678" w14:textId="1F6BB661" w:rsidR="00074E92" w:rsidRPr="002D07B8" w:rsidRDefault="00074E92" w:rsidP="00074E92">
            <w:pPr>
              <w:jc w:val="center"/>
              <w:rPr>
                <w:rFonts w:asciiTheme="minorHAnsi" w:hAnsiTheme="minorHAnsi" w:cstheme="minorHAnsi"/>
                <w:color w:val="000000"/>
                <w:szCs w:val="22"/>
              </w:rPr>
            </w:pPr>
            <w:r w:rsidRPr="002D07B8">
              <w:rPr>
                <w:rFonts w:asciiTheme="minorHAnsi" w:hAnsiTheme="minorHAnsi" w:cstheme="minorHAnsi"/>
                <w:color w:val="000000"/>
                <w:szCs w:val="22"/>
              </w:rPr>
              <w:t>68.88%</w:t>
            </w:r>
          </w:p>
        </w:tc>
        <w:tc>
          <w:tcPr>
            <w:tcW w:w="1102" w:type="dxa"/>
            <w:tcBorders>
              <w:top w:val="nil"/>
              <w:left w:val="nil"/>
              <w:bottom w:val="single" w:sz="4" w:space="0" w:color="auto"/>
              <w:right w:val="single" w:sz="4" w:space="0" w:color="auto"/>
            </w:tcBorders>
            <w:shd w:val="clear" w:color="auto" w:fill="auto"/>
            <w:noWrap/>
            <w:vAlign w:val="bottom"/>
            <w:hideMark/>
          </w:tcPr>
          <w:p w14:paraId="42989679" w14:textId="7EC757E4" w:rsidR="00074E92" w:rsidRPr="002D07B8" w:rsidRDefault="00074E92" w:rsidP="00074E92">
            <w:pPr>
              <w:jc w:val="center"/>
              <w:rPr>
                <w:rFonts w:asciiTheme="minorHAnsi" w:hAnsiTheme="minorHAnsi" w:cstheme="minorHAnsi"/>
                <w:color w:val="000000"/>
                <w:szCs w:val="22"/>
              </w:rPr>
            </w:pPr>
            <w:r w:rsidRPr="002D07B8">
              <w:rPr>
                <w:rFonts w:asciiTheme="minorHAnsi" w:hAnsiTheme="minorHAnsi" w:cstheme="minorHAnsi"/>
                <w:color w:val="000000"/>
                <w:szCs w:val="22"/>
              </w:rPr>
              <w:t>1.51%</w:t>
            </w:r>
          </w:p>
        </w:tc>
        <w:tc>
          <w:tcPr>
            <w:tcW w:w="987" w:type="dxa"/>
            <w:tcBorders>
              <w:top w:val="nil"/>
              <w:left w:val="nil"/>
              <w:bottom w:val="single" w:sz="4" w:space="0" w:color="auto"/>
              <w:right w:val="single" w:sz="4" w:space="0" w:color="auto"/>
            </w:tcBorders>
            <w:shd w:val="clear" w:color="auto" w:fill="auto"/>
            <w:noWrap/>
            <w:vAlign w:val="bottom"/>
            <w:hideMark/>
          </w:tcPr>
          <w:p w14:paraId="4298967A" w14:textId="1BCF5875" w:rsidR="00074E92" w:rsidRPr="002D07B8" w:rsidRDefault="00074E92" w:rsidP="00074E92">
            <w:pPr>
              <w:jc w:val="center"/>
              <w:rPr>
                <w:rFonts w:asciiTheme="minorHAnsi" w:hAnsiTheme="minorHAnsi" w:cstheme="minorHAnsi"/>
                <w:color w:val="000000"/>
                <w:szCs w:val="22"/>
              </w:rPr>
            </w:pPr>
            <w:r w:rsidRPr="002D07B8">
              <w:rPr>
                <w:rFonts w:asciiTheme="minorHAnsi" w:hAnsiTheme="minorHAnsi" w:cstheme="minorHAnsi"/>
                <w:color w:val="000000"/>
                <w:szCs w:val="22"/>
              </w:rPr>
              <w:t>NA</w:t>
            </w:r>
          </w:p>
        </w:tc>
      </w:tr>
      <w:tr w:rsidR="00074E92" w:rsidRPr="002D07B8" w14:paraId="42989683" w14:textId="77777777" w:rsidTr="00037C0C">
        <w:trPr>
          <w:trHeight w:val="300"/>
          <w:jc w:val="center"/>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4298967C" w14:textId="77777777" w:rsidR="00074E92" w:rsidRPr="002D07B8" w:rsidRDefault="00074E92" w:rsidP="00074E92">
            <w:pPr>
              <w:rPr>
                <w:rFonts w:asciiTheme="minorHAnsi" w:hAnsiTheme="minorHAnsi" w:cstheme="minorHAnsi"/>
                <w:b/>
                <w:color w:val="000000"/>
                <w:szCs w:val="22"/>
              </w:rPr>
            </w:pPr>
            <w:r w:rsidRPr="002D07B8">
              <w:rPr>
                <w:rFonts w:asciiTheme="minorHAnsi" w:hAnsiTheme="minorHAnsi" w:cstheme="minorHAnsi"/>
                <w:b/>
                <w:color w:val="000000"/>
                <w:szCs w:val="22"/>
              </w:rPr>
              <w:t>High % of Board Denominator</w:t>
            </w:r>
          </w:p>
        </w:tc>
        <w:tc>
          <w:tcPr>
            <w:tcW w:w="1080" w:type="dxa"/>
            <w:tcBorders>
              <w:top w:val="nil"/>
              <w:left w:val="nil"/>
              <w:bottom w:val="single" w:sz="4" w:space="0" w:color="auto"/>
              <w:right w:val="single" w:sz="4" w:space="0" w:color="auto"/>
            </w:tcBorders>
            <w:shd w:val="clear" w:color="auto" w:fill="auto"/>
            <w:noWrap/>
            <w:vAlign w:val="bottom"/>
            <w:hideMark/>
          </w:tcPr>
          <w:p w14:paraId="4298967D" w14:textId="076B6B0D" w:rsidR="00074E92" w:rsidRPr="002D07B8" w:rsidRDefault="00074E92" w:rsidP="00074E92">
            <w:pPr>
              <w:jc w:val="center"/>
              <w:rPr>
                <w:rFonts w:asciiTheme="minorHAnsi" w:hAnsiTheme="minorHAnsi" w:cstheme="minorHAnsi"/>
                <w:color w:val="000000"/>
                <w:szCs w:val="22"/>
              </w:rPr>
            </w:pPr>
            <w:r w:rsidRPr="002D07B8">
              <w:rPr>
                <w:rFonts w:asciiTheme="minorHAnsi" w:hAnsiTheme="minorHAnsi" w:cstheme="minorHAnsi"/>
                <w:color w:val="000000"/>
                <w:szCs w:val="22"/>
              </w:rPr>
              <w:t>13.20%</w:t>
            </w:r>
          </w:p>
        </w:tc>
        <w:tc>
          <w:tcPr>
            <w:tcW w:w="1080" w:type="dxa"/>
            <w:tcBorders>
              <w:top w:val="nil"/>
              <w:left w:val="nil"/>
              <w:bottom w:val="single" w:sz="4" w:space="0" w:color="auto"/>
              <w:right w:val="single" w:sz="4" w:space="0" w:color="auto"/>
            </w:tcBorders>
            <w:shd w:val="clear" w:color="auto" w:fill="auto"/>
            <w:noWrap/>
            <w:vAlign w:val="bottom"/>
            <w:hideMark/>
          </w:tcPr>
          <w:p w14:paraId="4298967E" w14:textId="14DEEA7E" w:rsidR="00074E92" w:rsidRPr="002D07B8" w:rsidRDefault="00074E92" w:rsidP="00074E92">
            <w:pPr>
              <w:jc w:val="center"/>
              <w:rPr>
                <w:rFonts w:asciiTheme="minorHAnsi" w:hAnsiTheme="minorHAnsi" w:cstheme="minorHAnsi"/>
                <w:color w:val="000000"/>
                <w:szCs w:val="22"/>
              </w:rPr>
            </w:pPr>
            <w:r w:rsidRPr="002D07B8">
              <w:rPr>
                <w:rFonts w:asciiTheme="minorHAnsi" w:hAnsiTheme="minorHAnsi" w:cstheme="minorHAnsi"/>
                <w:color w:val="000000"/>
                <w:szCs w:val="22"/>
              </w:rPr>
              <w:t>3.41%</w:t>
            </w:r>
          </w:p>
        </w:tc>
        <w:tc>
          <w:tcPr>
            <w:tcW w:w="1080" w:type="dxa"/>
            <w:tcBorders>
              <w:top w:val="nil"/>
              <w:left w:val="nil"/>
              <w:bottom w:val="single" w:sz="4" w:space="0" w:color="auto"/>
              <w:right w:val="single" w:sz="4" w:space="0" w:color="auto"/>
            </w:tcBorders>
            <w:shd w:val="clear" w:color="auto" w:fill="auto"/>
            <w:noWrap/>
            <w:vAlign w:val="bottom"/>
            <w:hideMark/>
          </w:tcPr>
          <w:p w14:paraId="4298967F" w14:textId="32443A9D" w:rsidR="00074E92" w:rsidRPr="002D07B8" w:rsidRDefault="00074E92" w:rsidP="00074E92">
            <w:pPr>
              <w:jc w:val="center"/>
              <w:rPr>
                <w:rFonts w:asciiTheme="minorHAnsi" w:hAnsiTheme="minorHAnsi" w:cstheme="minorHAnsi"/>
                <w:color w:val="000000"/>
                <w:szCs w:val="22"/>
              </w:rPr>
            </w:pPr>
            <w:r w:rsidRPr="002D07B8">
              <w:rPr>
                <w:rFonts w:asciiTheme="minorHAnsi" w:hAnsiTheme="minorHAnsi" w:cstheme="minorHAnsi"/>
                <w:color w:val="000000"/>
                <w:szCs w:val="22"/>
              </w:rPr>
              <w:t>27.20%</w:t>
            </w:r>
          </w:p>
        </w:tc>
        <w:tc>
          <w:tcPr>
            <w:tcW w:w="1677" w:type="dxa"/>
            <w:tcBorders>
              <w:top w:val="nil"/>
              <w:left w:val="nil"/>
              <w:bottom w:val="single" w:sz="4" w:space="0" w:color="auto"/>
              <w:right w:val="single" w:sz="4" w:space="0" w:color="auto"/>
            </w:tcBorders>
            <w:shd w:val="clear" w:color="auto" w:fill="auto"/>
            <w:noWrap/>
            <w:vAlign w:val="bottom"/>
            <w:hideMark/>
          </w:tcPr>
          <w:p w14:paraId="42989680" w14:textId="75BEBE72" w:rsidR="00074E92" w:rsidRPr="002D07B8" w:rsidRDefault="00074E92" w:rsidP="00074E92">
            <w:pPr>
              <w:jc w:val="center"/>
              <w:rPr>
                <w:rFonts w:asciiTheme="minorHAnsi" w:hAnsiTheme="minorHAnsi" w:cstheme="minorHAnsi"/>
                <w:color w:val="000000"/>
                <w:szCs w:val="22"/>
              </w:rPr>
            </w:pPr>
            <w:r w:rsidRPr="002D07B8">
              <w:rPr>
                <w:rFonts w:asciiTheme="minorHAnsi" w:hAnsiTheme="minorHAnsi" w:cstheme="minorHAnsi"/>
                <w:color w:val="000000"/>
                <w:szCs w:val="22"/>
              </w:rPr>
              <w:t>95.38%</w:t>
            </w:r>
          </w:p>
        </w:tc>
        <w:tc>
          <w:tcPr>
            <w:tcW w:w="1102" w:type="dxa"/>
            <w:tcBorders>
              <w:top w:val="nil"/>
              <w:left w:val="nil"/>
              <w:bottom w:val="single" w:sz="4" w:space="0" w:color="auto"/>
              <w:right w:val="single" w:sz="4" w:space="0" w:color="auto"/>
            </w:tcBorders>
            <w:shd w:val="clear" w:color="auto" w:fill="auto"/>
            <w:noWrap/>
            <w:vAlign w:val="bottom"/>
            <w:hideMark/>
          </w:tcPr>
          <w:p w14:paraId="42989681" w14:textId="735BCC97" w:rsidR="00074E92" w:rsidRPr="002D07B8" w:rsidRDefault="00074E92" w:rsidP="00074E92">
            <w:pPr>
              <w:jc w:val="center"/>
              <w:rPr>
                <w:rFonts w:asciiTheme="minorHAnsi" w:hAnsiTheme="minorHAnsi" w:cstheme="minorHAnsi"/>
                <w:color w:val="000000"/>
                <w:szCs w:val="22"/>
              </w:rPr>
            </w:pPr>
            <w:r w:rsidRPr="002D07B8">
              <w:rPr>
                <w:rFonts w:asciiTheme="minorHAnsi" w:hAnsiTheme="minorHAnsi" w:cstheme="minorHAnsi"/>
                <w:color w:val="000000"/>
                <w:szCs w:val="22"/>
              </w:rPr>
              <w:t>7.54%</w:t>
            </w:r>
          </w:p>
        </w:tc>
        <w:tc>
          <w:tcPr>
            <w:tcW w:w="987" w:type="dxa"/>
            <w:tcBorders>
              <w:top w:val="nil"/>
              <w:left w:val="nil"/>
              <w:bottom w:val="single" w:sz="4" w:space="0" w:color="auto"/>
              <w:right w:val="single" w:sz="4" w:space="0" w:color="auto"/>
            </w:tcBorders>
            <w:shd w:val="clear" w:color="auto" w:fill="auto"/>
            <w:noWrap/>
            <w:vAlign w:val="bottom"/>
            <w:hideMark/>
          </w:tcPr>
          <w:p w14:paraId="42989682" w14:textId="4CE66229" w:rsidR="00074E92" w:rsidRPr="002D07B8" w:rsidRDefault="00074E92" w:rsidP="00074E92">
            <w:pPr>
              <w:jc w:val="center"/>
              <w:rPr>
                <w:rFonts w:asciiTheme="minorHAnsi" w:hAnsiTheme="minorHAnsi" w:cstheme="minorHAnsi"/>
                <w:color w:val="000000"/>
                <w:szCs w:val="22"/>
              </w:rPr>
            </w:pPr>
            <w:r w:rsidRPr="002D07B8">
              <w:rPr>
                <w:rFonts w:asciiTheme="minorHAnsi" w:hAnsiTheme="minorHAnsi" w:cstheme="minorHAnsi"/>
                <w:color w:val="000000"/>
                <w:szCs w:val="22"/>
              </w:rPr>
              <w:t>NA</w:t>
            </w:r>
          </w:p>
        </w:tc>
      </w:tr>
      <w:tr w:rsidR="00074E92" w:rsidRPr="002D07B8" w14:paraId="4298968B" w14:textId="77777777" w:rsidTr="00C76504">
        <w:trPr>
          <w:trHeight w:val="288"/>
          <w:jc w:val="center"/>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42989684" w14:textId="77777777" w:rsidR="00074E92" w:rsidRPr="002D07B8" w:rsidRDefault="00074E92" w:rsidP="00074E92">
            <w:pPr>
              <w:rPr>
                <w:rFonts w:asciiTheme="minorHAnsi" w:hAnsiTheme="minorHAnsi" w:cstheme="minorHAnsi"/>
                <w:b/>
                <w:color w:val="000000"/>
                <w:szCs w:val="22"/>
              </w:rPr>
            </w:pPr>
            <w:r w:rsidRPr="002D07B8">
              <w:rPr>
                <w:rFonts w:asciiTheme="minorHAnsi" w:hAnsiTheme="minorHAnsi" w:cstheme="minorHAnsi"/>
                <w:b/>
                <w:color w:val="000000"/>
                <w:szCs w:val="22"/>
              </w:rPr>
              <w:t>Std Dev of % of Board Denominator</w:t>
            </w:r>
          </w:p>
        </w:tc>
        <w:tc>
          <w:tcPr>
            <w:tcW w:w="1080" w:type="dxa"/>
            <w:tcBorders>
              <w:top w:val="nil"/>
              <w:left w:val="nil"/>
              <w:bottom w:val="single" w:sz="4" w:space="0" w:color="auto"/>
              <w:right w:val="single" w:sz="4" w:space="0" w:color="auto"/>
            </w:tcBorders>
            <w:shd w:val="clear" w:color="auto" w:fill="auto"/>
            <w:noWrap/>
            <w:vAlign w:val="bottom"/>
            <w:hideMark/>
          </w:tcPr>
          <w:p w14:paraId="42989685" w14:textId="57735C4E" w:rsidR="00074E92" w:rsidRPr="002D07B8" w:rsidRDefault="00074E92" w:rsidP="00074E92">
            <w:pPr>
              <w:jc w:val="center"/>
              <w:rPr>
                <w:rFonts w:asciiTheme="minorHAnsi" w:hAnsiTheme="minorHAnsi" w:cstheme="minorHAnsi"/>
                <w:color w:val="000000"/>
                <w:szCs w:val="22"/>
              </w:rPr>
            </w:pPr>
            <w:r w:rsidRPr="002D07B8">
              <w:rPr>
                <w:rFonts w:asciiTheme="minorHAnsi" w:hAnsiTheme="minorHAnsi" w:cstheme="minorHAnsi"/>
                <w:color w:val="000000"/>
                <w:szCs w:val="22"/>
              </w:rPr>
              <w:t>2.43%</w:t>
            </w:r>
          </w:p>
        </w:tc>
        <w:tc>
          <w:tcPr>
            <w:tcW w:w="1080" w:type="dxa"/>
            <w:tcBorders>
              <w:top w:val="nil"/>
              <w:left w:val="nil"/>
              <w:bottom w:val="single" w:sz="4" w:space="0" w:color="auto"/>
              <w:right w:val="single" w:sz="4" w:space="0" w:color="auto"/>
            </w:tcBorders>
            <w:shd w:val="clear" w:color="auto" w:fill="auto"/>
            <w:noWrap/>
            <w:vAlign w:val="bottom"/>
            <w:hideMark/>
          </w:tcPr>
          <w:p w14:paraId="42989686" w14:textId="116BBD57" w:rsidR="00074E92" w:rsidRPr="002D07B8" w:rsidRDefault="00074E92" w:rsidP="00074E92">
            <w:pPr>
              <w:jc w:val="center"/>
              <w:rPr>
                <w:rFonts w:asciiTheme="minorHAnsi" w:hAnsiTheme="minorHAnsi" w:cstheme="minorHAnsi"/>
                <w:color w:val="000000"/>
                <w:szCs w:val="22"/>
              </w:rPr>
            </w:pPr>
            <w:r w:rsidRPr="002D07B8">
              <w:rPr>
                <w:rFonts w:asciiTheme="minorHAnsi" w:hAnsiTheme="minorHAnsi" w:cstheme="minorHAnsi"/>
                <w:color w:val="000000"/>
                <w:szCs w:val="22"/>
              </w:rPr>
              <w:t>0.76%</w:t>
            </w:r>
          </w:p>
        </w:tc>
        <w:tc>
          <w:tcPr>
            <w:tcW w:w="1080" w:type="dxa"/>
            <w:tcBorders>
              <w:top w:val="nil"/>
              <w:left w:val="nil"/>
              <w:bottom w:val="single" w:sz="4" w:space="0" w:color="auto"/>
              <w:right w:val="single" w:sz="4" w:space="0" w:color="auto"/>
            </w:tcBorders>
            <w:shd w:val="clear" w:color="auto" w:fill="auto"/>
            <w:noWrap/>
            <w:vAlign w:val="bottom"/>
            <w:hideMark/>
          </w:tcPr>
          <w:p w14:paraId="42989687" w14:textId="015B7C83" w:rsidR="00074E92" w:rsidRPr="002D07B8" w:rsidRDefault="00074E92" w:rsidP="00074E92">
            <w:pPr>
              <w:jc w:val="center"/>
              <w:rPr>
                <w:rFonts w:asciiTheme="minorHAnsi" w:hAnsiTheme="minorHAnsi" w:cstheme="minorHAnsi"/>
                <w:color w:val="000000"/>
                <w:szCs w:val="22"/>
              </w:rPr>
            </w:pPr>
            <w:r w:rsidRPr="002D07B8">
              <w:rPr>
                <w:rFonts w:asciiTheme="minorHAnsi" w:hAnsiTheme="minorHAnsi" w:cstheme="minorHAnsi"/>
                <w:color w:val="000000"/>
                <w:szCs w:val="22"/>
              </w:rPr>
              <w:t>5.70%</w:t>
            </w:r>
          </w:p>
        </w:tc>
        <w:tc>
          <w:tcPr>
            <w:tcW w:w="1677" w:type="dxa"/>
            <w:tcBorders>
              <w:top w:val="nil"/>
              <w:left w:val="nil"/>
              <w:bottom w:val="single" w:sz="4" w:space="0" w:color="auto"/>
              <w:right w:val="single" w:sz="4" w:space="0" w:color="auto"/>
            </w:tcBorders>
            <w:shd w:val="clear" w:color="auto" w:fill="auto"/>
            <w:noWrap/>
            <w:vAlign w:val="bottom"/>
            <w:hideMark/>
          </w:tcPr>
          <w:p w14:paraId="42989688" w14:textId="6000AF8A" w:rsidR="00074E92" w:rsidRPr="002D07B8" w:rsidRDefault="00074E92" w:rsidP="00074E92">
            <w:pPr>
              <w:jc w:val="center"/>
              <w:rPr>
                <w:rFonts w:asciiTheme="minorHAnsi" w:hAnsiTheme="minorHAnsi" w:cstheme="minorHAnsi"/>
                <w:color w:val="000000"/>
                <w:szCs w:val="22"/>
              </w:rPr>
            </w:pPr>
            <w:r w:rsidRPr="002D07B8">
              <w:rPr>
                <w:rFonts w:asciiTheme="minorHAnsi" w:hAnsiTheme="minorHAnsi" w:cstheme="minorHAnsi"/>
                <w:color w:val="000000"/>
                <w:szCs w:val="22"/>
              </w:rPr>
              <w:t>5.97%</w:t>
            </w:r>
          </w:p>
        </w:tc>
        <w:tc>
          <w:tcPr>
            <w:tcW w:w="1102" w:type="dxa"/>
            <w:tcBorders>
              <w:top w:val="nil"/>
              <w:left w:val="nil"/>
              <w:bottom w:val="single" w:sz="4" w:space="0" w:color="auto"/>
              <w:right w:val="single" w:sz="4" w:space="0" w:color="auto"/>
            </w:tcBorders>
            <w:shd w:val="clear" w:color="auto" w:fill="auto"/>
            <w:noWrap/>
            <w:vAlign w:val="bottom"/>
            <w:hideMark/>
          </w:tcPr>
          <w:p w14:paraId="42989689" w14:textId="65E284AC" w:rsidR="00074E92" w:rsidRPr="002D07B8" w:rsidRDefault="00074E92" w:rsidP="00074E92">
            <w:pPr>
              <w:jc w:val="center"/>
              <w:rPr>
                <w:rFonts w:asciiTheme="minorHAnsi" w:hAnsiTheme="minorHAnsi" w:cstheme="minorHAnsi"/>
                <w:color w:val="000000"/>
                <w:szCs w:val="22"/>
              </w:rPr>
            </w:pPr>
            <w:r w:rsidRPr="002D07B8">
              <w:rPr>
                <w:rFonts w:asciiTheme="minorHAnsi" w:hAnsiTheme="minorHAnsi" w:cstheme="minorHAnsi"/>
                <w:color w:val="000000"/>
                <w:szCs w:val="22"/>
              </w:rPr>
              <w:t>1.53%</w:t>
            </w:r>
          </w:p>
        </w:tc>
        <w:tc>
          <w:tcPr>
            <w:tcW w:w="987" w:type="dxa"/>
            <w:tcBorders>
              <w:top w:val="nil"/>
              <w:left w:val="nil"/>
              <w:bottom w:val="single" w:sz="4" w:space="0" w:color="auto"/>
              <w:right w:val="single" w:sz="4" w:space="0" w:color="auto"/>
            </w:tcBorders>
            <w:shd w:val="clear" w:color="auto" w:fill="auto"/>
            <w:noWrap/>
            <w:vAlign w:val="bottom"/>
            <w:hideMark/>
          </w:tcPr>
          <w:p w14:paraId="4298968A" w14:textId="6F7BC8C8" w:rsidR="00074E92" w:rsidRPr="002D07B8" w:rsidRDefault="00074E92" w:rsidP="00074E92">
            <w:pPr>
              <w:jc w:val="center"/>
              <w:rPr>
                <w:rFonts w:asciiTheme="minorHAnsi" w:hAnsiTheme="minorHAnsi" w:cstheme="minorHAnsi"/>
                <w:color w:val="000000"/>
                <w:szCs w:val="22"/>
              </w:rPr>
            </w:pPr>
            <w:r w:rsidRPr="002D07B8">
              <w:rPr>
                <w:rFonts w:asciiTheme="minorHAnsi" w:hAnsiTheme="minorHAnsi" w:cstheme="minorHAnsi"/>
                <w:color w:val="000000"/>
                <w:szCs w:val="22"/>
              </w:rPr>
              <w:t>NA</w:t>
            </w:r>
          </w:p>
        </w:tc>
      </w:tr>
    </w:tbl>
    <w:p w14:paraId="429896C5" w14:textId="6C1FC40F" w:rsidR="00F004D3" w:rsidRPr="002D07B8" w:rsidRDefault="003B05A7" w:rsidP="00E31423">
      <w:pPr>
        <w:spacing w:before="240" w:after="120"/>
        <w:rPr>
          <w:rFonts w:asciiTheme="minorHAnsi" w:hAnsiTheme="minorHAnsi" w:cstheme="minorHAnsi"/>
          <w:szCs w:val="22"/>
        </w:rPr>
      </w:pPr>
      <w:r w:rsidRPr="002D07B8">
        <w:rPr>
          <w:rFonts w:asciiTheme="minorHAnsi" w:hAnsiTheme="minorHAnsi" w:cstheme="minorHAnsi"/>
          <w:szCs w:val="22"/>
        </w:rPr>
        <w:t>As was the case last year, we applied a t</w:t>
      </w:r>
      <w:r w:rsidR="007E10EF" w:rsidRPr="002D07B8">
        <w:rPr>
          <w:rFonts w:asciiTheme="minorHAnsi" w:hAnsiTheme="minorHAnsi" w:cstheme="minorHAnsi"/>
          <w:szCs w:val="22"/>
        </w:rPr>
        <w:t>arget methodology that takes a base target</w:t>
      </w:r>
      <w:r w:rsidRPr="002D07B8">
        <w:rPr>
          <w:rFonts w:asciiTheme="minorHAnsi" w:hAnsiTheme="minorHAnsi" w:cstheme="minorHAnsi"/>
          <w:szCs w:val="22"/>
        </w:rPr>
        <w:t xml:space="preserve"> (</w:t>
      </w:r>
      <w:r w:rsidR="00074E92" w:rsidRPr="002D07B8">
        <w:rPr>
          <w:rFonts w:asciiTheme="minorHAnsi" w:hAnsiTheme="minorHAnsi" w:cstheme="minorHAnsi"/>
          <w:szCs w:val="22"/>
        </w:rPr>
        <w:t>60</w:t>
      </w:r>
      <w:r w:rsidRPr="002D07B8">
        <w:rPr>
          <w:rFonts w:asciiTheme="minorHAnsi" w:hAnsiTheme="minorHAnsi" w:cstheme="minorHAnsi"/>
          <w:szCs w:val="22"/>
        </w:rPr>
        <w:t xml:space="preserve">% </w:t>
      </w:r>
      <w:r w:rsidR="004F3D54" w:rsidRPr="002D07B8">
        <w:rPr>
          <w:rFonts w:asciiTheme="minorHAnsi" w:hAnsiTheme="minorHAnsi" w:cstheme="minorHAnsi"/>
          <w:szCs w:val="22"/>
        </w:rPr>
        <w:t>for BCY</w:t>
      </w:r>
      <w:r w:rsidR="00074E92" w:rsidRPr="002D07B8">
        <w:rPr>
          <w:rFonts w:asciiTheme="minorHAnsi" w:hAnsiTheme="minorHAnsi" w:cstheme="minorHAnsi"/>
          <w:szCs w:val="22"/>
        </w:rPr>
        <w:t>20</w:t>
      </w:r>
      <w:r w:rsidRPr="002D07B8">
        <w:rPr>
          <w:rFonts w:asciiTheme="minorHAnsi" w:hAnsiTheme="minorHAnsi" w:cstheme="minorHAnsi"/>
          <w:szCs w:val="22"/>
        </w:rPr>
        <w:t xml:space="preserve">) and then sets subtargets based on the “% </w:t>
      </w:r>
      <w:r w:rsidR="007E10EF" w:rsidRPr="002D07B8">
        <w:rPr>
          <w:rFonts w:asciiTheme="minorHAnsi" w:hAnsiTheme="minorHAnsi" w:cstheme="minorHAnsi"/>
          <w:szCs w:val="22"/>
        </w:rPr>
        <w:t xml:space="preserve">of </w:t>
      </w:r>
      <w:r w:rsidRPr="002D07B8">
        <w:rPr>
          <w:rFonts w:asciiTheme="minorHAnsi" w:hAnsiTheme="minorHAnsi" w:cstheme="minorHAnsi"/>
          <w:szCs w:val="22"/>
        </w:rPr>
        <w:t>Overall</w:t>
      </w:r>
      <w:r w:rsidR="000238D9" w:rsidRPr="002D07B8">
        <w:rPr>
          <w:rFonts w:asciiTheme="minorHAnsi" w:hAnsiTheme="minorHAnsi" w:cstheme="minorHAnsi"/>
          <w:szCs w:val="22"/>
        </w:rPr>
        <w:t xml:space="preserve"> </w:t>
      </w:r>
      <w:r w:rsidRPr="002D07B8">
        <w:rPr>
          <w:rFonts w:asciiTheme="minorHAnsi" w:hAnsiTheme="minorHAnsi" w:cstheme="minorHAnsi"/>
          <w:szCs w:val="22"/>
        </w:rPr>
        <w:t xml:space="preserve">Performance” </w:t>
      </w:r>
      <w:r w:rsidR="000238D9" w:rsidRPr="002D07B8">
        <w:rPr>
          <w:rFonts w:asciiTheme="minorHAnsi" w:hAnsiTheme="minorHAnsi" w:cstheme="minorHAnsi"/>
          <w:szCs w:val="22"/>
        </w:rPr>
        <w:t>data listed above and applied to each Board ba</w:t>
      </w:r>
      <w:r w:rsidRPr="002D07B8">
        <w:rPr>
          <w:rFonts w:asciiTheme="minorHAnsi" w:hAnsiTheme="minorHAnsi" w:cstheme="minorHAnsi"/>
          <w:szCs w:val="22"/>
        </w:rPr>
        <w:t>sed on their individual casemix:</w:t>
      </w:r>
    </w:p>
    <w:tbl>
      <w:tblPr>
        <w:tblW w:w="10448" w:type="dxa"/>
        <w:jc w:val="center"/>
        <w:tblLook w:val="04A0" w:firstRow="1" w:lastRow="0" w:firstColumn="1" w:lastColumn="0" w:noHBand="0" w:noVBand="1"/>
        <w:tblDescription w:val="Target Methodology that takes a base target (58% for BCY19) then set subtarget based on the % of Overall Performance from previous table and applied to each board based on their individual casemix."/>
      </w:tblPr>
      <w:tblGrid>
        <w:gridCol w:w="4245"/>
        <w:gridCol w:w="960"/>
        <w:gridCol w:w="987"/>
        <w:gridCol w:w="987"/>
        <w:gridCol w:w="1180"/>
        <w:gridCol w:w="1102"/>
        <w:gridCol w:w="987"/>
      </w:tblGrid>
      <w:tr w:rsidR="007E10EF" w:rsidRPr="002D07B8" w14:paraId="429896CD" w14:textId="77777777" w:rsidTr="00037C0C">
        <w:trPr>
          <w:trHeight w:val="300"/>
          <w:jc w:val="center"/>
        </w:trPr>
        <w:tc>
          <w:tcPr>
            <w:tcW w:w="4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896C6" w14:textId="77777777" w:rsidR="007E10EF" w:rsidRPr="002D07B8" w:rsidRDefault="007E10EF" w:rsidP="000C4616">
            <w:pPr>
              <w:rPr>
                <w:rFonts w:asciiTheme="minorHAnsi" w:hAnsiTheme="minorHAnsi" w:cstheme="minorHAnsi"/>
                <w:b/>
                <w:color w:val="000000"/>
                <w:szCs w:val="22"/>
              </w:rPr>
            </w:pPr>
            <w:bookmarkStart w:id="3" w:name="Title_6_BCY19_Target_Analysis_Casemix"/>
            <w:bookmarkEnd w:id="3"/>
            <w:r w:rsidRPr="002D07B8">
              <w:rPr>
                <w:rFonts w:asciiTheme="minorHAnsi" w:hAnsiTheme="minorHAnsi" w:cstheme="minorHAnsi"/>
                <w:b/>
                <w:color w:val="000000"/>
                <w:szCs w:val="22"/>
              </w:rPr>
              <w:t>Breakouts/Analysis</w:t>
            </w:r>
            <w:r w:rsidR="004E6506" w:rsidRPr="002D07B8">
              <w:rPr>
                <w:rFonts w:asciiTheme="minorHAnsi" w:hAnsiTheme="minorHAnsi" w:cstheme="minorHAnsi"/>
                <w:b/>
                <w:color w:val="000000"/>
                <w:szCs w:val="22"/>
                <w:vertAlign w:val="superscript"/>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29896C7" w14:textId="77777777" w:rsidR="007E10EF" w:rsidRPr="002D07B8" w:rsidRDefault="007E10EF" w:rsidP="000C4616">
            <w:pPr>
              <w:jc w:val="center"/>
              <w:rPr>
                <w:rFonts w:asciiTheme="minorHAnsi" w:hAnsiTheme="minorHAnsi" w:cstheme="minorHAnsi"/>
                <w:b/>
                <w:color w:val="000000"/>
                <w:szCs w:val="22"/>
              </w:rPr>
            </w:pPr>
            <w:r w:rsidRPr="002D07B8">
              <w:rPr>
                <w:rFonts w:asciiTheme="minorHAnsi" w:hAnsiTheme="minorHAnsi" w:cstheme="minorHAnsi"/>
                <w:b/>
                <w:color w:val="000000"/>
                <w:szCs w:val="22"/>
              </w:rPr>
              <w:t>UCX</w:t>
            </w:r>
          </w:p>
        </w:tc>
        <w:tc>
          <w:tcPr>
            <w:tcW w:w="987" w:type="dxa"/>
            <w:tcBorders>
              <w:top w:val="single" w:sz="4" w:space="0" w:color="auto"/>
              <w:left w:val="nil"/>
              <w:bottom w:val="single" w:sz="4" w:space="0" w:color="auto"/>
              <w:right w:val="single" w:sz="4" w:space="0" w:color="auto"/>
            </w:tcBorders>
            <w:shd w:val="clear" w:color="auto" w:fill="auto"/>
            <w:noWrap/>
            <w:vAlign w:val="bottom"/>
            <w:hideMark/>
          </w:tcPr>
          <w:p w14:paraId="429896C8" w14:textId="77777777" w:rsidR="007E10EF" w:rsidRPr="002D07B8" w:rsidRDefault="007E10EF" w:rsidP="000C4616">
            <w:pPr>
              <w:jc w:val="center"/>
              <w:rPr>
                <w:rFonts w:asciiTheme="minorHAnsi" w:hAnsiTheme="minorHAnsi" w:cstheme="minorHAnsi"/>
                <w:b/>
                <w:color w:val="000000"/>
                <w:szCs w:val="22"/>
              </w:rPr>
            </w:pPr>
            <w:r w:rsidRPr="002D07B8">
              <w:rPr>
                <w:rFonts w:asciiTheme="minorHAnsi" w:hAnsiTheme="minorHAnsi" w:cstheme="minorHAnsi"/>
                <w:b/>
                <w:color w:val="000000"/>
                <w:szCs w:val="22"/>
              </w:rPr>
              <w:t>Fed</w:t>
            </w:r>
          </w:p>
        </w:tc>
        <w:tc>
          <w:tcPr>
            <w:tcW w:w="987" w:type="dxa"/>
            <w:tcBorders>
              <w:top w:val="single" w:sz="4" w:space="0" w:color="auto"/>
              <w:left w:val="nil"/>
              <w:bottom w:val="single" w:sz="4" w:space="0" w:color="auto"/>
              <w:right w:val="single" w:sz="4" w:space="0" w:color="auto"/>
            </w:tcBorders>
            <w:shd w:val="clear" w:color="auto" w:fill="auto"/>
            <w:noWrap/>
            <w:vAlign w:val="bottom"/>
            <w:hideMark/>
          </w:tcPr>
          <w:p w14:paraId="429896C9" w14:textId="77777777" w:rsidR="007E10EF" w:rsidRPr="002D07B8" w:rsidRDefault="007E10EF" w:rsidP="000C4616">
            <w:pPr>
              <w:jc w:val="center"/>
              <w:rPr>
                <w:rFonts w:asciiTheme="minorHAnsi" w:hAnsiTheme="minorHAnsi" w:cstheme="minorHAnsi"/>
                <w:b/>
                <w:color w:val="000000"/>
                <w:szCs w:val="22"/>
              </w:rPr>
            </w:pPr>
            <w:r w:rsidRPr="002D07B8">
              <w:rPr>
                <w:rFonts w:asciiTheme="minorHAnsi" w:hAnsiTheme="minorHAnsi" w:cstheme="minorHAnsi"/>
                <w:b/>
                <w:color w:val="000000"/>
                <w:szCs w:val="22"/>
              </w:rPr>
              <w:t>Oil-Gas</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429896CA" w14:textId="77777777" w:rsidR="007E10EF" w:rsidRPr="002D07B8" w:rsidRDefault="007E10EF" w:rsidP="000C4616">
            <w:pPr>
              <w:jc w:val="center"/>
              <w:rPr>
                <w:rFonts w:asciiTheme="minorHAnsi" w:hAnsiTheme="minorHAnsi" w:cstheme="minorHAnsi"/>
                <w:b/>
                <w:color w:val="000000"/>
                <w:szCs w:val="22"/>
              </w:rPr>
            </w:pPr>
            <w:r w:rsidRPr="002D07B8">
              <w:rPr>
                <w:rFonts w:asciiTheme="minorHAnsi" w:hAnsiTheme="minorHAnsi" w:cstheme="minorHAnsi"/>
                <w:b/>
                <w:color w:val="000000"/>
                <w:szCs w:val="22"/>
              </w:rPr>
              <w:t>Non-Oil-Gas</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14:paraId="429896CB" w14:textId="77777777" w:rsidR="007E10EF" w:rsidRPr="002D07B8" w:rsidRDefault="007E10EF" w:rsidP="000C4616">
            <w:pPr>
              <w:jc w:val="center"/>
              <w:rPr>
                <w:rFonts w:asciiTheme="minorHAnsi" w:hAnsiTheme="minorHAnsi" w:cstheme="minorHAnsi"/>
                <w:b/>
                <w:color w:val="000000"/>
                <w:szCs w:val="22"/>
              </w:rPr>
            </w:pPr>
            <w:r w:rsidRPr="002D07B8">
              <w:rPr>
                <w:rFonts w:asciiTheme="minorHAnsi" w:hAnsiTheme="minorHAnsi" w:cstheme="minorHAnsi"/>
                <w:b/>
                <w:color w:val="000000"/>
                <w:szCs w:val="22"/>
              </w:rPr>
              <w:t>Unknown</w:t>
            </w:r>
          </w:p>
        </w:tc>
        <w:tc>
          <w:tcPr>
            <w:tcW w:w="987" w:type="dxa"/>
            <w:tcBorders>
              <w:top w:val="single" w:sz="4" w:space="0" w:color="auto"/>
              <w:left w:val="nil"/>
              <w:bottom w:val="single" w:sz="4" w:space="0" w:color="auto"/>
              <w:right w:val="single" w:sz="4" w:space="0" w:color="auto"/>
            </w:tcBorders>
            <w:shd w:val="clear" w:color="auto" w:fill="auto"/>
            <w:noWrap/>
            <w:vAlign w:val="bottom"/>
            <w:hideMark/>
          </w:tcPr>
          <w:p w14:paraId="429896CC" w14:textId="77777777" w:rsidR="007E10EF" w:rsidRPr="002D07B8" w:rsidRDefault="007E10EF" w:rsidP="000C4616">
            <w:pPr>
              <w:jc w:val="center"/>
              <w:rPr>
                <w:rFonts w:asciiTheme="minorHAnsi" w:hAnsiTheme="minorHAnsi" w:cstheme="minorHAnsi"/>
                <w:b/>
                <w:color w:val="000000"/>
                <w:szCs w:val="22"/>
              </w:rPr>
            </w:pPr>
            <w:r w:rsidRPr="002D07B8">
              <w:rPr>
                <w:rFonts w:asciiTheme="minorHAnsi" w:hAnsiTheme="minorHAnsi" w:cstheme="minorHAnsi"/>
                <w:b/>
                <w:color w:val="000000"/>
                <w:szCs w:val="22"/>
              </w:rPr>
              <w:t>Overall</w:t>
            </w:r>
          </w:p>
        </w:tc>
      </w:tr>
      <w:tr w:rsidR="00074E92" w:rsidRPr="002D07B8" w14:paraId="429896D5" w14:textId="77777777" w:rsidTr="00037C0C">
        <w:trPr>
          <w:trHeight w:val="300"/>
          <w:jc w:val="center"/>
        </w:trPr>
        <w:tc>
          <w:tcPr>
            <w:tcW w:w="4245" w:type="dxa"/>
            <w:tcBorders>
              <w:top w:val="nil"/>
              <w:left w:val="single" w:sz="4" w:space="0" w:color="auto"/>
              <w:bottom w:val="single" w:sz="4" w:space="0" w:color="auto"/>
              <w:right w:val="single" w:sz="4" w:space="0" w:color="auto"/>
            </w:tcBorders>
            <w:shd w:val="clear" w:color="auto" w:fill="auto"/>
            <w:noWrap/>
            <w:vAlign w:val="bottom"/>
            <w:hideMark/>
          </w:tcPr>
          <w:p w14:paraId="429896CE" w14:textId="77777777" w:rsidR="00074E92" w:rsidRPr="002D07B8" w:rsidRDefault="00074E92" w:rsidP="00074E92">
            <w:pPr>
              <w:rPr>
                <w:rFonts w:asciiTheme="minorHAnsi" w:hAnsiTheme="minorHAnsi" w:cstheme="minorHAnsi"/>
                <w:b/>
                <w:color w:val="000000"/>
                <w:szCs w:val="22"/>
              </w:rPr>
            </w:pPr>
            <w:r w:rsidRPr="002D07B8">
              <w:rPr>
                <w:rFonts w:asciiTheme="minorHAnsi" w:hAnsiTheme="minorHAnsi" w:cstheme="minorHAnsi"/>
                <w:b/>
                <w:color w:val="000000"/>
                <w:szCs w:val="22"/>
              </w:rPr>
              <w:t>Performance</w:t>
            </w:r>
          </w:p>
        </w:tc>
        <w:tc>
          <w:tcPr>
            <w:tcW w:w="960" w:type="dxa"/>
            <w:tcBorders>
              <w:top w:val="nil"/>
              <w:left w:val="nil"/>
              <w:bottom w:val="single" w:sz="4" w:space="0" w:color="auto"/>
              <w:right w:val="single" w:sz="4" w:space="0" w:color="auto"/>
            </w:tcBorders>
            <w:shd w:val="clear" w:color="auto" w:fill="auto"/>
            <w:noWrap/>
            <w:vAlign w:val="bottom"/>
            <w:hideMark/>
          </w:tcPr>
          <w:p w14:paraId="429896CF" w14:textId="443A9856" w:rsidR="00074E92" w:rsidRPr="002D07B8" w:rsidRDefault="00074E92" w:rsidP="00074E92">
            <w:pPr>
              <w:jc w:val="center"/>
              <w:rPr>
                <w:rFonts w:asciiTheme="minorHAnsi" w:hAnsiTheme="minorHAnsi" w:cstheme="minorHAnsi"/>
                <w:color w:val="000000"/>
                <w:szCs w:val="22"/>
              </w:rPr>
            </w:pPr>
            <w:r w:rsidRPr="002D07B8">
              <w:rPr>
                <w:rFonts w:asciiTheme="minorHAnsi" w:hAnsiTheme="minorHAnsi" w:cstheme="minorHAnsi"/>
                <w:color w:val="000000"/>
                <w:szCs w:val="22"/>
              </w:rPr>
              <w:t>54.64%</w:t>
            </w:r>
          </w:p>
        </w:tc>
        <w:tc>
          <w:tcPr>
            <w:tcW w:w="987" w:type="dxa"/>
            <w:tcBorders>
              <w:top w:val="nil"/>
              <w:left w:val="nil"/>
              <w:bottom w:val="single" w:sz="4" w:space="0" w:color="auto"/>
              <w:right w:val="single" w:sz="4" w:space="0" w:color="auto"/>
            </w:tcBorders>
            <w:shd w:val="clear" w:color="auto" w:fill="auto"/>
            <w:noWrap/>
            <w:vAlign w:val="bottom"/>
            <w:hideMark/>
          </w:tcPr>
          <w:p w14:paraId="429896D0" w14:textId="7FC28E8B" w:rsidR="00074E92" w:rsidRPr="002D07B8" w:rsidRDefault="00074E92" w:rsidP="00074E92">
            <w:pPr>
              <w:jc w:val="center"/>
              <w:rPr>
                <w:rFonts w:asciiTheme="minorHAnsi" w:hAnsiTheme="minorHAnsi" w:cstheme="minorHAnsi"/>
                <w:color w:val="000000"/>
                <w:szCs w:val="22"/>
              </w:rPr>
            </w:pPr>
            <w:r w:rsidRPr="002D07B8">
              <w:rPr>
                <w:rFonts w:asciiTheme="minorHAnsi" w:hAnsiTheme="minorHAnsi" w:cstheme="minorHAnsi"/>
                <w:color w:val="000000"/>
                <w:szCs w:val="22"/>
              </w:rPr>
              <w:t>61.48%</w:t>
            </w:r>
          </w:p>
        </w:tc>
        <w:tc>
          <w:tcPr>
            <w:tcW w:w="987" w:type="dxa"/>
            <w:tcBorders>
              <w:top w:val="nil"/>
              <w:left w:val="nil"/>
              <w:bottom w:val="single" w:sz="4" w:space="0" w:color="auto"/>
              <w:right w:val="single" w:sz="4" w:space="0" w:color="auto"/>
            </w:tcBorders>
            <w:shd w:val="clear" w:color="auto" w:fill="auto"/>
            <w:noWrap/>
            <w:vAlign w:val="bottom"/>
            <w:hideMark/>
          </w:tcPr>
          <w:p w14:paraId="429896D1" w14:textId="5D6D8A35" w:rsidR="00074E92" w:rsidRPr="002D07B8" w:rsidRDefault="00074E92" w:rsidP="00074E92">
            <w:pPr>
              <w:jc w:val="center"/>
              <w:rPr>
                <w:rFonts w:asciiTheme="minorHAnsi" w:hAnsiTheme="minorHAnsi" w:cstheme="minorHAnsi"/>
                <w:color w:val="000000"/>
                <w:szCs w:val="22"/>
              </w:rPr>
            </w:pPr>
            <w:r w:rsidRPr="002D07B8">
              <w:rPr>
                <w:rFonts w:asciiTheme="minorHAnsi" w:hAnsiTheme="minorHAnsi" w:cstheme="minorHAnsi"/>
                <w:color w:val="000000"/>
                <w:szCs w:val="22"/>
              </w:rPr>
              <w:t>65.42%</w:t>
            </w:r>
          </w:p>
        </w:tc>
        <w:tc>
          <w:tcPr>
            <w:tcW w:w="1180" w:type="dxa"/>
            <w:tcBorders>
              <w:top w:val="nil"/>
              <w:left w:val="nil"/>
              <w:bottom w:val="single" w:sz="4" w:space="0" w:color="auto"/>
              <w:right w:val="single" w:sz="4" w:space="0" w:color="auto"/>
            </w:tcBorders>
            <w:shd w:val="clear" w:color="auto" w:fill="auto"/>
            <w:noWrap/>
            <w:vAlign w:val="bottom"/>
            <w:hideMark/>
          </w:tcPr>
          <w:p w14:paraId="429896D2" w14:textId="3B1BBB6E" w:rsidR="00074E92" w:rsidRPr="002D07B8" w:rsidRDefault="00074E92" w:rsidP="00074E92">
            <w:pPr>
              <w:jc w:val="center"/>
              <w:rPr>
                <w:rFonts w:asciiTheme="minorHAnsi" w:hAnsiTheme="minorHAnsi" w:cstheme="minorHAnsi"/>
                <w:color w:val="000000"/>
                <w:szCs w:val="22"/>
              </w:rPr>
            </w:pPr>
            <w:r w:rsidRPr="002D07B8">
              <w:rPr>
                <w:rFonts w:asciiTheme="minorHAnsi" w:hAnsiTheme="minorHAnsi" w:cstheme="minorHAnsi"/>
                <w:color w:val="000000"/>
                <w:szCs w:val="22"/>
              </w:rPr>
              <w:t>58.84%</w:t>
            </w:r>
          </w:p>
        </w:tc>
        <w:tc>
          <w:tcPr>
            <w:tcW w:w="1102" w:type="dxa"/>
            <w:tcBorders>
              <w:top w:val="nil"/>
              <w:left w:val="nil"/>
              <w:bottom w:val="single" w:sz="4" w:space="0" w:color="auto"/>
              <w:right w:val="single" w:sz="4" w:space="0" w:color="auto"/>
            </w:tcBorders>
            <w:shd w:val="clear" w:color="auto" w:fill="auto"/>
            <w:noWrap/>
            <w:vAlign w:val="bottom"/>
            <w:hideMark/>
          </w:tcPr>
          <w:p w14:paraId="429896D3" w14:textId="35186BBA" w:rsidR="00074E92" w:rsidRPr="002D07B8" w:rsidRDefault="00074E92" w:rsidP="00074E92">
            <w:pPr>
              <w:jc w:val="center"/>
              <w:rPr>
                <w:rFonts w:asciiTheme="minorHAnsi" w:hAnsiTheme="minorHAnsi" w:cstheme="minorHAnsi"/>
                <w:color w:val="000000"/>
                <w:szCs w:val="22"/>
              </w:rPr>
            </w:pPr>
            <w:r w:rsidRPr="002D07B8">
              <w:rPr>
                <w:rFonts w:asciiTheme="minorHAnsi" w:hAnsiTheme="minorHAnsi" w:cstheme="minorHAnsi"/>
                <w:color w:val="000000"/>
                <w:szCs w:val="22"/>
              </w:rPr>
              <w:t>53.30%</w:t>
            </w:r>
          </w:p>
        </w:tc>
        <w:tc>
          <w:tcPr>
            <w:tcW w:w="987" w:type="dxa"/>
            <w:tcBorders>
              <w:top w:val="nil"/>
              <w:left w:val="nil"/>
              <w:bottom w:val="single" w:sz="4" w:space="0" w:color="auto"/>
              <w:right w:val="single" w:sz="4" w:space="0" w:color="auto"/>
            </w:tcBorders>
            <w:shd w:val="clear" w:color="auto" w:fill="auto"/>
            <w:noWrap/>
            <w:vAlign w:val="bottom"/>
            <w:hideMark/>
          </w:tcPr>
          <w:p w14:paraId="429896D4" w14:textId="0C52D651" w:rsidR="00074E92" w:rsidRPr="002D07B8" w:rsidRDefault="00074E92" w:rsidP="00074E92">
            <w:pPr>
              <w:jc w:val="center"/>
              <w:rPr>
                <w:rFonts w:asciiTheme="minorHAnsi" w:hAnsiTheme="minorHAnsi" w:cstheme="minorHAnsi"/>
                <w:color w:val="000000"/>
                <w:szCs w:val="22"/>
              </w:rPr>
            </w:pPr>
            <w:r w:rsidRPr="002D07B8">
              <w:rPr>
                <w:rFonts w:asciiTheme="minorHAnsi" w:hAnsiTheme="minorHAnsi" w:cstheme="minorHAnsi"/>
                <w:color w:val="000000"/>
                <w:szCs w:val="22"/>
              </w:rPr>
              <w:t>59.14%</w:t>
            </w:r>
          </w:p>
        </w:tc>
      </w:tr>
      <w:tr w:rsidR="00074E92" w:rsidRPr="002D07B8" w14:paraId="429896DD" w14:textId="77777777" w:rsidTr="00037C0C">
        <w:trPr>
          <w:trHeight w:val="300"/>
          <w:jc w:val="center"/>
        </w:trPr>
        <w:tc>
          <w:tcPr>
            <w:tcW w:w="4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896D6" w14:textId="77777777" w:rsidR="00074E92" w:rsidRPr="002D07B8" w:rsidRDefault="00074E92" w:rsidP="00074E92">
            <w:pPr>
              <w:rPr>
                <w:rFonts w:asciiTheme="minorHAnsi" w:hAnsiTheme="minorHAnsi" w:cstheme="minorHAnsi"/>
                <w:b/>
                <w:color w:val="000000"/>
                <w:szCs w:val="22"/>
              </w:rPr>
            </w:pPr>
            <w:r w:rsidRPr="002D07B8">
              <w:rPr>
                <w:rFonts w:asciiTheme="minorHAnsi" w:hAnsiTheme="minorHAnsi" w:cstheme="minorHAnsi"/>
                <w:b/>
                <w:color w:val="000000"/>
                <w:szCs w:val="22"/>
              </w:rPr>
              <w:t>% of Overall Performance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29896D7" w14:textId="2390C19E" w:rsidR="00074E92" w:rsidRPr="002D07B8" w:rsidRDefault="00074E92" w:rsidP="00074E92">
            <w:pPr>
              <w:jc w:val="center"/>
              <w:rPr>
                <w:rFonts w:asciiTheme="minorHAnsi" w:hAnsiTheme="minorHAnsi" w:cstheme="minorHAnsi"/>
                <w:color w:val="000000"/>
                <w:szCs w:val="22"/>
              </w:rPr>
            </w:pPr>
            <w:r w:rsidRPr="002D07B8">
              <w:rPr>
                <w:rFonts w:asciiTheme="minorHAnsi" w:hAnsiTheme="minorHAnsi" w:cstheme="minorHAnsi"/>
                <w:color w:val="000000"/>
                <w:szCs w:val="22"/>
              </w:rPr>
              <w:t>92.39%</w:t>
            </w:r>
          </w:p>
        </w:tc>
        <w:tc>
          <w:tcPr>
            <w:tcW w:w="987" w:type="dxa"/>
            <w:tcBorders>
              <w:top w:val="single" w:sz="4" w:space="0" w:color="auto"/>
              <w:left w:val="nil"/>
              <w:bottom w:val="single" w:sz="4" w:space="0" w:color="auto"/>
              <w:right w:val="single" w:sz="4" w:space="0" w:color="auto"/>
            </w:tcBorders>
            <w:shd w:val="clear" w:color="auto" w:fill="auto"/>
            <w:noWrap/>
            <w:vAlign w:val="bottom"/>
            <w:hideMark/>
          </w:tcPr>
          <w:p w14:paraId="429896D8" w14:textId="281D284C" w:rsidR="00074E92" w:rsidRPr="002D07B8" w:rsidRDefault="00074E92" w:rsidP="00074E92">
            <w:pPr>
              <w:jc w:val="center"/>
              <w:rPr>
                <w:rFonts w:asciiTheme="minorHAnsi" w:hAnsiTheme="minorHAnsi" w:cstheme="minorHAnsi"/>
                <w:color w:val="000000"/>
                <w:szCs w:val="22"/>
              </w:rPr>
            </w:pPr>
            <w:r w:rsidRPr="002D07B8">
              <w:rPr>
                <w:rFonts w:asciiTheme="minorHAnsi" w:hAnsiTheme="minorHAnsi" w:cstheme="minorHAnsi"/>
                <w:color w:val="000000"/>
                <w:szCs w:val="22"/>
              </w:rPr>
              <w:t>103.96%</w:t>
            </w:r>
          </w:p>
        </w:tc>
        <w:tc>
          <w:tcPr>
            <w:tcW w:w="987" w:type="dxa"/>
            <w:tcBorders>
              <w:top w:val="single" w:sz="4" w:space="0" w:color="auto"/>
              <w:left w:val="nil"/>
              <w:bottom w:val="single" w:sz="4" w:space="0" w:color="auto"/>
              <w:right w:val="single" w:sz="4" w:space="0" w:color="auto"/>
            </w:tcBorders>
            <w:shd w:val="clear" w:color="auto" w:fill="auto"/>
            <w:noWrap/>
            <w:vAlign w:val="bottom"/>
            <w:hideMark/>
          </w:tcPr>
          <w:p w14:paraId="429896D9" w14:textId="68ABC6DA" w:rsidR="00074E92" w:rsidRPr="002D07B8" w:rsidRDefault="00074E92" w:rsidP="00074E92">
            <w:pPr>
              <w:jc w:val="center"/>
              <w:rPr>
                <w:rFonts w:asciiTheme="minorHAnsi" w:hAnsiTheme="minorHAnsi" w:cstheme="minorHAnsi"/>
                <w:color w:val="000000"/>
                <w:szCs w:val="22"/>
              </w:rPr>
            </w:pPr>
            <w:r w:rsidRPr="002D07B8">
              <w:rPr>
                <w:rFonts w:asciiTheme="minorHAnsi" w:hAnsiTheme="minorHAnsi" w:cstheme="minorHAnsi"/>
                <w:color w:val="000000"/>
                <w:szCs w:val="22"/>
              </w:rPr>
              <w:t>110.62%</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429896DA" w14:textId="7BF69D21" w:rsidR="00074E92" w:rsidRPr="002D07B8" w:rsidRDefault="00074E92" w:rsidP="00074E92">
            <w:pPr>
              <w:jc w:val="center"/>
              <w:rPr>
                <w:rFonts w:asciiTheme="minorHAnsi" w:hAnsiTheme="minorHAnsi" w:cstheme="minorHAnsi"/>
                <w:color w:val="000000"/>
                <w:szCs w:val="22"/>
              </w:rPr>
            </w:pPr>
            <w:r w:rsidRPr="002D07B8">
              <w:rPr>
                <w:rFonts w:asciiTheme="minorHAnsi" w:hAnsiTheme="minorHAnsi" w:cstheme="minorHAnsi"/>
                <w:color w:val="000000"/>
                <w:szCs w:val="22"/>
              </w:rPr>
              <w:t>99.49%</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14:paraId="429896DB" w14:textId="208E80E6" w:rsidR="00074E92" w:rsidRPr="002D07B8" w:rsidRDefault="00074E92" w:rsidP="00074E92">
            <w:pPr>
              <w:jc w:val="center"/>
              <w:rPr>
                <w:rFonts w:asciiTheme="minorHAnsi" w:hAnsiTheme="minorHAnsi" w:cstheme="minorHAnsi"/>
                <w:color w:val="000000"/>
                <w:szCs w:val="22"/>
              </w:rPr>
            </w:pPr>
            <w:r w:rsidRPr="002D07B8">
              <w:rPr>
                <w:rFonts w:asciiTheme="minorHAnsi" w:hAnsiTheme="minorHAnsi" w:cstheme="minorHAnsi"/>
                <w:color w:val="000000"/>
                <w:szCs w:val="22"/>
              </w:rPr>
              <w:t>90.13%</w:t>
            </w:r>
          </w:p>
        </w:tc>
        <w:tc>
          <w:tcPr>
            <w:tcW w:w="987" w:type="dxa"/>
            <w:tcBorders>
              <w:top w:val="single" w:sz="4" w:space="0" w:color="auto"/>
              <w:left w:val="nil"/>
              <w:bottom w:val="single" w:sz="4" w:space="0" w:color="auto"/>
              <w:right w:val="single" w:sz="4" w:space="0" w:color="auto"/>
            </w:tcBorders>
            <w:shd w:val="clear" w:color="auto" w:fill="auto"/>
            <w:noWrap/>
            <w:vAlign w:val="bottom"/>
            <w:hideMark/>
          </w:tcPr>
          <w:p w14:paraId="429896DC" w14:textId="43E6162F" w:rsidR="00074E92" w:rsidRPr="002D07B8" w:rsidRDefault="00074E92" w:rsidP="00074E92">
            <w:pPr>
              <w:jc w:val="center"/>
              <w:rPr>
                <w:rFonts w:asciiTheme="minorHAnsi" w:hAnsiTheme="minorHAnsi" w:cstheme="minorHAnsi"/>
                <w:color w:val="000000"/>
                <w:szCs w:val="22"/>
              </w:rPr>
            </w:pPr>
            <w:r w:rsidRPr="002D07B8">
              <w:rPr>
                <w:rFonts w:asciiTheme="minorHAnsi" w:hAnsiTheme="minorHAnsi" w:cstheme="minorHAnsi"/>
                <w:color w:val="000000"/>
                <w:szCs w:val="22"/>
              </w:rPr>
              <w:t>100.00%</w:t>
            </w:r>
          </w:p>
        </w:tc>
      </w:tr>
      <w:tr w:rsidR="00074E92" w:rsidRPr="002D07B8" w14:paraId="429896E5" w14:textId="77777777" w:rsidTr="00037C0C">
        <w:trPr>
          <w:trHeight w:val="300"/>
          <w:jc w:val="center"/>
        </w:trPr>
        <w:tc>
          <w:tcPr>
            <w:tcW w:w="42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9896DE" w14:textId="77777777" w:rsidR="00074E92" w:rsidRPr="002D07B8" w:rsidRDefault="00074E92" w:rsidP="00074E92">
            <w:pPr>
              <w:rPr>
                <w:rFonts w:asciiTheme="minorHAnsi" w:hAnsiTheme="minorHAnsi" w:cstheme="minorHAnsi"/>
                <w:b/>
                <w:color w:val="000000"/>
                <w:szCs w:val="22"/>
              </w:rPr>
            </w:pPr>
            <w:r w:rsidRPr="002D07B8">
              <w:rPr>
                <w:rFonts w:asciiTheme="minorHAnsi" w:hAnsiTheme="minorHAnsi" w:cstheme="minorHAnsi"/>
                <w:b/>
                <w:color w:val="000000"/>
                <w:szCs w:val="22"/>
              </w:rPr>
              <w:t>Subtarget</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29896DF" w14:textId="7EC7C9ED" w:rsidR="00074E92" w:rsidRPr="002D07B8" w:rsidRDefault="00074E92" w:rsidP="00074E92">
            <w:pPr>
              <w:jc w:val="center"/>
              <w:rPr>
                <w:rFonts w:asciiTheme="minorHAnsi" w:hAnsiTheme="minorHAnsi" w:cstheme="minorHAnsi"/>
                <w:color w:val="000000"/>
                <w:szCs w:val="22"/>
              </w:rPr>
            </w:pPr>
            <w:r w:rsidRPr="002D07B8">
              <w:rPr>
                <w:rFonts w:asciiTheme="minorHAnsi" w:hAnsiTheme="minorHAnsi" w:cstheme="minorHAnsi"/>
                <w:color w:val="000000"/>
                <w:szCs w:val="22"/>
              </w:rPr>
              <w:t>55.44%</w:t>
            </w:r>
          </w:p>
        </w:tc>
        <w:tc>
          <w:tcPr>
            <w:tcW w:w="987" w:type="dxa"/>
            <w:tcBorders>
              <w:top w:val="single" w:sz="4" w:space="0" w:color="auto"/>
              <w:left w:val="nil"/>
              <w:bottom w:val="single" w:sz="4" w:space="0" w:color="auto"/>
              <w:right w:val="single" w:sz="4" w:space="0" w:color="auto"/>
            </w:tcBorders>
            <w:shd w:val="clear" w:color="auto" w:fill="auto"/>
            <w:noWrap/>
            <w:vAlign w:val="bottom"/>
          </w:tcPr>
          <w:p w14:paraId="429896E0" w14:textId="2D33C785" w:rsidR="00074E92" w:rsidRPr="002D07B8" w:rsidRDefault="00074E92" w:rsidP="00074E92">
            <w:pPr>
              <w:jc w:val="center"/>
              <w:rPr>
                <w:rFonts w:asciiTheme="minorHAnsi" w:hAnsiTheme="minorHAnsi" w:cstheme="minorHAnsi"/>
                <w:color w:val="000000"/>
                <w:szCs w:val="22"/>
              </w:rPr>
            </w:pPr>
            <w:r w:rsidRPr="002D07B8">
              <w:rPr>
                <w:rFonts w:asciiTheme="minorHAnsi" w:hAnsiTheme="minorHAnsi" w:cstheme="minorHAnsi"/>
                <w:color w:val="000000"/>
                <w:szCs w:val="22"/>
              </w:rPr>
              <w:t>62.37%</w:t>
            </w:r>
          </w:p>
        </w:tc>
        <w:tc>
          <w:tcPr>
            <w:tcW w:w="987" w:type="dxa"/>
            <w:tcBorders>
              <w:top w:val="single" w:sz="4" w:space="0" w:color="auto"/>
              <w:left w:val="nil"/>
              <w:bottom w:val="single" w:sz="4" w:space="0" w:color="auto"/>
              <w:right w:val="single" w:sz="4" w:space="0" w:color="auto"/>
            </w:tcBorders>
            <w:shd w:val="clear" w:color="auto" w:fill="auto"/>
            <w:noWrap/>
            <w:vAlign w:val="bottom"/>
          </w:tcPr>
          <w:p w14:paraId="429896E1" w14:textId="00C57F2B" w:rsidR="00074E92" w:rsidRPr="002D07B8" w:rsidRDefault="00074E92" w:rsidP="00074E92">
            <w:pPr>
              <w:jc w:val="center"/>
              <w:rPr>
                <w:rFonts w:asciiTheme="minorHAnsi" w:hAnsiTheme="minorHAnsi" w:cstheme="minorHAnsi"/>
                <w:color w:val="000000"/>
                <w:szCs w:val="22"/>
              </w:rPr>
            </w:pPr>
            <w:r w:rsidRPr="002D07B8">
              <w:rPr>
                <w:rFonts w:asciiTheme="minorHAnsi" w:hAnsiTheme="minorHAnsi" w:cstheme="minorHAnsi"/>
                <w:color w:val="000000"/>
                <w:szCs w:val="22"/>
              </w:rPr>
              <w:t>66.37%</w:t>
            </w:r>
          </w:p>
        </w:tc>
        <w:tc>
          <w:tcPr>
            <w:tcW w:w="1180" w:type="dxa"/>
            <w:tcBorders>
              <w:top w:val="single" w:sz="4" w:space="0" w:color="auto"/>
              <w:left w:val="nil"/>
              <w:bottom w:val="single" w:sz="4" w:space="0" w:color="auto"/>
              <w:right w:val="single" w:sz="4" w:space="0" w:color="auto"/>
            </w:tcBorders>
            <w:shd w:val="clear" w:color="auto" w:fill="auto"/>
            <w:noWrap/>
            <w:vAlign w:val="bottom"/>
          </w:tcPr>
          <w:p w14:paraId="429896E2" w14:textId="74620CBA" w:rsidR="00074E92" w:rsidRPr="002D07B8" w:rsidRDefault="00074E92" w:rsidP="00074E92">
            <w:pPr>
              <w:jc w:val="center"/>
              <w:rPr>
                <w:rFonts w:asciiTheme="minorHAnsi" w:hAnsiTheme="minorHAnsi" w:cstheme="minorHAnsi"/>
                <w:color w:val="000000"/>
                <w:szCs w:val="22"/>
              </w:rPr>
            </w:pPr>
            <w:r w:rsidRPr="002D07B8">
              <w:rPr>
                <w:rFonts w:asciiTheme="minorHAnsi" w:hAnsiTheme="minorHAnsi" w:cstheme="minorHAnsi"/>
                <w:color w:val="000000"/>
                <w:szCs w:val="22"/>
              </w:rPr>
              <w:t>59.69%</w:t>
            </w:r>
          </w:p>
        </w:tc>
        <w:tc>
          <w:tcPr>
            <w:tcW w:w="1102" w:type="dxa"/>
            <w:tcBorders>
              <w:top w:val="single" w:sz="4" w:space="0" w:color="auto"/>
              <w:left w:val="nil"/>
              <w:bottom w:val="single" w:sz="4" w:space="0" w:color="auto"/>
              <w:right w:val="single" w:sz="4" w:space="0" w:color="auto"/>
            </w:tcBorders>
            <w:shd w:val="clear" w:color="auto" w:fill="auto"/>
            <w:noWrap/>
            <w:vAlign w:val="bottom"/>
          </w:tcPr>
          <w:p w14:paraId="429896E3" w14:textId="3DEB8B22" w:rsidR="00074E92" w:rsidRPr="002D07B8" w:rsidRDefault="00074E92" w:rsidP="00074E92">
            <w:pPr>
              <w:jc w:val="center"/>
              <w:rPr>
                <w:rFonts w:asciiTheme="minorHAnsi" w:hAnsiTheme="minorHAnsi" w:cstheme="minorHAnsi"/>
                <w:color w:val="000000"/>
                <w:szCs w:val="22"/>
              </w:rPr>
            </w:pPr>
            <w:r w:rsidRPr="002D07B8">
              <w:rPr>
                <w:rFonts w:asciiTheme="minorHAnsi" w:hAnsiTheme="minorHAnsi" w:cstheme="minorHAnsi"/>
                <w:color w:val="000000"/>
                <w:szCs w:val="22"/>
              </w:rPr>
              <w:t>54.08%</w:t>
            </w:r>
          </w:p>
        </w:tc>
        <w:tc>
          <w:tcPr>
            <w:tcW w:w="987" w:type="dxa"/>
            <w:tcBorders>
              <w:top w:val="single" w:sz="4" w:space="0" w:color="auto"/>
              <w:left w:val="nil"/>
              <w:bottom w:val="single" w:sz="4" w:space="0" w:color="auto"/>
              <w:right w:val="single" w:sz="4" w:space="0" w:color="auto"/>
            </w:tcBorders>
            <w:shd w:val="clear" w:color="auto" w:fill="auto"/>
            <w:noWrap/>
            <w:vAlign w:val="bottom"/>
          </w:tcPr>
          <w:p w14:paraId="429896E4" w14:textId="51598A63" w:rsidR="00074E92" w:rsidRPr="002D07B8" w:rsidRDefault="00074E92" w:rsidP="00074E92">
            <w:pPr>
              <w:jc w:val="center"/>
              <w:rPr>
                <w:rFonts w:asciiTheme="minorHAnsi" w:hAnsiTheme="minorHAnsi" w:cstheme="minorHAnsi"/>
                <w:color w:val="000000"/>
                <w:szCs w:val="22"/>
              </w:rPr>
            </w:pPr>
            <w:r w:rsidRPr="002D07B8">
              <w:rPr>
                <w:rFonts w:asciiTheme="minorHAnsi" w:hAnsiTheme="minorHAnsi" w:cstheme="minorHAnsi"/>
                <w:color w:val="000000"/>
                <w:szCs w:val="22"/>
              </w:rPr>
              <w:t>60.00%</w:t>
            </w:r>
          </w:p>
        </w:tc>
      </w:tr>
    </w:tbl>
    <w:p w14:paraId="429896E6" w14:textId="77777777" w:rsidR="006B4C39" w:rsidRPr="002D07B8" w:rsidRDefault="001F3770" w:rsidP="00C32235">
      <w:pPr>
        <w:spacing w:before="120" w:after="120"/>
        <w:rPr>
          <w:rFonts w:asciiTheme="minorHAnsi" w:hAnsiTheme="minorHAnsi" w:cstheme="minorHAnsi"/>
        </w:rPr>
      </w:pPr>
      <w:r w:rsidRPr="002D07B8">
        <w:rPr>
          <w:rFonts w:asciiTheme="minorHAnsi" w:hAnsiTheme="minorHAnsi" w:cstheme="minorHAnsi"/>
        </w:rPr>
        <w:t xml:space="preserve">However, </w:t>
      </w:r>
      <w:r w:rsidR="003B05A7" w:rsidRPr="002D07B8">
        <w:rPr>
          <w:rFonts w:asciiTheme="minorHAnsi" w:hAnsiTheme="minorHAnsi" w:cstheme="minorHAnsi"/>
        </w:rPr>
        <w:t xml:space="preserve">as was the case last year, </w:t>
      </w:r>
      <w:r w:rsidRPr="002D07B8">
        <w:rPr>
          <w:rFonts w:asciiTheme="minorHAnsi" w:hAnsiTheme="minorHAnsi" w:cstheme="minorHAnsi"/>
        </w:rPr>
        <w:t xml:space="preserve">we </w:t>
      </w:r>
      <w:r w:rsidR="003B05A7" w:rsidRPr="002D07B8">
        <w:rPr>
          <w:rFonts w:asciiTheme="minorHAnsi" w:hAnsiTheme="minorHAnsi" w:cstheme="minorHAnsi"/>
        </w:rPr>
        <w:t xml:space="preserve">found that </w:t>
      </w:r>
      <w:r w:rsidRPr="002D07B8">
        <w:rPr>
          <w:rFonts w:asciiTheme="minorHAnsi" w:hAnsiTheme="minorHAnsi" w:cstheme="minorHAnsi"/>
        </w:rPr>
        <w:t>there were B</w:t>
      </w:r>
      <w:r w:rsidR="00406BF2" w:rsidRPr="002D07B8">
        <w:rPr>
          <w:rFonts w:asciiTheme="minorHAnsi" w:hAnsiTheme="minorHAnsi" w:cstheme="minorHAnsi"/>
        </w:rPr>
        <w:t>oar</w:t>
      </w:r>
      <w:r w:rsidRPr="002D07B8">
        <w:rPr>
          <w:rFonts w:asciiTheme="minorHAnsi" w:hAnsiTheme="minorHAnsi" w:cstheme="minorHAnsi"/>
        </w:rPr>
        <w:t>ds whose overall performance was largely in</w:t>
      </w:r>
      <w:r w:rsidR="00406BF2" w:rsidRPr="002D07B8">
        <w:rPr>
          <w:rFonts w:asciiTheme="minorHAnsi" w:hAnsiTheme="minorHAnsi" w:cstheme="minorHAnsi"/>
        </w:rPr>
        <w:t xml:space="preserve"> </w:t>
      </w:r>
      <w:r w:rsidRPr="002D07B8">
        <w:rPr>
          <w:rFonts w:asciiTheme="minorHAnsi" w:hAnsiTheme="minorHAnsi" w:cstheme="minorHAnsi"/>
        </w:rPr>
        <w:t>line with these expectations, but who might be lagging in one of the various subtargets.  So</w:t>
      </w:r>
      <w:r w:rsidR="00406BF2" w:rsidRPr="002D07B8">
        <w:rPr>
          <w:rFonts w:asciiTheme="minorHAnsi" w:hAnsiTheme="minorHAnsi" w:cstheme="minorHAnsi"/>
        </w:rPr>
        <w:t>,</w:t>
      </w:r>
      <w:r w:rsidR="003B05A7" w:rsidRPr="002D07B8">
        <w:rPr>
          <w:rFonts w:asciiTheme="minorHAnsi" w:hAnsiTheme="minorHAnsi" w:cstheme="minorHAnsi"/>
        </w:rPr>
        <w:t xml:space="preserve"> the methodology applies </w:t>
      </w:r>
      <w:r w:rsidR="001C4F0F" w:rsidRPr="002D07B8">
        <w:rPr>
          <w:rFonts w:asciiTheme="minorHAnsi" w:hAnsiTheme="minorHAnsi" w:cstheme="minorHAnsi"/>
        </w:rPr>
        <w:t xml:space="preserve">a </w:t>
      </w:r>
      <w:r w:rsidR="00FC44E7" w:rsidRPr="002D07B8">
        <w:rPr>
          <w:rFonts w:asciiTheme="minorHAnsi" w:hAnsiTheme="minorHAnsi" w:cstheme="minorHAnsi"/>
        </w:rPr>
        <w:t>graduated approach</w:t>
      </w:r>
      <w:r w:rsidR="004F3D54" w:rsidRPr="002D07B8">
        <w:rPr>
          <w:rFonts w:asciiTheme="minorHAnsi" w:hAnsiTheme="minorHAnsi" w:cstheme="minorHAnsi"/>
        </w:rPr>
        <w:t>,</w:t>
      </w:r>
      <w:r w:rsidR="00FC44E7" w:rsidRPr="002D07B8">
        <w:rPr>
          <w:rFonts w:asciiTheme="minorHAnsi" w:hAnsiTheme="minorHAnsi" w:cstheme="minorHAnsi"/>
        </w:rPr>
        <w:t xml:space="preserve"> setting each Board’s subtarget </w:t>
      </w:r>
      <w:r w:rsidR="006B4C39" w:rsidRPr="002D07B8">
        <w:rPr>
          <w:rFonts w:asciiTheme="minorHAnsi" w:hAnsiTheme="minorHAnsi" w:cstheme="minorHAnsi"/>
        </w:rPr>
        <w:t>the lesser of:</w:t>
      </w:r>
    </w:p>
    <w:p w14:paraId="429896E7" w14:textId="77777777" w:rsidR="001F3770" w:rsidRPr="002D07B8" w:rsidRDefault="006B4C39" w:rsidP="006B4C39">
      <w:pPr>
        <w:pStyle w:val="ListParagraph"/>
        <w:numPr>
          <w:ilvl w:val="0"/>
          <w:numId w:val="34"/>
        </w:numPr>
        <w:spacing w:before="120" w:after="120"/>
        <w:rPr>
          <w:rFonts w:asciiTheme="minorHAnsi" w:hAnsiTheme="minorHAnsi" w:cstheme="minorHAnsi"/>
        </w:rPr>
      </w:pPr>
      <w:r w:rsidRPr="002D07B8">
        <w:rPr>
          <w:rFonts w:asciiTheme="minorHAnsi" w:hAnsiTheme="minorHAnsi" w:cstheme="minorHAnsi"/>
        </w:rPr>
        <w:t>H</w:t>
      </w:r>
      <w:r w:rsidR="00FC44E7" w:rsidRPr="002D07B8">
        <w:rPr>
          <w:rFonts w:asciiTheme="minorHAnsi" w:hAnsiTheme="minorHAnsi" w:cstheme="minorHAnsi"/>
        </w:rPr>
        <w:t>alf the distance between their current performance in that ca</w:t>
      </w:r>
      <w:r w:rsidRPr="002D07B8">
        <w:rPr>
          <w:rFonts w:asciiTheme="minorHAnsi" w:hAnsiTheme="minorHAnsi" w:cstheme="minorHAnsi"/>
        </w:rPr>
        <w:t>tegory and the state subtarget; or</w:t>
      </w:r>
    </w:p>
    <w:p w14:paraId="429896E8" w14:textId="3D105803" w:rsidR="006B4C39" w:rsidRPr="002D07B8" w:rsidRDefault="006B4C39" w:rsidP="006B4C39">
      <w:pPr>
        <w:pStyle w:val="ListParagraph"/>
        <w:numPr>
          <w:ilvl w:val="0"/>
          <w:numId w:val="34"/>
        </w:numPr>
        <w:spacing w:before="120" w:after="120"/>
        <w:rPr>
          <w:rFonts w:asciiTheme="minorHAnsi" w:hAnsiTheme="minorHAnsi" w:cstheme="minorHAnsi"/>
        </w:rPr>
      </w:pPr>
      <w:r w:rsidRPr="002D07B8">
        <w:rPr>
          <w:rFonts w:asciiTheme="minorHAnsi" w:hAnsiTheme="minorHAnsi" w:cstheme="minorHAnsi"/>
        </w:rPr>
        <w:t>The state subtarget.</w:t>
      </w:r>
    </w:p>
    <w:p w14:paraId="370D2D8D" w14:textId="18A59AF6" w:rsidR="00074E92" w:rsidRPr="002D07B8" w:rsidRDefault="00074E92" w:rsidP="00074E92">
      <w:pPr>
        <w:spacing w:before="120" w:after="120"/>
        <w:rPr>
          <w:rFonts w:asciiTheme="minorHAnsi" w:hAnsiTheme="minorHAnsi" w:cstheme="minorHAnsi"/>
        </w:rPr>
      </w:pPr>
      <w:r w:rsidRPr="002D07B8">
        <w:rPr>
          <w:rFonts w:asciiTheme="minorHAnsi" w:hAnsiTheme="minorHAnsi" w:cstheme="minorHAnsi"/>
        </w:rPr>
        <w:t>We also set the maximum Blended Target at 60%.</w:t>
      </w:r>
    </w:p>
    <w:p w14:paraId="429896E9" w14:textId="263CF22B" w:rsidR="00C32235" w:rsidRPr="002D07B8" w:rsidRDefault="00C32235" w:rsidP="00C32235">
      <w:pPr>
        <w:spacing w:before="120" w:after="120"/>
        <w:rPr>
          <w:rFonts w:asciiTheme="minorHAnsi" w:hAnsiTheme="minorHAnsi" w:cstheme="minorHAnsi"/>
          <w:u w:val="single"/>
        </w:rPr>
      </w:pPr>
      <w:r w:rsidRPr="002D07B8">
        <w:rPr>
          <w:rFonts w:asciiTheme="minorHAnsi" w:hAnsiTheme="minorHAnsi" w:cstheme="minorHAnsi"/>
          <w:u w:val="single"/>
        </w:rPr>
        <w:t xml:space="preserve">Detailed </w:t>
      </w:r>
      <w:r w:rsidR="001F3770" w:rsidRPr="002D07B8">
        <w:rPr>
          <w:rFonts w:asciiTheme="minorHAnsi" w:hAnsiTheme="minorHAnsi" w:cstheme="minorHAnsi"/>
          <w:u w:val="single"/>
        </w:rPr>
        <w:t xml:space="preserve">data </w:t>
      </w:r>
      <w:r w:rsidR="00FC44E7" w:rsidRPr="002D07B8">
        <w:rPr>
          <w:rFonts w:asciiTheme="minorHAnsi" w:hAnsiTheme="minorHAnsi" w:cstheme="minorHAnsi"/>
          <w:u w:val="single"/>
        </w:rPr>
        <w:t xml:space="preserve">used in the application of these target concepts </w:t>
      </w:r>
      <w:r w:rsidR="001F3770" w:rsidRPr="002D07B8">
        <w:rPr>
          <w:rFonts w:asciiTheme="minorHAnsi" w:hAnsiTheme="minorHAnsi" w:cstheme="minorHAnsi"/>
          <w:u w:val="single"/>
        </w:rPr>
        <w:t xml:space="preserve">is presented on Page </w:t>
      </w:r>
      <w:r w:rsidR="00694EEE" w:rsidRPr="002D07B8">
        <w:rPr>
          <w:rFonts w:asciiTheme="minorHAnsi" w:hAnsiTheme="minorHAnsi" w:cstheme="minorHAnsi"/>
          <w:u w:val="single"/>
        </w:rPr>
        <w:t>6</w:t>
      </w:r>
      <w:r w:rsidR="001F3770" w:rsidRPr="002D07B8">
        <w:rPr>
          <w:rFonts w:asciiTheme="minorHAnsi" w:hAnsiTheme="minorHAnsi" w:cstheme="minorHAnsi"/>
          <w:u w:val="single"/>
        </w:rPr>
        <w:t xml:space="preserve"> </w:t>
      </w:r>
      <w:r w:rsidRPr="002D07B8">
        <w:rPr>
          <w:rFonts w:asciiTheme="minorHAnsi" w:hAnsiTheme="minorHAnsi" w:cstheme="minorHAnsi"/>
          <w:u w:val="single"/>
        </w:rPr>
        <w:t>of this material.</w:t>
      </w:r>
    </w:p>
    <w:p w14:paraId="1D30AB65" w14:textId="1E1A8074" w:rsidR="00260100" w:rsidRPr="002D07B8" w:rsidRDefault="00260100" w:rsidP="00260100">
      <w:pPr>
        <w:pStyle w:val="Heading1"/>
        <w:rPr>
          <w:rFonts w:asciiTheme="minorHAnsi" w:hAnsiTheme="minorHAnsi" w:cstheme="minorHAnsi"/>
        </w:rPr>
      </w:pPr>
      <w:r w:rsidRPr="002D07B8">
        <w:rPr>
          <w:rFonts w:asciiTheme="minorHAnsi" w:hAnsiTheme="minorHAnsi" w:cstheme="minorHAnsi"/>
        </w:rPr>
        <w:t xml:space="preserve">BCY20 Target </w:t>
      </w:r>
      <w:r w:rsidRPr="002D07B8">
        <w:rPr>
          <w:rFonts w:asciiTheme="minorHAnsi" w:hAnsiTheme="minorHAnsi" w:cstheme="minorHAnsi"/>
          <w:color w:val="FF0000"/>
        </w:rPr>
        <w:t>Methodology</w:t>
      </w:r>
      <w:r w:rsidRPr="002D07B8">
        <w:rPr>
          <w:rFonts w:asciiTheme="minorHAnsi" w:hAnsiTheme="minorHAnsi" w:cstheme="minorHAnsi"/>
        </w:rPr>
        <w:t xml:space="preserve"> for Average Kids Served Per Day</w:t>
      </w:r>
    </w:p>
    <w:p w14:paraId="0B232055" w14:textId="3B7EFF85" w:rsidR="00260100" w:rsidRPr="002D07B8" w:rsidRDefault="009247D3" w:rsidP="00C32235">
      <w:pPr>
        <w:spacing w:before="120" w:after="120"/>
        <w:rPr>
          <w:rFonts w:asciiTheme="minorHAnsi" w:hAnsiTheme="minorHAnsi" w:cstheme="minorHAnsi"/>
        </w:rPr>
      </w:pPr>
      <w:r w:rsidRPr="002D07B8">
        <w:rPr>
          <w:rFonts w:asciiTheme="minorHAnsi" w:hAnsiTheme="minorHAnsi" w:cstheme="minorHAnsi"/>
        </w:rPr>
        <w:t xml:space="preserve">Child Care targets are generally set </w:t>
      </w:r>
      <w:r w:rsidR="00193778" w:rsidRPr="002D07B8">
        <w:rPr>
          <w:rFonts w:asciiTheme="minorHAnsi" w:hAnsiTheme="minorHAnsi" w:cstheme="minorHAnsi"/>
        </w:rPr>
        <w:t>using the same basic process:</w:t>
      </w:r>
    </w:p>
    <w:p w14:paraId="121D62D7" w14:textId="5CB84ED0" w:rsidR="00193778" w:rsidRPr="002D07B8" w:rsidRDefault="00135368" w:rsidP="00193778">
      <w:pPr>
        <w:pStyle w:val="ListParagraph"/>
        <w:numPr>
          <w:ilvl w:val="0"/>
          <w:numId w:val="37"/>
        </w:numPr>
        <w:spacing w:before="120" w:after="120"/>
        <w:rPr>
          <w:rFonts w:asciiTheme="minorHAnsi" w:hAnsiTheme="minorHAnsi" w:cstheme="minorHAnsi"/>
        </w:rPr>
      </w:pPr>
      <w:r w:rsidRPr="002D07B8">
        <w:rPr>
          <w:rFonts w:asciiTheme="minorHAnsi" w:hAnsiTheme="minorHAnsi" w:cstheme="minorHAnsi"/>
        </w:rPr>
        <w:t>A</w:t>
      </w:r>
      <w:r w:rsidR="00193778" w:rsidRPr="002D07B8">
        <w:rPr>
          <w:rFonts w:asciiTheme="minorHAnsi" w:hAnsiTheme="minorHAnsi" w:cstheme="minorHAnsi"/>
        </w:rPr>
        <w:t xml:space="preserve">llocate </w:t>
      </w:r>
      <w:r w:rsidR="00FC75FC" w:rsidRPr="002D07B8">
        <w:rPr>
          <w:rFonts w:asciiTheme="minorHAnsi" w:hAnsiTheme="minorHAnsi" w:cstheme="minorHAnsi"/>
        </w:rPr>
        <w:t>Funds for Child Care (CC)</w:t>
      </w:r>
      <w:r w:rsidR="007A1C99" w:rsidRPr="002D07B8">
        <w:rPr>
          <w:rFonts w:asciiTheme="minorHAnsi" w:hAnsiTheme="minorHAnsi" w:cstheme="minorHAnsi"/>
        </w:rPr>
        <w:t>;</w:t>
      </w:r>
    </w:p>
    <w:p w14:paraId="6E96EE3D" w14:textId="08AF7FE9" w:rsidR="00FC75FC" w:rsidRPr="002D07B8" w:rsidRDefault="00135368" w:rsidP="00193778">
      <w:pPr>
        <w:pStyle w:val="ListParagraph"/>
        <w:numPr>
          <w:ilvl w:val="0"/>
          <w:numId w:val="37"/>
        </w:numPr>
        <w:spacing w:before="120" w:after="120"/>
        <w:rPr>
          <w:rFonts w:asciiTheme="minorHAnsi" w:hAnsiTheme="minorHAnsi" w:cstheme="minorHAnsi"/>
        </w:rPr>
      </w:pPr>
      <w:r w:rsidRPr="002D07B8">
        <w:rPr>
          <w:rFonts w:asciiTheme="minorHAnsi" w:hAnsiTheme="minorHAnsi" w:cstheme="minorHAnsi"/>
        </w:rPr>
        <w:t xml:space="preserve">Reserve </w:t>
      </w:r>
      <w:r w:rsidR="007A1C99" w:rsidRPr="002D07B8">
        <w:rPr>
          <w:rFonts w:asciiTheme="minorHAnsi" w:hAnsiTheme="minorHAnsi" w:cstheme="minorHAnsi"/>
        </w:rPr>
        <w:t xml:space="preserve">2% of the money </w:t>
      </w:r>
      <w:r w:rsidR="00FA7454" w:rsidRPr="002D07B8">
        <w:rPr>
          <w:rFonts w:asciiTheme="minorHAnsi" w:hAnsiTheme="minorHAnsi" w:cstheme="minorHAnsi"/>
        </w:rPr>
        <w:t>for Qualit</w:t>
      </w:r>
      <w:r w:rsidR="007A1C99" w:rsidRPr="002D07B8">
        <w:rPr>
          <w:rFonts w:asciiTheme="minorHAnsi" w:hAnsiTheme="minorHAnsi" w:cstheme="minorHAnsi"/>
        </w:rPr>
        <w:t>y</w:t>
      </w:r>
      <w:r w:rsidR="00FA7454" w:rsidRPr="002D07B8">
        <w:rPr>
          <w:rFonts w:asciiTheme="minorHAnsi" w:hAnsiTheme="minorHAnsi" w:cstheme="minorHAnsi"/>
        </w:rPr>
        <w:t xml:space="preserve"> activities </w:t>
      </w:r>
      <w:r w:rsidR="00432A7B" w:rsidRPr="002D07B8">
        <w:rPr>
          <w:rFonts w:asciiTheme="minorHAnsi" w:hAnsiTheme="minorHAnsi" w:cstheme="minorHAnsi"/>
        </w:rPr>
        <w:t>as required by Texas Education Code 2308.317(c)</w:t>
      </w:r>
      <w:r w:rsidR="007A1C99" w:rsidRPr="002D07B8">
        <w:rPr>
          <w:rFonts w:asciiTheme="minorHAnsi" w:hAnsiTheme="minorHAnsi" w:cstheme="minorHAnsi"/>
        </w:rPr>
        <w:t>;</w:t>
      </w:r>
    </w:p>
    <w:p w14:paraId="16B1AA50" w14:textId="0961335F" w:rsidR="007A1C99" w:rsidRPr="002D07B8" w:rsidRDefault="00A9127E" w:rsidP="00193778">
      <w:pPr>
        <w:pStyle w:val="ListParagraph"/>
        <w:numPr>
          <w:ilvl w:val="0"/>
          <w:numId w:val="37"/>
        </w:numPr>
        <w:spacing w:before="120" w:after="120"/>
        <w:rPr>
          <w:rFonts w:asciiTheme="minorHAnsi" w:hAnsiTheme="minorHAnsi" w:cstheme="minorHAnsi"/>
        </w:rPr>
      </w:pPr>
      <w:r w:rsidRPr="002D07B8">
        <w:rPr>
          <w:rFonts w:asciiTheme="minorHAnsi" w:hAnsiTheme="minorHAnsi" w:cstheme="minorHAnsi"/>
        </w:rPr>
        <w:t>S</w:t>
      </w:r>
      <w:r w:rsidR="00F43488" w:rsidRPr="002D07B8">
        <w:rPr>
          <w:rFonts w:asciiTheme="minorHAnsi" w:hAnsiTheme="minorHAnsi" w:cstheme="minorHAnsi"/>
        </w:rPr>
        <w:t xml:space="preserve">et aside a </w:t>
      </w:r>
      <w:r w:rsidR="00F7185F" w:rsidRPr="002D07B8">
        <w:rPr>
          <w:rFonts w:asciiTheme="minorHAnsi" w:hAnsiTheme="minorHAnsi" w:cstheme="minorHAnsi"/>
        </w:rPr>
        <w:t xml:space="preserve">portion of the remainder for </w:t>
      </w:r>
      <w:r w:rsidR="00F43488" w:rsidRPr="002D07B8">
        <w:rPr>
          <w:rFonts w:asciiTheme="minorHAnsi" w:hAnsiTheme="minorHAnsi" w:cstheme="minorHAnsi"/>
        </w:rPr>
        <w:t>admin</w:t>
      </w:r>
      <w:r w:rsidR="00135368" w:rsidRPr="002D07B8">
        <w:rPr>
          <w:rFonts w:asciiTheme="minorHAnsi" w:hAnsiTheme="minorHAnsi" w:cstheme="minorHAnsi"/>
        </w:rPr>
        <w:t>istrative and operational expenses (Admin/Ops)</w:t>
      </w:r>
      <w:r w:rsidR="00331AF2" w:rsidRPr="002D07B8">
        <w:rPr>
          <w:rFonts w:asciiTheme="minorHAnsi" w:hAnsiTheme="minorHAnsi" w:cstheme="minorHAnsi"/>
        </w:rPr>
        <w:t>;</w:t>
      </w:r>
    </w:p>
    <w:p w14:paraId="53B4B6D3" w14:textId="41626C0A" w:rsidR="00AE526E" w:rsidRPr="002D07B8" w:rsidRDefault="00AE526E" w:rsidP="00193778">
      <w:pPr>
        <w:pStyle w:val="ListParagraph"/>
        <w:numPr>
          <w:ilvl w:val="0"/>
          <w:numId w:val="37"/>
        </w:numPr>
        <w:spacing w:before="120" w:after="120"/>
        <w:rPr>
          <w:rFonts w:asciiTheme="minorHAnsi" w:hAnsiTheme="minorHAnsi" w:cstheme="minorHAnsi"/>
        </w:rPr>
      </w:pPr>
      <w:r w:rsidRPr="002D07B8">
        <w:rPr>
          <w:rFonts w:asciiTheme="minorHAnsi" w:hAnsiTheme="minorHAnsi" w:cstheme="minorHAnsi"/>
        </w:rPr>
        <w:t>Project the number of “Mandatory Kids per Day” (Mandatory</w:t>
      </w:r>
      <w:r w:rsidR="0020372F" w:rsidRPr="002D07B8">
        <w:rPr>
          <w:rFonts w:asciiTheme="minorHAnsi" w:hAnsiTheme="minorHAnsi" w:cstheme="minorHAnsi"/>
        </w:rPr>
        <w:t xml:space="preserve"> care is more expensive because the children tend to be </w:t>
      </w:r>
      <w:r w:rsidR="004974B6" w:rsidRPr="002D07B8">
        <w:rPr>
          <w:rFonts w:asciiTheme="minorHAnsi" w:hAnsiTheme="minorHAnsi" w:cstheme="minorHAnsi"/>
        </w:rPr>
        <w:t>younger and families do not have to pay the Parent Share of Cost (PSOC)</w:t>
      </w:r>
      <w:r w:rsidR="00331AF2" w:rsidRPr="002D07B8">
        <w:rPr>
          <w:rFonts w:asciiTheme="minorHAnsi" w:hAnsiTheme="minorHAnsi" w:cstheme="minorHAnsi"/>
        </w:rPr>
        <w:t>;</w:t>
      </w:r>
    </w:p>
    <w:p w14:paraId="06832254" w14:textId="409963F9" w:rsidR="00135368" w:rsidRPr="002D07B8" w:rsidRDefault="00A9127E" w:rsidP="00193778">
      <w:pPr>
        <w:pStyle w:val="ListParagraph"/>
        <w:numPr>
          <w:ilvl w:val="0"/>
          <w:numId w:val="37"/>
        </w:numPr>
        <w:spacing w:before="120" w:after="120"/>
        <w:rPr>
          <w:rFonts w:asciiTheme="minorHAnsi" w:hAnsiTheme="minorHAnsi" w:cstheme="minorHAnsi"/>
        </w:rPr>
      </w:pPr>
      <w:r w:rsidRPr="002D07B8">
        <w:rPr>
          <w:rFonts w:asciiTheme="minorHAnsi" w:hAnsiTheme="minorHAnsi" w:cstheme="minorHAnsi"/>
        </w:rPr>
        <w:t>Determine the casemix for each Board</w:t>
      </w:r>
      <w:r w:rsidR="00331AF2" w:rsidRPr="002D07B8">
        <w:rPr>
          <w:rFonts w:asciiTheme="minorHAnsi" w:hAnsiTheme="minorHAnsi" w:cstheme="minorHAnsi"/>
        </w:rPr>
        <w:t xml:space="preserve"> for their Mandatory and Discretionary Caseloads</w:t>
      </w:r>
      <w:r w:rsidR="00123871">
        <w:rPr>
          <w:rFonts w:asciiTheme="minorHAnsi" w:hAnsiTheme="minorHAnsi" w:cstheme="minorHAnsi"/>
        </w:rPr>
        <w:t>,</w:t>
      </w:r>
      <w:r w:rsidR="0083272F" w:rsidRPr="002D07B8">
        <w:rPr>
          <w:rFonts w:asciiTheme="minorHAnsi" w:hAnsiTheme="minorHAnsi" w:cstheme="minorHAnsi"/>
        </w:rPr>
        <w:t xml:space="preserve"> including the cost per day to provide that care</w:t>
      </w:r>
      <w:r w:rsidR="00367E28" w:rsidRPr="002D07B8">
        <w:rPr>
          <w:rFonts w:asciiTheme="minorHAnsi" w:hAnsiTheme="minorHAnsi" w:cstheme="minorHAnsi"/>
        </w:rPr>
        <w:t>;</w:t>
      </w:r>
    </w:p>
    <w:p w14:paraId="46CB33BA" w14:textId="6CAB9E05" w:rsidR="0027688E" w:rsidRPr="002D07B8" w:rsidRDefault="0027688E" w:rsidP="00193778">
      <w:pPr>
        <w:pStyle w:val="ListParagraph"/>
        <w:numPr>
          <w:ilvl w:val="0"/>
          <w:numId w:val="37"/>
        </w:numPr>
        <w:spacing w:before="120" w:after="120"/>
        <w:rPr>
          <w:rFonts w:asciiTheme="minorHAnsi" w:hAnsiTheme="minorHAnsi" w:cstheme="minorHAnsi"/>
        </w:rPr>
      </w:pPr>
      <w:r w:rsidRPr="002D07B8">
        <w:rPr>
          <w:rFonts w:asciiTheme="minorHAnsi" w:hAnsiTheme="minorHAnsi" w:cstheme="minorHAnsi"/>
        </w:rPr>
        <w:lastRenderedPageBreak/>
        <w:t>Project the Average Cost Per Day for Mandatory Care using each Board’s unique casemix, Max</w:t>
      </w:r>
      <w:r w:rsidR="00C1202B" w:rsidRPr="002D07B8">
        <w:rPr>
          <w:rFonts w:asciiTheme="minorHAnsi" w:hAnsiTheme="minorHAnsi" w:cstheme="minorHAnsi"/>
        </w:rPr>
        <w:t>imum Reimbursement</w:t>
      </w:r>
      <w:r w:rsidRPr="002D07B8">
        <w:rPr>
          <w:rFonts w:asciiTheme="minorHAnsi" w:hAnsiTheme="minorHAnsi" w:cstheme="minorHAnsi"/>
        </w:rPr>
        <w:t xml:space="preserve"> Rates</w:t>
      </w:r>
      <w:r w:rsidR="00C1202B" w:rsidRPr="002D07B8">
        <w:rPr>
          <w:rFonts w:asciiTheme="minorHAnsi" w:hAnsiTheme="minorHAnsi" w:cstheme="minorHAnsi"/>
        </w:rPr>
        <w:t xml:space="preserve"> (Max Rates)</w:t>
      </w:r>
      <w:r w:rsidRPr="002D07B8">
        <w:rPr>
          <w:rFonts w:asciiTheme="minorHAnsi" w:hAnsiTheme="minorHAnsi" w:cstheme="minorHAnsi"/>
        </w:rPr>
        <w:t>, and providers’ published rates;</w:t>
      </w:r>
    </w:p>
    <w:p w14:paraId="574D3D6A" w14:textId="2911E1FC" w:rsidR="00331AF2" w:rsidRPr="002D07B8" w:rsidRDefault="00331AF2" w:rsidP="00193778">
      <w:pPr>
        <w:pStyle w:val="ListParagraph"/>
        <w:numPr>
          <w:ilvl w:val="0"/>
          <w:numId w:val="37"/>
        </w:numPr>
        <w:spacing w:before="120" w:after="120"/>
        <w:rPr>
          <w:rFonts w:asciiTheme="minorHAnsi" w:hAnsiTheme="minorHAnsi" w:cstheme="minorHAnsi"/>
        </w:rPr>
      </w:pPr>
      <w:r w:rsidRPr="002D07B8">
        <w:rPr>
          <w:rFonts w:asciiTheme="minorHAnsi" w:hAnsiTheme="minorHAnsi" w:cstheme="minorHAnsi"/>
        </w:rPr>
        <w:t>Determine the Cost of Paying for Mandatory Care</w:t>
      </w:r>
      <w:r w:rsidR="00367E28" w:rsidRPr="002D07B8">
        <w:rPr>
          <w:rFonts w:asciiTheme="minorHAnsi" w:hAnsiTheme="minorHAnsi" w:cstheme="minorHAnsi"/>
        </w:rPr>
        <w:t>;</w:t>
      </w:r>
    </w:p>
    <w:p w14:paraId="625505A4" w14:textId="456AA134" w:rsidR="00556FAD" w:rsidRPr="002D07B8" w:rsidRDefault="00556FAD" w:rsidP="00193778">
      <w:pPr>
        <w:pStyle w:val="ListParagraph"/>
        <w:numPr>
          <w:ilvl w:val="0"/>
          <w:numId w:val="37"/>
        </w:numPr>
        <w:spacing w:before="120" w:after="120"/>
        <w:rPr>
          <w:rFonts w:asciiTheme="minorHAnsi" w:hAnsiTheme="minorHAnsi" w:cstheme="minorHAnsi"/>
        </w:rPr>
      </w:pPr>
      <w:r w:rsidRPr="002D07B8">
        <w:rPr>
          <w:rFonts w:asciiTheme="minorHAnsi" w:hAnsiTheme="minorHAnsi" w:cstheme="minorHAnsi"/>
        </w:rPr>
        <w:t xml:space="preserve">Subtract the Mandatory Care Cost from 98% of the Allocation (accounting for Admin/Ops) </w:t>
      </w:r>
      <w:r w:rsidR="003F2D76" w:rsidRPr="002D07B8">
        <w:rPr>
          <w:rFonts w:asciiTheme="minorHAnsi" w:hAnsiTheme="minorHAnsi" w:cstheme="minorHAnsi"/>
        </w:rPr>
        <w:t>to</w:t>
      </w:r>
      <w:r w:rsidRPr="002D07B8">
        <w:rPr>
          <w:rFonts w:asciiTheme="minorHAnsi" w:hAnsiTheme="minorHAnsi" w:cstheme="minorHAnsi"/>
        </w:rPr>
        <w:t xml:space="preserve"> determine the amount </w:t>
      </w:r>
      <w:r w:rsidR="003F2D76" w:rsidRPr="002D07B8">
        <w:rPr>
          <w:rFonts w:asciiTheme="minorHAnsi" w:hAnsiTheme="minorHAnsi" w:cstheme="minorHAnsi"/>
        </w:rPr>
        <w:t>available to pay for Discretionary Care</w:t>
      </w:r>
      <w:r w:rsidR="008C40CA" w:rsidRPr="002D07B8">
        <w:rPr>
          <w:rFonts w:asciiTheme="minorHAnsi" w:hAnsiTheme="minorHAnsi" w:cstheme="minorHAnsi"/>
        </w:rPr>
        <w:t>;</w:t>
      </w:r>
    </w:p>
    <w:p w14:paraId="26B721A8" w14:textId="32EC3ECC" w:rsidR="00F8147C" w:rsidRPr="002D07B8" w:rsidRDefault="00F8147C" w:rsidP="00193778">
      <w:pPr>
        <w:pStyle w:val="ListParagraph"/>
        <w:numPr>
          <w:ilvl w:val="0"/>
          <w:numId w:val="37"/>
        </w:numPr>
        <w:spacing w:before="120" w:after="120"/>
        <w:rPr>
          <w:rFonts w:asciiTheme="minorHAnsi" w:hAnsiTheme="minorHAnsi" w:cstheme="minorHAnsi"/>
        </w:rPr>
      </w:pPr>
      <w:r w:rsidRPr="002D07B8">
        <w:rPr>
          <w:rFonts w:asciiTheme="minorHAnsi" w:hAnsiTheme="minorHAnsi" w:cstheme="minorHAnsi"/>
        </w:rPr>
        <w:t>Project the Average PSOC</w:t>
      </w:r>
      <w:r w:rsidR="00D4275F" w:rsidRPr="002D07B8">
        <w:rPr>
          <w:rFonts w:asciiTheme="minorHAnsi" w:hAnsiTheme="minorHAnsi" w:cstheme="minorHAnsi"/>
        </w:rPr>
        <w:t xml:space="preserve"> and Direct Care Cost Per Day </w:t>
      </w:r>
      <w:r w:rsidR="00305838" w:rsidRPr="002D07B8">
        <w:rPr>
          <w:rFonts w:asciiTheme="minorHAnsi" w:hAnsiTheme="minorHAnsi" w:cstheme="minorHAnsi"/>
        </w:rPr>
        <w:t>using each Board’s unique casemix, Max Rates, and providers’ published rates;</w:t>
      </w:r>
    </w:p>
    <w:p w14:paraId="15B976CE" w14:textId="02C55B7F" w:rsidR="003F2D76" w:rsidRPr="002D07B8" w:rsidRDefault="003F2D76" w:rsidP="00193778">
      <w:pPr>
        <w:pStyle w:val="ListParagraph"/>
        <w:numPr>
          <w:ilvl w:val="0"/>
          <w:numId w:val="37"/>
        </w:numPr>
        <w:spacing w:before="120" w:after="120"/>
        <w:rPr>
          <w:rFonts w:asciiTheme="minorHAnsi" w:hAnsiTheme="minorHAnsi" w:cstheme="minorHAnsi"/>
        </w:rPr>
      </w:pPr>
      <w:r w:rsidRPr="002D07B8">
        <w:rPr>
          <w:rFonts w:asciiTheme="minorHAnsi" w:hAnsiTheme="minorHAnsi" w:cstheme="minorHAnsi"/>
        </w:rPr>
        <w:t xml:space="preserve">Divide the amount available for Discretionary Care </w:t>
      </w:r>
      <w:r w:rsidR="0069304E" w:rsidRPr="002D07B8">
        <w:rPr>
          <w:rFonts w:asciiTheme="minorHAnsi" w:hAnsiTheme="minorHAnsi" w:cstheme="minorHAnsi"/>
        </w:rPr>
        <w:t xml:space="preserve">by the projected Average Direct Care Cost Per Day per Unit of Care </w:t>
      </w:r>
      <w:r w:rsidR="00676AC9" w:rsidRPr="002D07B8">
        <w:rPr>
          <w:rFonts w:asciiTheme="minorHAnsi" w:hAnsiTheme="minorHAnsi" w:cstheme="minorHAnsi"/>
        </w:rPr>
        <w:t>to get the affordable number of units of Discretionary Care and then divide by the number of child care days in the year (</w:t>
      </w:r>
      <w:r w:rsidR="007B26C6" w:rsidRPr="002D07B8">
        <w:rPr>
          <w:rFonts w:asciiTheme="minorHAnsi" w:hAnsiTheme="minorHAnsi" w:cstheme="minorHAnsi"/>
        </w:rPr>
        <w:t>a simple count of weekdays in the year – 262 for BCY20)</w:t>
      </w:r>
      <w:r w:rsidR="00786F3A" w:rsidRPr="002D07B8">
        <w:rPr>
          <w:rFonts w:asciiTheme="minorHAnsi" w:hAnsiTheme="minorHAnsi" w:cstheme="minorHAnsi"/>
        </w:rPr>
        <w:t>; and</w:t>
      </w:r>
    </w:p>
    <w:p w14:paraId="27D6B1C3" w14:textId="5944DE1C" w:rsidR="00A9127E" w:rsidRPr="002D07B8" w:rsidRDefault="007B26C6" w:rsidP="007B2970">
      <w:pPr>
        <w:pStyle w:val="ListParagraph"/>
        <w:numPr>
          <w:ilvl w:val="0"/>
          <w:numId w:val="37"/>
        </w:numPr>
        <w:spacing w:before="120" w:after="120"/>
        <w:rPr>
          <w:rFonts w:asciiTheme="minorHAnsi" w:hAnsiTheme="minorHAnsi" w:cstheme="minorHAnsi"/>
        </w:rPr>
      </w:pPr>
      <w:r w:rsidRPr="002D07B8">
        <w:rPr>
          <w:rFonts w:asciiTheme="minorHAnsi" w:hAnsiTheme="minorHAnsi" w:cstheme="minorHAnsi"/>
        </w:rPr>
        <w:t xml:space="preserve">Add Projected Mandatory Kids per Day to the Affordable </w:t>
      </w:r>
      <w:r w:rsidR="007B2970" w:rsidRPr="002D07B8">
        <w:rPr>
          <w:rFonts w:asciiTheme="minorHAnsi" w:hAnsiTheme="minorHAnsi" w:cstheme="minorHAnsi"/>
        </w:rPr>
        <w:t>Discretionary Kids per Day to get the Target.</w:t>
      </w:r>
    </w:p>
    <w:p w14:paraId="2F31A03D" w14:textId="2DB7E2B3" w:rsidR="00786F3A" w:rsidRPr="002D07B8" w:rsidRDefault="00525525" w:rsidP="0044690F">
      <w:pPr>
        <w:spacing w:before="120" w:after="120"/>
        <w:rPr>
          <w:rFonts w:asciiTheme="minorHAnsi" w:hAnsiTheme="minorHAnsi" w:cstheme="minorHAnsi"/>
        </w:rPr>
      </w:pPr>
      <w:r w:rsidRPr="002D07B8">
        <w:rPr>
          <w:rFonts w:asciiTheme="minorHAnsi" w:hAnsiTheme="minorHAnsi" w:cstheme="minorHAnsi"/>
        </w:rPr>
        <w:t xml:space="preserve">While individual steps in the process evolve from year to year as we </w:t>
      </w:r>
      <w:r w:rsidR="009F6844" w:rsidRPr="002D07B8">
        <w:rPr>
          <w:rFonts w:asciiTheme="minorHAnsi" w:hAnsiTheme="minorHAnsi" w:cstheme="minorHAnsi"/>
        </w:rPr>
        <w:t>improve analytic work and account for</w:t>
      </w:r>
      <w:r w:rsidR="003B7099" w:rsidRPr="002D07B8">
        <w:rPr>
          <w:rFonts w:asciiTheme="minorHAnsi" w:hAnsiTheme="minorHAnsi" w:cstheme="minorHAnsi"/>
        </w:rPr>
        <w:t xml:space="preserve"> new concepts not previously considered (or improve that which was previously considered), the basic process remains the same</w:t>
      </w:r>
      <w:r w:rsidR="007E625D" w:rsidRPr="002D07B8">
        <w:rPr>
          <w:rFonts w:asciiTheme="minorHAnsi" w:hAnsiTheme="minorHAnsi" w:cstheme="minorHAnsi"/>
        </w:rPr>
        <w:t xml:space="preserve"> and is discussed in greater detail on pages 8 - </w:t>
      </w:r>
      <w:r w:rsidR="00BA2FBB">
        <w:rPr>
          <w:rFonts w:asciiTheme="minorHAnsi" w:hAnsiTheme="minorHAnsi" w:cstheme="minorHAnsi"/>
        </w:rPr>
        <w:t>12</w:t>
      </w:r>
      <w:r w:rsidR="00432A7B">
        <w:rPr>
          <w:rFonts w:asciiTheme="minorHAnsi" w:hAnsiTheme="minorHAnsi" w:cstheme="minorHAnsi"/>
        </w:rPr>
        <w:t>.</w:t>
      </w:r>
    </w:p>
    <w:p w14:paraId="429896EA" w14:textId="77777777" w:rsidR="00986868" w:rsidRPr="002D07B8" w:rsidRDefault="002F3848" w:rsidP="00986868">
      <w:pPr>
        <w:pStyle w:val="Heading1"/>
        <w:rPr>
          <w:rFonts w:asciiTheme="minorHAnsi" w:hAnsiTheme="minorHAnsi" w:cstheme="minorHAnsi"/>
        </w:rPr>
      </w:pPr>
      <w:r w:rsidRPr="002D07B8">
        <w:rPr>
          <w:rFonts w:asciiTheme="minorHAnsi" w:hAnsiTheme="minorHAnsi" w:cstheme="minorHAnsi"/>
        </w:rPr>
        <w:t>Commission Request</w:t>
      </w:r>
    </w:p>
    <w:p w14:paraId="20B9C76F" w14:textId="2F5DA835" w:rsidR="00694EEE" w:rsidRPr="002D07B8" w:rsidRDefault="002F3848" w:rsidP="00694EEE">
      <w:pPr>
        <w:spacing w:after="120"/>
        <w:rPr>
          <w:rStyle w:val="RecommendationChar"/>
        </w:rPr>
      </w:pPr>
      <w:r w:rsidRPr="002D07B8">
        <w:rPr>
          <w:rStyle w:val="RecommendationChar"/>
        </w:rPr>
        <w:t xml:space="preserve">Staff request the Commission approve </w:t>
      </w:r>
      <w:r w:rsidR="00C53701">
        <w:rPr>
          <w:rStyle w:val="RecommendationChar"/>
        </w:rPr>
        <w:t>the</w:t>
      </w:r>
      <w:r w:rsidR="008C1E46" w:rsidRPr="002D07B8">
        <w:rPr>
          <w:rStyle w:val="RecommendationChar"/>
        </w:rPr>
        <w:t xml:space="preserve"> target</w:t>
      </w:r>
      <w:r w:rsidR="00022346" w:rsidRPr="002D07B8">
        <w:rPr>
          <w:rStyle w:val="RecommendationChar"/>
        </w:rPr>
        <w:t xml:space="preserve"> methodologies outlined above</w:t>
      </w:r>
      <w:r w:rsidR="003F4462">
        <w:rPr>
          <w:rStyle w:val="RecommendationChar"/>
        </w:rPr>
        <w:t xml:space="preserve"> and detailed on the following pages</w:t>
      </w:r>
      <w:r w:rsidR="00022346" w:rsidRPr="002D07B8">
        <w:rPr>
          <w:rStyle w:val="RecommendationChar"/>
        </w:rPr>
        <w:t xml:space="preserve"> and authorize staff to apply these methodologies to</w:t>
      </w:r>
      <w:r w:rsidR="00694EEE" w:rsidRPr="002D07B8">
        <w:rPr>
          <w:rStyle w:val="RecommendationChar"/>
        </w:rPr>
        <w:t xml:space="preserve"> s</w:t>
      </w:r>
      <w:r w:rsidR="00022346" w:rsidRPr="002D07B8">
        <w:rPr>
          <w:rStyle w:val="RecommendationChar"/>
        </w:rPr>
        <w:t>et BCY</w:t>
      </w:r>
      <w:r w:rsidR="00694EEE" w:rsidRPr="002D07B8">
        <w:rPr>
          <w:rStyle w:val="RecommendationChar"/>
        </w:rPr>
        <w:t>20</w:t>
      </w:r>
      <w:r w:rsidR="00022346" w:rsidRPr="002D07B8">
        <w:rPr>
          <w:rStyle w:val="RecommendationChar"/>
        </w:rPr>
        <w:t xml:space="preserve"> targets</w:t>
      </w:r>
      <w:r w:rsidR="00694EEE" w:rsidRPr="002D07B8">
        <w:rPr>
          <w:rStyle w:val="RecommendationChar"/>
        </w:rPr>
        <w:t xml:space="preserve"> and subtargets</w:t>
      </w:r>
      <w:r w:rsidR="00022346" w:rsidRPr="002D07B8">
        <w:rPr>
          <w:rStyle w:val="RecommendationChar"/>
        </w:rPr>
        <w:t xml:space="preserve"> for</w:t>
      </w:r>
      <w:r w:rsidR="000F3EED" w:rsidRPr="002D07B8">
        <w:rPr>
          <w:rStyle w:val="RecommendationChar"/>
        </w:rPr>
        <w:t xml:space="preserve"> the following measures</w:t>
      </w:r>
      <w:r w:rsidR="00694EEE" w:rsidRPr="002D07B8">
        <w:rPr>
          <w:rStyle w:val="RecommendationChar"/>
        </w:rPr>
        <w:t>:</w:t>
      </w:r>
    </w:p>
    <w:p w14:paraId="576B660C" w14:textId="77777777" w:rsidR="000F3EED" w:rsidRPr="002D07B8" w:rsidRDefault="000F3EED" w:rsidP="000F3EED">
      <w:pPr>
        <w:pStyle w:val="ListParagraph"/>
        <w:numPr>
          <w:ilvl w:val="0"/>
          <w:numId w:val="32"/>
        </w:numPr>
        <w:spacing w:after="120"/>
        <w:rPr>
          <w:rFonts w:asciiTheme="minorHAnsi" w:hAnsiTheme="minorHAnsi" w:cstheme="minorHAnsi"/>
          <w:szCs w:val="22"/>
        </w:rPr>
      </w:pPr>
      <w:r w:rsidRPr="002D07B8">
        <w:rPr>
          <w:rFonts w:asciiTheme="minorHAnsi" w:hAnsiTheme="minorHAnsi" w:cstheme="minorHAnsi"/>
          <w:szCs w:val="22"/>
        </w:rPr>
        <w:t>Employed/Enrolled Q2 Post-Exit – All Participants</w:t>
      </w:r>
    </w:p>
    <w:p w14:paraId="4E36C3EF" w14:textId="77777777" w:rsidR="000F3EED" w:rsidRPr="002D07B8" w:rsidRDefault="000F3EED" w:rsidP="000F3EED">
      <w:pPr>
        <w:pStyle w:val="ListParagraph"/>
        <w:numPr>
          <w:ilvl w:val="0"/>
          <w:numId w:val="32"/>
        </w:numPr>
        <w:spacing w:after="120"/>
        <w:rPr>
          <w:rFonts w:asciiTheme="minorHAnsi" w:hAnsiTheme="minorHAnsi" w:cstheme="minorHAnsi"/>
          <w:szCs w:val="22"/>
        </w:rPr>
      </w:pPr>
      <w:r w:rsidRPr="002D07B8">
        <w:rPr>
          <w:rFonts w:asciiTheme="minorHAnsi" w:hAnsiTheme="minorHAnsi" w:cstheme="minorHAnsi"/>
          <w:szCs w:val="22"/>
        </w:rPr>
        <w:t>Employed/Enrolled Q2-4 Post-Exit – All Participants</w:t>
      </w:r>
    </w:p>
    <w:p w14:paraId="26077F0B" w14:textId="77777777" w:rsidR="000F3EED" w:rsidRPr="002D07B8" w:rsidRDefault="000F3EED" w:rsidP="000F3EED">
      <w:pPr>
        <w:pStyle w:val="ListParagraph"/>
        <w:numPr>
          <w:ilvl w:val="0"/>
          <w:numId w:val="32"/>
        </w:numPr>
        <w:spacing w:after="120"/>
        <w:rPr>
          <w:rFonts w:asciiTheme="minorHAnsi" w:hAnsiTheme="minorHAnsi" w:cstheme="minorHAnsi"/>
          <w:szCs w:val="22"/>
        </w:rPr>
      </w:pPr>
      <w:r w:rsidRPr="002D07B8">
        <w:rPr>
          <w:rFonts w:asciiTheme="minorHAnsi" w:hAnsiTheme="minorHAnsi" w:cstheme="minorHAnsi"/>
          <w:szCs w:val="22"/>
        </w:rPr>
        <w:t>Credential Rate – All Participants</w:t>
      </w:r>
    </w:p>
    <w:p w14:paraId="08A18CF6" w14:textId="77777777" w:rsidR="000F3EED" w:rsidRPr="002D07B8" w:rsidRDefault="000F3EED" w:rsidP="000F3EED">
      <w:pPr>
        <w:pStyle w:val="ListParagraph"/>
        <w:numPr>
          <w:ilvl w:val="0"/>
          <w:numId w:val="32"/>
        </w:numPr>
        <w:spacing w:after="120"/>
        <w:rPr>
          <w:rFonts w:asciiTheme="minorHAnsi" w:hAnsiTheme="minorHAnsi" w:cstheme="minorHAnsi"/>
          <w:szCs w:val="22"/>
        </w:rPr>
      </w:pPr>
      <w:r w:rsidRPr="002D07B8">
        <w:rPr>
          <w:rFonts w:asciiTheme="minorHAnsi" w:hAnsiTheme="minorHAnsi" w:cstheme="minorHAnsi"/>
          <w:szCs w:val="22"/>
        </w:rPr>
        <w:t>Median Earnings Q2 Post-Exit – All Participants</w:t>
      </w:r>
    </w:p>
    <w:p w14:paraId="38A9632E" w14:textId="77777777" w:rsidR="000F3EED" w:rsidRPr="002D07B8" w:rsidRDefault="000F3EED" w:rsidP="000F3EED">
      <w:pPr>
        <w:pStyle w:val="ListParagraph"/>
        <w:numPr>
          <w:ilvl w:val="0"/>
          <w:numId w:val="32"/>
        </w:numPr>
        <w:spacing w:after="120"/>
        <w:rPr>
          <w:rFonts w:asciiTheme="minorHAnsi" w:hAnsiTheme="minorHAnsi" w:cstheme="minorHAnsi"/>
          <w:szCs w:val="22"/>
        </w:rPr>
      </w:pPr>
      <w:r w:rsidRPr="002D07B8">
        <w:rPr>
          <w:rFonts w:asciiTheme="minorHAnsi" w:hAnsiTheme="minorHAnsi" w:cstheme="minorHAnsi"/>
          <w:szCs w:val="22"/>
        </w:rPr>
        <w:t>Choices Full Work Rate</w:t>
      </w:r>
    </w:p>
    <w:p w14:paraId="554E9CD3" w14:textId="77777777" w:rsidR="000F3EED" w:rsidRPr="002D07B8" w:rsidRDefault="000F3EED" w:rsidP="000F3EED">
      <w:pPr>
        <w:pStyle w:val="ListParagraph"/>
        <w:numPr>
          <w:ilvl w:val="0"/>
          <w:numId w:val="32"/>
        </w:numPr>
        <w:spacing w:after="120"/>
        <w:rPr>
          <w:rFonts w:asciiTheme="minorHAnsi" w:hAnsiTheme="minorHAnsi" w:cstheme="minorHAnsi"/>
          <w:szCs w:val="22"/>
        </w:rPr>
      </w:pPr>
      <w:r w:rsidRPr="002D07B8">
        <w:rPr>
          <w:rFonts w:asciiTheme="minorHAnsi" w:hAnsiTheme="minorHAnsi" w:cstheme="minorHAnsi"/>
          <w:szCs w:val="22"/>
        </w:rPr>
        <w:t># of Employers Receiving Workforce Assistance</w:t>
      </w:r>
    </w:p>
    <w:p w14:paraId="43E31E92" w14:textId="77777777" w:rsidR="000F3EED" w:rsidRPr="002D07B8" w:rsidRDefault="000F3EED" w:rsidP="000F3EED">
      <w:pPr>
        <w:pStyle w:val="ListParagraph"/>
        <w:numPr>
          <w:ilvl w:val="0"/>
          <w:numId w:val="32"/>
        </w:numPr>
        <w:spacing w:after="120"/>
        <w:rPr>
          <w:rFonts w:asciiTheme="minorHAnsi" w:hAnsiTheme="minorHAnsi" w:cstheme="minorHAnsi"/>
          <w:szCs w:val="22"/>
        </w:rPr>
      </w:pPr>
      <w:r w:rsidRPr="002D07B8">
        <w:rPr>
          <w:rFonts w:asciiTheme="minorHAnsi" w:hAnsiTheme="minorHAnsi" w:cstheme="minorHAnsi"/>
          <w:szCs w:val="22"/>
        </w:rPr>
        <w:t>Claimant Reemployment within 10 Weeks</w:t>
      </w:r>
    </w:p>
    <w:p w14:paraId="7B18B1A9" w14:textId="77777777" w:rsidR="000F3EED" w:rsidRPr="002D07B8" w:rsidRDefault="000F3EED" w:rsidP="000F3EED">
      <w:pPr>
        <w:pStyle w:val="ListParagraph"/>
        <w:numPr>
          <w:ilvl w:val="0"/>
          <w:numId w:val="32"/>
        </w:numPr>
        <w:spacing w:after="120"/>
        <w:rPr>
          <w:rFonts w:asciiTheme="minorHAnsi" w:hAnsiTheme="minorHAnsi" w:cstheme="minorHAnsi"/>
          <w:szCs w:val="22"/>
        </w:rPr>
      </w:pPr>
      <w:r w:rsidRPr="002D07B8">
        <w:rPr>
          <w:rFonts w:asciiTheme="minorHAnsi" w:hAnsiTheme="minorHAnsi" w:cstheme="minorHAnsi"/>
          <w:szCs w:val="22"/>
        </w:rPr>
        <w:t>Average Kids Served Per Day</w:t>
      </w:r>
    </w:p>
    <w:p w14:paraId="429896ED" w14:textId="65FCDE6C" w:rsidR="006E7B96" w:rsidRPr="002D07B8" w:rsidRDefault="006E7B96" w:rsidP="00182ADE">
      <w:pPr>
        <w:pStyle w:val="ListParagraph"/>
        <w:numPr>
          <w:ilvl w:val="0"/>
          <w:numId w:val="35"/>
        </w:numPr>
        <w:spacing w:after="120"/>
        <w:rPr>
          <w:rFonts w:asciiTheme="minorHAnsi" w:hAnsiTheme="minorHAnsi" w:cstheme="minorHAnsi"/>
        </w:rPr>
        <w:sectPr w:rsidR="006E7B96" w:rsidRPr="002D07B8" w:rsidSect="00062546">
          <w:footerReference w:type="even" r:id="rId11"/>
          <w:footerReference w:type="default" r:id="rId12"/>
          <w:pgSz w:w="12240" w:h="15840" w:code="1"/>
          <w:pgMar w:top="720" w:right="720" w:bottom="720" w:left="1008" w:header="720" w:footer="720" w:gutter="0"/>
          <w:lnNumType w:countBy="1"/>
          <w:cols w:space="720"/>
          <w:docGrid w:linePitch="360"/>
        </w:sectPr>
      </w:pPr>
    </w:p>
    <w:p w14:paraId="429896EE" w14:textId="77777777" w:rsidR="00AB7E8E" w:rsidRPr="002D07B8" w:rsidRDefault="00AB7E8E" w:rsidP="00FC77E7">
      <w:pPr>
        <w:pStyle w:val="Title"/>
        <w:rPr>
          <w:rFonts w:asciiTheme="minorHAnsi" w:hAnsiTheme="minorHAnsi" w:cstheme="minorHAnsi"/>
        </w:rPr>
      </w:pPr>
      <w:r w:rsidRPr="002D07B8">
        <w:rPr>
          <w:rFonts w:asciiTheme="minorHAnsi" w:hAnsiTheme="minorHAnsi" w:cstheme="minorHAnsi"/>
        </w:rPr>
        <w:t>Integrated WIOA-Based Measure Targets</w:t>
      </w:r>
    </w:p>
    <w:p w14:paraId="429896EF" w14:textId="0928D28A" w:rsidR="00AB7E8E" w:rsidRPr="002D07B8" w:rsidRDefault="006A0346" w:rsidP="00FA4BD9">
      <w:pPr>
        <w:suppressLineNumbers/>
        <w:rPr>
          <w:rFonts w:asciiTheme="minorHAnsi" w:hAnsiTheme="minorHAnsi" w:cstheme="minorHAnsi"/>
        </w:rPr>
      </w:pPr>
      <w:r w:rsidRPr="002D07B8">
        <w:rPr>
          <w:rFonts w:asciiTheme="minorHAnsi" w:hAnsiTheme="minorHAnsi" w:cstheme="minorHAnsi"/>
          <w:b/>
        </w:rPr>
        <w:t>Employed/Enrolled Q2 Target</w:t>
      </w:r>
      <w:r w:rsidRPr="002D07B8">
        <w:rPr>
          <w:rFonts w:asciiTheme="minorHAnsi" w:hAnsiTheme="minorHAnsi" w:cstheme="minorHAnsi"/>
        </w:rPr>
        <w:t xml:space="preserve"> = </w:t>
      </w:r>
      <w:r w:rsidR="00694EEE" w:rsidRPr="002D07B8">
        <w:rPr>
          <w:rFonts w:asciiTheme="minorHAnsi" w:hAnsiTheme="minorHAnsi" w:cstheme="minorHAnsi"/>
        </w:rPr>
        <w:t>69</w:t>
      </w:r>
      <w:r w:rsidRPr="002D07B8">
        <w:rPr>
          <w:rFonts w:asciiTheme="minorHAnsi" w:hAnsiTheme="minorHAnsi" w:cstheme="minorHAnsi"/>
        </w:rPr>
        <w:t>%</w:t>
      </w:r>
    </w:p>
    <w:p w14:paraId="429896F0" w14:textId="2441C97C" w:rsidR="006A0346" w:rsidRPr="002D07B8" w:rsidRDefault="006A0346" w:rsidP="00FA4BD9">
      <w:pPr>
        <w:suppressLineNumbers/>
        <w:rPr>
          <w:rFonts w:asciiTheme="minorHAnsi" w:hAnsiTheme="minorHAnsi" w:cstheme="minorHAnsi"/>
        </w:rPr>
      </w:pPr>
      <w:r w:rsidRPr="002D07B8">
        <w:rPr>
          <w:rFonts w:asciiTheme="minorHAnsi" w:hAnsiTheme="minorHAnsi" w:cstheme="minorHAnsi"/>
          <w:b/>
        </w:rPr>
        <w:t>Employed/Enrolled Q2-Q4 Target</w:t>
      </w:r>
      <w:r w:rsidRPr="002D07B8">
        <w:rPr>
          <w:rFonts w:asciiTheme="minorHAnsi" w:hAnsiTheme="minorHAnsi" w:cstheme="minorHAnsi"/>
        </w:rPr>
        <w:t xml:space="preserve"> = </w:t>
      </w:r>
      <w:r w:rsidR="00694EEE" w:rsidRPr="002D07B8">
        <w:rPr>
          <w:rFonts w:asciiTheme="minorHAnsi" w:hAnsiTheme="minorHAnsi" w:cstheme="minorHAnsi"/>
        </w:rPr>
        <w:t>84</w:t>
      </w:r>
      <w:r w:rsidRPr="002D07B8">
        <w:rPr>
          <w:rFonts w:asciiTheme="minorHAnsi" w:hAnsiTheme="minorHAnsi" w:cstheme="minorHAnsi"/>
        </w:rPr>
        <w:t>%</w:t>
      </w:r>
    </w:p>
    <w:p w14:paraId="429896F1" w14:textId="1CDD60F6" w:rsidR="006A0346" w:rsidRPr="002D07B8" w:rsidRDefault="006A0346" w:rsidP="00FA4BD9">
      <w:pPr>
        <w:suppressLineNumbers/>
        <w:rPr>
          <w:rFonts w:asciiTheme="minorHAnsi" w:hAnsiTheme="minorHAnsi" w:cstheme="minorHAnsi"/>
        </w:rPr>
      </w:pPr>
      <w:r w:rsidRPr="002D07B8">
        <w:rPr>
          <w:rFonts w:asciiTheme="minorHAnsi" w:hAnsiTheme="minorHAnsi" w:cstheme="minorHAnsi"/>
          <w:b/>
        </w:rPr>
        <w:t>Credential Rate</w:t>
      </w:r>
      <w:r w:rsidRPr="002D07B8">
        <w:rPr>
          <w:rFonts w:asciiTheme="minorHAnsi" w:hAnsiTheme="minorHAnsi" w:cstheme="minorHAnsi"/>
        </w:rPr>
        <w:t xml:space="preserve"> = </w:t>
      </w:r>
      <w:r w:rsidR="00694EEE" w:rsidRPr="002D07B8">
        <w:rPr>
          <w:rFonts w:asciiTheme="minorHAnsi" w:hAnsiTheme="minorHAnsi" w:cstheme="minorHAnsi"/>
        </w:rPr>
        <w:t>60</w:t>
      </w:r>
      <w:r w:rsidRPr="002D07B8">
        <w:rPr>
          <w:rFonts w:asciiTheme="minorHAnsi" w:hAnsiTheme="minorHAnsi" w:cstheme="minorHAnsi"/>
        </w:rPr>
        <w:t>%</w:t>
      </w:r>
    </w:p>
    <w:p w14:paraId="429896F2" w14:textId="3B360783" w:rsidR="006A0346" w:rsidRPr="002D07B8" w:rsidRDefault="004753A4" w:rsidP="004753A4">
      <w:pPr>
        <w:suppressLineNumbers/>
        <w:spacing w:after="240"/>
        <w:rPr>
          <w:rFonts w:asciiTheme="minorHAnsi" w:hAnsiTheme="minorHAnsi" w:cstheme="minorHAnsi"/>
        </w:rPr>
      </w:pPr>
      <w:r w:rsidRPr="002D07B8">
        <w:rPr>
          <w:rFonts w:asciiTheme="minorHAnsi" w:hAnsiTheme="minorHAnsi" w:cstheme="minorHAnsi"/>
          <w:b/>
        </w:rPr>
        <w:t>Median Earnings</w:t>
      </w:r>
      <w:r w:rsidRPr="002D07B8">
        <w:rPr>
          <w:rFonts w:asciiTheme="minorHAnsi" w:hAnsiTheme="minorHAnsi" w:cstheme="minorHAnsi"/>
        </w:rPr>
        <w:t xml:space="preserve"> as listed in the following table</w:t>
      </w:r>
      <w:r w:rsidR="00A15495" w:rsidRPr="002D07B8">
        <w:rPr>
          <w:rFonts w:asciiTheme="minorHAnsi" w:hAnsiTheme="minorHAnsi" w:cstheme="minorHAnsi"/>
        </w:rPr>
        <w:t xml:space="preserve"> showing performance from BCY17 thru the first quarter of BCY20</w:t>
      </w:r>
      <w:r w:rsidRPr="002D07B8">
        <w:rPr>
          <w:rFonts w:asciiTheme="minorHAnsi" w:hAnsiTheme="minorHAnsi" w:cstheme="minorHAnsi"/>
        </w:rPr>
        <w:t>:</w:t>
      </w:r>
    </w:p>
    <w:tbl>
      <w:tblPr>
        <w:tblW w:w="8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Integrated WIOA-Based Measure Targets, Median Earnings table."/>
      </w:tblPr>
      <w:tblGrid>
        <w:gridCol w:w="2620"/>
        <w:gridCol w:w="1018"/>
        <w:gridCol w:w="1018"/>
        <w:gridCol w:w="1099"/>
        <w:gridCol w:w="1222"/>
        <w:gridCol w:w="1153"/>
      </w:tblGrid>
      <w:tr w:rsidR="00A15495" w:rsidRPr="002D07B8" w14:paraId="429896FA" w14:textId="77777777" w:rsidTr="00D91A47">
        <w:trPr>
          <w:trHeight w:val="564"/>
          <w:jc w:val="center"/>
        </w:trPr>
        <w:tc>
          <w:tcPr>
            <w:tcW w:w="2620" w:type="dxa"/>
            <w:shd w:val="clear" w:color="auto" w:fill="auto"/>
            <w:vAlign w:val="center"/>
            <w:hideMark/>
          </w:tcPr>
          <w:p w14:paraId="429896F3" w14:textId="77777777" w:rsidR="00A15495" w:rsidRPr="002D07B8" w:rsidRDefault="00A15495" w:rsidP="002F4CBC">
            <w:pPr>
              <w:jc w:val="center"/>
              <w:rPr>
                <w:rFonts w:asciiTheme="minorHAnsi" w:hAnsiTheme="minorHAnsi" w:cstheme="minorHAnsi"/>
                <w:b/>
                <w:bCs/>
                <w:color w:val="000000"/>
                <w:szCs w:val="22"/>
              </w:rPr>
            </w:pPr>
            <w:bookmarkStart w:id="4" w:name="Title_7_WIOABased_Measure_Targets"/>
            <w:bookmarkEnd w:id="4"/>
            <w:r w:rsidRPr="002D07B8">
              <w:rPr>
                <w:rFonts w:asciiTheme="minorHAnsi" w:hAnsiTheme="minorHAnsi" w:cstheme="minorHAnsi"/>
                <w:b/>
                <w:bCs/>
                <w:color w:val="000000"/>
                <w:szCs w:val="22"/>
              </w:rPr>
              <w:t>Board</w:t>
            </w:r>
          </w:p>
        </w:tc>
        <w:tc>
          <w:tcPr>
            <w:tcW w:w="1018" w:type="dxa"/>
            <w:shd w:val="clear" w:color="auto" w:fill="auto"/>
            <w:vAlign w:val="center"/>
            <w:hideMark/>
          </w:tcPr>
          <w:p w14:paraId="429896F5" w14:textId="0B2C132E" w:rsidR="00A15495" w:rsidRPr="002D07B8" w:rsidRDefault="00A15495" w:rsidP="001548D3">
            <w:pPr>
              <w:jc w:val="center"/>
              <w:rPr>
                <w:rFonts w:asciiTheme="minorHAnsi" w:hAnsiTheme="minorHAnsi" w:cstheme="minorHAnsi"/>
                <w:b/>
                <w:bCs/>
                <w:color w:val="000000"/>
                <w:szCs w:val="22"/>
              </w:rPr>
            </w:pPr>
            <w:r w:rsidRPr="002D07B8">
              <w:rPr>
                <w:rFonts w:asciiTheme="minorHAnsi" w:hAnsiTheme="minorHAnsi" w:cstheme="minorHAnsi"/>
                <w:b/>
                <w:bCs/>
                <w:color w:val="000000"/>
                <w:szCs w:val="22"/>
              </w:rPr>
              <w:t>BCY17</w:t>
            </w:r>
          </w:p>
        </w:tc>
        <w:tc>
          <w:tcPr>
            <w:tcW w:w="1018" w:type="dxa"/>
            <w:shd w:val="clear" w:color="auto" w:fill="auto"/>
            <w:vAlign w:val="center"/>
            <w:hideMark/>
          </w:tcPr>
          <w:p w14:paraId="429896F6" w14:textId="0645866F" w:rsidR="00A15495" w:rsidRPr="002D07B8" w:rsidRDefault="00A15495" w:rsidP="001548D3">
            <w:pPr>
              <w:jc w:val="center"/>
              <w:rPr>
                <w:rFonts w:asciiTheme="minorHAnsi" w:hAnsiTheme="minorHAnsi" w:cstheme="minorHAnsi"/>
                <w:b/>
                <w:bCs/>
                <w:color w:val="000000"/>
                <w:szCs w:val="22"/>
              </w:rPr>
            </w:pPr>
            <w:r w:rsidRPr="002D07B8">
              <w:rPr>
                <w:rFonts w:asciiTheme="minorHAnsi" w:hAnsiTheme="minorHAnsi" w:cstheme="minorHAnsi"/>
                <w:b/>
                <w:bCs/>
                <w:color w:val="000000"/>
                <w:szCs w:val="22"/>
              </w:rPr>
              <w:t>BCY18</w:t>
            </w:r>
          </w:p>
        </w:tc>
        <w:tc>
          <w:tcPr>
            <w:tcW w:w="1099" w:type="dxa"/>
            <w:shd w:val="clear" w:color="auto" w:fill="auto"/>
            <w:vAlign w:val="center"/>
            <w:hideMark/>
          </w:tcPr>
          <w:p w14:paraId="429896F7" w14:textId="67E8418A" w:rsidR="00A15495" w:rsidRPr="002D07B8" w:rsidRDefault="00A15495" w:rsidP="001548D3">
            <w:pPr>
              <w:jc w:val="center"/>
              <w:rPr>
                <w:rFonts w:asciiTheme="minorHAnsi" w:hAnsiTheme="minorHAnsi" w:cstheme="minorHAnsi"/>
                <w:b/>
                <w:bCs/>
                <w:color w:val="000000"/>
                <w:szCs w:val="22"/>
              </w:rPr>
            </w:pPr>
            <w:r w:rsidRPr="002D07B8">
              <w:rPr>
                <w:rFonts w:asciiTheme="minorHAnsi" w:hAnsiTheme="minorHAnsi" w:cstheme="minorHAnsi"/>
                <w:b/>
                <w:bCs/>
                <w:color w:val="000000"/>
                <w:szCs w:val="22"/>
              </w:rPr>
              <w:t>BCY19</w:t>
            </w:r>
          </w:p>
        </w:tc>
        <w:tc>
          <w:tcPr>
            <w:tcW w:w="1222" w:type="dxa"/>
            <w:shd w:val="clear" w:color="auto" w:fill="auto"/>
            <w:vAlign w:val="center"/>
            <w:hideMark/>
          </w:tcPr>
          <w:p w14:paraId="429896F8" w14:textId="7213A45F" w:rsidR="00A15495" w:rsidRPr="002D07B8" w:rsidRDefault="00A15495" w:rsidP="001548D3">
            <w:pPr>
              <w:jc w:val="center"/>
              <w:rPr>
                <w:rFonts w:asciiTheme="minorHAnsi" w:hAnsiTheme="minorHAnsi" w:cstheme="minorHAnsi"/>
                <w:b/>
                <w:bCs/>
                <w:color w:val="000000"/>
                <w:szCs w:val="22"/>
              </w:rPr>
            </w:pPr>
            <w:r w:rsidRPr="002D07B8">
              <w:rPr>
                <w:rFonts w:asciiTheme="minorHAnsi" w:hAnsiTheme="minorHAnsi" w:cstheme="minorHAnsi"/>
                <w:b/>
                <w:bCs/>
                <w:color w:val="000000"/>
                <w:szCs w:val="22"/>
              </w:rPr>
              <w:t>BCY20- 1</w:t>
            </w:r>
            <w:r w:rsidRPr="002D07B8">
              <w:rPr>
                <w:rFonts w:asciiTheme="minorHAnsi" w:hAnsiTheme="minorHAnsi" w:cstheme="minorHAnsi"/>
                <w:b/>
                <w:bCs/>
                <w:color w:val="000000"/>
                <w:szCs w:val="22"/>
                <w:vertAlign w:val="superscript"/>
              </w:rPr>
              <w:t>st</w:t>
            </w:r>
            <w:r w:rsidRPr="002D07B8">
              <w:rPr>
                <w:rFonts w:asciiTheme="minorHAnsi" w:hAnsiTheme="minorHAnsi" w:cstheme="minorHAnsi"/>
                <w:b/>
                <w:bCs/>
                <w:color w:val="000000"/>
                <w:szCs w:val="22"/>
              </w:rPr>
              <w:t xml:space="preserve"> Quarter Preview</w:t>
            </w:r>
          </w:p>
        </w:tc>
        <w:tc>
          <w:tcPr>
            <w:tcW w:w="1153" w:type="dxa"/>
            <w:shd w:val="clear" w:color="auto" w:fill="auto"/>
            <w:vAlign w:val="center"/>
            <w:hideMark/>
          </w:tcPr>
          <w:p w14:paraId="429896F9" w14:textId="213FEB5D" w:rsidR="00A15495" w:rsidRPr="002D07B8" w:rsidRDefault="00A15495" w:rsidP="001548D3">
            <w:pPr>
              <w:jc w:val="center"/>
              <w:rPr>
                <w:rFonts w:asciiTheme="minorHAnsi" w:hAnsiTheme="minorHAnsi" w:cstheme="minorHAnsi"/>
                <w:b/>
                <w:bCs/>
                <w:color w:val="000000"/>
                <w:szCs w:val="22"/>
              </w:rPr>
            </w:pPr>
            <w:r w:rsidRPr="002D07B8">
              <w:rPr>
                <w:rFonts w:asciiTheme="minorHAnsi" w:hAnsiTheme="minorHAnsi" w:cstheme="minorHAnsi"/>
                <w:b/>
                <w:bCs/>
                <w:color w:val="000000"/>
                <w:szCs w:val="22"/>
              </w:rPr>
              <w:t>BCY20 Targets</w:t>
            </w:r>
          </w:p>
        </w:tc>
      </w:tr>
      <w:tr w:rsidR="00D91A47" w:rsidRPr="002D07B8" w14:paraId="42989702" w14:textId="77777777" w:rsidTr="00D91A47">
        <w:trPr>
          <w:trHeight w:val="288"/>
          <w:jc w:val="center"/>
        </w:trPr>
        <w:tc>
          <w:tcPr>
            <w:tcW w:w="2620" w:type="dxa"/>
            <w:shd w:val="clear" w:color="auto" w:fill="auto"/>
            <w:noWrap/>
            <w:hideMark/>
          </w:tcPr>
          <w:p w14:paraId="429896FB" w14:textId="77777777" w:rsidR="00D91A47" w:rsidRPr="002D07B8" w:rsidRDefault="00D91A47" w:rsidP="00D91A47">
            <w:pPr>
              <w:rPr>
                <w:rFonts w:asciiTheme="minorHAnsi" w:hAnsiTheme="minorHAnsi" w:cstheme="minorHAnsi"/>
                <w:b/>
                <w:bCs/>
                <w:color w:val="000000"/>
                <w:sz w:val="24"/>
                <w:szCs w:val="22"/>
              </w:rPr>
            </w:pPr>
            <w:r w:rsidRPr="002D07B8">
              <w:rPr>
                <w:rFonts w:asciiTheme="minorHAnsi" w:hAnsiTheme="minorHAnsi" w:cstheme="minorHAnsi"/>
                <w:b/>
                <w:sz w:val="24"/>
              </w:rPr>
              <w:t>1 Panhandle</w:t>
            </w:r>
          </w:p>
        </w:tc>
        <w:tc>
          <w:tcPr>
            <w:tcW w:w="1018" w:type="dxa"/>
            <w:shd w:val="clear" w:color="auto" w:fill="auto"/>
            <w:noWrap/>
            <w:vAlign w:val="center"/>
          </w:tcPr>
          <w:p w14:paraId="429896FD" w14:textId="5DE9D11E"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$4,941</w:t>
            </w:r>
          </w:p>
        </w:tc>
        <w:tc>
          <w:tcPr>
            <w:tcW w:w="1018" w:type="dxa"/>
            <w:shd w:val="clear" w:color="auto" w:fill="auto"/>
            <w:noWrap/>
            <w:vAlign w:val="center"/>
          </w:tcPr>
          <w:p w14:paraId="429896FE" w14:textId="6E08430A"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$5,663</w:t>
            </w:r>
          </w:p>
        </w:tc>
        <w:tc>
          <w:tcPr>
            <w:tcW w:w="1099" w:type="dxa"/>
            <w:shd w:val="clear" w:color="auto" w:fill="auto"/>
            <w:noWrap/>
            <w:vAlign w:val="center"/>
          </w:tcPr>
          <w:p w14:paraId="429896FF" w14:textId="4E00B9FD"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$5,968</w:t>
            </w:r>
          </w:p>
        </w:tc>
        <w:tc>
          <w:tcPr>
            <w:tcW w:w="1222" w:type="dxa"/>
            <w:shd w:val="clear" w:color="auto" w:fill="auto"/>
            <w:vAlign w:val="center"/>
          </w:tcPr>
          <w:p w14:paraId="42989700" w14:textId="0CEBF35C"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$5,692</w:t>
            </w:r>
          </w:p>
        </w:tc>
        <w:tc>
          <w:tcPr>
            <w:tcW w:w="1153" w:type="dxa"/>
            <w:shd w:val="clear" w:color="auto" w:fill="auto"/>
            <w:noWrap/>
            <w:vAlign w:val="bottom"/>
          </w:tcPr>
          <w:p w14:paraId="42989701" w14:textId="52E3B8BC"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$5,524</w:t>
            </w:r>
          </w:p>
        </w:tc>
      </w:tr>
      <w:tr w:rsidR="00D91A47" w:rsidRPr="002D07B8" w14:paraId="4298970A" w14:textId="77777777" w:rsidTr="00D91A47">
        <w:trPr>
          <w:trHeight w:val="288"/>
          <w:jc w:val="center"/>
        </w:trPr>
        <w:tc>
          <w:tcPr>
            <w:tcW w:w="2620" w:type="dxa"/>
            <w:shd w:val="clear" w:color="auto" w:fill="auto"/>
            <w:noWrap/>
            <w:hideMark/>
          </w:tcPr>
          <w:p w14:paraId="42989703" w14:textId="77777777" w:rsidR="00D91A47" w:rsidRPr="002D07B8" w:rsidRDefault="00D91A47" w:rsidP="00D91A47">
            <w:pPr>
              <w:rPr>
                <w:rFonts w:asciiTheme="minorHAnsi" w:hAnsiTheme="minorHAnsi" w:cstheme="minorHAnsi"/>
                <w:b/>
                <w:bCs/>
                <w:color w:val="000000"/>
                <w:sz w:val="24"/>
                <w:szCs w:val="22"/>
              </w:rPr>
            </w:pPr>
            <w:r w:rsidRPr="002D07B8">
              <w:rPr>
                <w:rFonts w:asciiTheme="minorHAnsi" w:hAnsiTheme="minorHAnsi" w:cstheme="minorHAnsi"/>
                <w:b/>
                <w:sz w:val="24"/>
              </w:rPr>
              <w:t>2 South Plains</w:t>
            </w:r>
          </w:p>
        </w:tc>
        <w:tc>
          <w:tcPr>
            <w:tcW w:w="1018" w:type="dxa"/>
            <w:shd w:val="clear" w:color="auto" w:fill="auto"/>
            <w:noWrap/>
            <w:vAlign w:val="center"/>
          </w:tcPr>
          <w:p w14:paraId="42989705" w14:textId="0532D380"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$4,828</w:t>
            </w:r>
          </w:p>
        </w:tc>
        <w:tc>
          <w:tcPr>
            <w:tcW w:w="1018" w:type="dxa"/>
            <w:shd w:val="clear" w:color="auto" w:fill="auto"/>
            <w:noWrap/>
            <w:vAlign w:val="center"/>
          </w:tcPr>
          <w:p w14:paraId="42989706" w14:textId="09E888C1"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$4,461</w:t>
            </w:r>
          </w:p>
        </w:tc>
        <w:tc>
          <w:tcPr>
            <w:tcW w:w="1099" w:type="dxa"/>
            <w:shd w:val="clear" w:color="auto" w:fill="auto"/>
            <w:noWrap/>
            <w:vAlign w:val="center"/>
          </w:tcPr>
          <w:p w14:paraId="42989707" w14:textId="38D310E2"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$4,752</w:t>
            </w:r>
          </w:p>
        </w:tc>
        <w:tc>
          <w:tcPr>
            <w:tcW w:w="1222" w:type="dxa"/>
            <w:shd w:val="clear" w:color="auto" w:fill="auto"/>
            <w:vAlign w:val="center"/>
          </w:tcPr>
          <w:p w14:paraId="42989708" w14:textId="143B6D7E"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$4,806</w:t>
            </w:r>
          </w:p>
        </w:tc>
        <w:tc>
          <w:tcPr>
            <w:tcW w:w="1153" w:type="dxa"/>
            <w:shd w:val="clear" w:color="auto" w:fill="auto"/>
            <w:noWrap/>
            <w:vAlign w:val="bottom"/>
          </w:tcPr>
          <w:p w14:paraId="42989709" w14:textId="46E447E0"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$4,680</w:t>
            </w:r>
          </w:p>
        </w:tc>
      </w:tr>
      <w:tr w:rsidR="00D91A47" w:rsidRPr="002D07B8" w14:paraId="42989712" w14:textId="77777777" w:rsidTr="00D91A47">
        <w:trPr>
          <w:trHeight w:val="288"/>
          <w:jc w:val="center"/>
        </w:trPr>
        <w:tc>
          <w:tcPr>
            <w:tcW w:w="2620" w:type="dxa"/>
            <w:shd w:val="clear" w:color="auto" w:fill="auto"/>
            <w:noWrap/>
            <w:hideMark/>
          </w:tcPr>
          <w:p w14:paraId="4298970B" w14:textId="77777777" w:rsidR="00D91A47" w:rsidRPr="002D07B8" w:rsidRDefault="00D91A47" w:rsidP="00D91A47">
            <w:pPr>
              <w:rPr>
                <w:rFonts w:asciiTheme="minorHAnsi" w:hAnsiTheme="minorHAnsi" w:cstheme="minorHAnsi"/>
                <w:b/>
                <w:bCs/>
                <w:color w:val="000000"/>
                <w:sz w:val="24"/>
                <w:szCs w:val="22"/>
              </w:rPr>
            </w:pPr>
            <w:r w:rsidRPr="002D07B8">
              <w:rPr>
                <w:rFonts w:asciiTheme="minorHAnsi" w:hAnsiTheme="minorHAnsi" w:cstheme="minorHAnsi"/>
                <w:b/>
                <w:sz w:val="24"/>
              </w:rPr>
              <w:t>3 North Texas</w:t>
            </w:r>
          </w:p>
        </w:tc>
        <w:tc>
          <w:tcPr>
            <w:tcW w:w="1018" w:type="dxa"/>
            <w:shd w:val="clear" w:color="auto" w:fill="auto"/>
            <w:noWrap/>
            <w:vAlign w:val="center"/>
          </w:tcPr>
          <w:p w14:paraId="4298970D" w14:textId="3EA632B1"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$4,901</w:t>
            </w:r>
          </w:p>
        </w:tc>
        <w:tc>
          <w:tcPr>
            <w:tcW w:w="1018" w:type="dxa"/>
            <w:shd w:val="clear" w:color="auto" w:fill="auto"/>
            <w:noWrap/>
            <w:vAlign w:val="center"/>
          </w:tcPr>
          <w:p w14:paraId="4298970E" w14:textId="08F393BC"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$4,943</w:t>
            </w:r>
          </w:p>
        </w:tc>
        <w:tc>
          <w:tcPr>
            <w:tcW w:w="1099" w:type="dxa"/>
            <w:shd w:val="clear" w:color="auto" w:fill="auto"/>
            <w:noWrap/>
            <w:vAlign w:val="center"/>
          </w:tcPr>
          <w:p w14:paraId="4298970F" w14:textId="03774833"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$5,210</w:t>
            </w:r>
          </w:p>
        </w:tc>
        <w:tc>
          <w:tcPr>
            <w:tcW w:w="1222" w:type="dxa"/>
            <w:shd w:val="clear" w:color="auto" w:fill="auto"/>
            <w:vAlign w:val="center"/>
          </w:tcPr>
          <w:p w14:paraId="42989710" w14:textId="12198926"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$4,824</w:t>
            </w:r>
          </w:p>
        </w:tc>
        <w:tc>
          <w:tcPr>
            <w:tcW w:w="1153" w:type="dxa"/>
            <w:shd w:val="clear" w:color="auto" w:fill="auto"/>
            <w:noWrap/>
            <w:vAlign w:val="bottom"/>
          </w:tcPr>
          <w:p w14:paraId="42989711" w14:textId="78AF2841"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$5,018</w:t>
            </w:r>
          </w:p>
        </w:tc>
      </w:tr>
      <w:tr w:rsidR="00D91A47" w:rsidRPr="002D07B8" w14:paraId="4298971A" w14:textId="77777777" w:rsidTr="00D91A47">
        <w:trPr>
          <w:trHeight w:val="288"/>
          <w:jc w:val="center"/>
        </w:trPr>
        <w:tc>
          <w:tcPr>
            <w:tcW w:w="2620" w:type="dxa"/>
            <w:shd w:val="clear" w:color="auto" w:fill="auto"/>
            <w:noWrap/>
            <w:hideMark/>
          </w:tcPr>
          <w:p w14:paraId="42989713" w14:textId="77777777" w:rsidR="00D91A47" w:rsidRPr="002D07B8" w:rsidRDefault="00D91A47" w:rsidP="00D91A47">
            <w:pPr>
              <w:rPr>
                <w:rFonts w:asciiTheme="minorHAnsi" w:hAnsiTheme="minorHAnsi" w:cstheme="minorHAnsi"/>
                <w:b/>
                <w:bCs/>
                <w:color w:val="000000"/>
                <w:sz w:val="24"/>
                <w:szCs w:val="22"/>
              </w:rPr>
            </w:pPr>
            <w:r w:rsidRPr="002D07B8">
              <w:rPr>
                <w:rFonts w:asciiTheme="minorHAnsi" w:hAnsiTheme="minorHAnsi" w:cstheme="minorHAnsi"/>
                <w:b/>
                <w:sz w:val="24"/>
              </w:rPr>
              <w:t>4 North Central</w:t>
            </w:r>
          </w:p>
        </w:tc>
        <w:tc>
          <w:tcPr>
            <w:tcW w:w="1018" w:type="dxa"/>
            <w:shd w:val="clear" w:color="auto" w:fill="auto"/>
            <w:noWrap/>
            <w:vAlign w:val="center"/>
          </w:tcPr>
          <w:p w14:paraId="42989715" w14:textId="72A84151"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$5,025</w:t>
            </w:r>
          </w:p>
        </w:tc>
        <w:tc>
          <w:tcPr>
            <w:tcW w:w="1018" w:type="dxa"/>
            <w:shd w:val="clear" w:color="auto" w:fill="auto"/>
            <w:noWrap/>
            <w:vAlign w:val="center"/>
          </w:tcPr>
          <w:p w14:paraId="42989716" w14:textId="3BDEBC6F"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$6,340</w:t>
            </w:r>
          </w:p>
        </w:tc>
        <w:tc>
          <w:tcPr>
            <w:tcW w:w="1099" w:type="dxa"/>
            <w:shd w:val="clear" w:color="auto" w:fill="auto"/>
            <w:noWrap/>
            <w:vAlign w:val="center"/>
          </w:tcPr>
          <w:p w14:paraId="42989717" w14:textId="6AEFB97A"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$6,583</w:t>
            </w:r>
          </w:p>
        </w:tc>
        <w:tc>
          <w:tcPr>
            <w:tcW w:w="1222" w:type="dxa"/>
            <w:shd w:val="clear" w:color="auto" w:fill="auto"/>
            <w:vAlign w:val="center"/>
          </w:tcPr>
          <w:p w14:paraId="42989718" w14:textId="09AB5E48"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$6,443</w:t>
            </w:r>
          </w:p>
        </w:tc>
        <w:tc>
          <w:tcPr>
            <w:tcW w:w="1153" w:type="dxa"/>
            <w:shd w:val="clear" w:color="auto" w:fill="auto"/>
            <w:noWrap/>
            <w:vAlign w:val="bottom"/>
          </w:tcPr>
          <w:p w14:paraId="42989719" w14:textId="0E4CA56F"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$5,983</w:t>
            </w:r>
          </w:p>
        </w:tc>
      </w:tr>
      <w:tr w:rsidR="00D91A47" w:rsidRPr="002D07B8" w14:paraId="42989722" w14:textId="77777777" w:rsidTr="00D91A47">
        <w:trPr>
          <w:trHeight w:val="288"/>
          <w:jc w:val="center"/>
        </w:trPr>
        <w:tc>
          <w:tcPr>
            <w:tcW w:w="2620" w:type="dxa"/>
            <w:shd w:val="clear" w:color="auto" w:fill="auto"/>
            <w:noWrap/>
            <w:hideMark/>
          </w:tcPr>
          <w:p w14:paraId="4298971B" w14:textId="77777777" w:rsidR="00D91A47" w:rsidRPr="002D07B8" w:rsidRDefault="00D91A47" w:rsidP="00D91A47">
            <w:pPr>
              <w:rPr>
                <w:rFonts w:asciiTheme="minorHAnsi" w:hAnsiTheme="minorHAnsi" w:cstheme="minorHAnsi"/>
                <w:b/>
                <w:bCs/>
                <w:color w:val="000000"/>
                <w:sz w:val="24"/>
                <w:szCs w:val="22"/>
              </w:rPr>
            </w:pPr>
            <w:r w:rsidRPr="002D07B8">
              <w:rPr>
                <w:rFonts w:asciiTheme="minorHAnsi" w:hAnsiTheme="minorHAnsi" w:cstheme="minorHAnsi"/>
                <w:b/>
                <w:sz w:val="24"/>
              </w:rPr>
              <w:t>5 Tarrant County</w:t>
            </w:r>
          </w:p>
        </w:tc>
        <w:tc>
          <w:tcPr>
            <w:tcW w:w="1018" w:type="dxa"/>
            <w:shd w:val="clear" w:color="auto" w:fill="auto"/>
            <w:noWrap/>
            <w:vAlign w:val="center"/>
          </w:tcPr>
          <w:p w14:paraId="4298971D" w14:textId="2D734C6C"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$5,096</w:t>
            </w:r>
          </w:p>
        </w:tc>
        <w:tc>
          <w:tcPr>
            <w:tcW w:w="1018" w:type="dxa"/>
            <w:shd w:val="clear" w:color="auto" w:fill="auto"/>
            <w:noWrap/>
            <w:vAlign w:val="center"/>
          </w:tcPr>
          <w:p w14:paraId="4298971E" w14:textId="3B478E72"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$5,415</w:t>
            </w:r>
          </w:p>
        </w:tc>
        <w:tc>
          <w:tcPr>
            <w:tcW w:w="1099" w:type="dxa"/>
            <w:shd w:val="clear" w:color="auto" w:fill="auto"/>
            <w:noWrap/>
            <w:vAlign w:val="center"/>
          </w:tcPr>
          <w:p w14:paraId="4298971F" w14:textId="433082A1"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$5,847</w:t>
            </w:r>
          </w:p>
        </w:tc>
        <w:tc>
          <w:tcPr>
            <w:tcW w:w="1222" w:type="dxa"/>
            <w:shd w:val="clear" w:color="auto" w:fill="auto"/>
            <w:vAlign w:val="center"/>
          </w:tcPr>
          <w:p w14:paraId="42989720" w14:textId="371044D0"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$5,792</w:t>
            </w:r>
          </w:p>
        </w:tc>
        <w:tc>
          <w:tcPr>
            <w:tcW w:w="1153" w:type="dxa"/>
            <w:shd w:val="clear" w:color="auto" w:fill="auto"/>
            <w:noWrap/>
            <w:vAlign w:val="bottom"/>
          </w:tcPr>
          <w:p w14:paraId="42989721" w14:textId="062CAFBD"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$5,452</w:t>
            </w:r>
          </w:p>
        </w:tc>
      </w:tr>
      <w:tr w:rsidR="00D91A47" w:rsidRPr="002D07B8" w14:paraId="4298972A" w14:textId="77777777" w:rsidTr="00D91A47">
        <w:trPr>
          <w:trHeight w:val="288"/>
          <w:jc w:val="center"/>
        </w:trPr>
        <w:tc>
          <w:tcPr>
            <w:tcW w:w="2620" w:type="dxa"/>
            <w:shd w:val="clear" w:color="auto" w:fill="auto"/>
            <w:noWrap/>
            <w:hideMark/>
          </w:tcPr>
          <w:p w14:paraId="42989723" w14:textId="77777777" w:rsidR="00D91A47" w:rsidRPr="002D07B8" w:rsidRDefault="00D91A47" w:rsidP="00D91A47">
            <w:pPr>
              <w:rPr>
                <w:rFonts w:asciiTheme="minorHAnsi" w:hAnsiTheme="minorHAnsi" w:cstheme="minorHAnsi"/>
                <w:b/>
                <w:bCs/>
                <w:color w:val="000000"/>
                <w:sz w:val="24"/>
                <w:szCs w:val="22"/>
              </w:rPr>
            </w:pPr>
            <w:r w:rsidRPr="002D07B8">
              <w:rPr>
                <w:rFonts w:asciiTheme="minorHAnsi" w:hAnsiTheme="minorHAnsi" w:cstheme="minorHAnsi"/>
                <w:b/>
                <w:sz w:val="24"/>
              </w:rPr>
              <w:t>6 Dallas</w:t>
            </w:r>
          </w:p>
        </w:tc>
        <w:tc>
          <w:tcPr>
            <w:tcW w:w="1018" w:type="dxa"/>
            <w:shd w:val="clear" w:color="auto" w:fill="auto"/>
            <w:noWrap/>
            <w:vAlign w:val="center"/>
          </w:tcPr>
          <w:p w14:paraId="42989725" w14:textId="7B5EA6C5"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$5,420</w:t>
            </w:r>
          </w:p>
        </w:tc>
        <w:tc>
          <w:tcPr>
            <w:tcW w:w="1018" w:type="dxa"/>
            <w:shd w:val="clear" w:color="auto" w:fill="auto"/>
            <w:noWrap/>
            <w:vAlign w:val="center"/>
          </w:tcPr>
          <w:p w14:paraId="42989726" w14:textId="7930CDD9"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$5,360</w:t>
            </w:r>
          </w:p>
        </w:tc>
        <w:tc>
          <w:tcPr>
            <w:tcW w:w="1099" w:type="dxa"/>
            <w:shd w:val="clear" w:color="auto" w:fill="auto"/>
            <w:noWrap/>
            <w:vAlign w:val="center"/>
          </w:tcPr>
          <w:p w14:paraId="42989727" w14:textId="6055E874"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$5,496</w:t>
            </w:r>
          </w:p>
        </w:tc>
        <w:tc>
          <w:tcPr>
            <w:tcW w:w="1222" w:type="dxa"/>
            <w:shd w:val="clear" w:color="auto" w:fill="auto"/>
            <w:vAlign w:val="center"/>
          </w:tcPr>
          <w:p w14:paraId="42989728" w14:textId="5AC39643"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$5,307</w:t>
            </w:r>
          </w:p>
        </w:tc>
        <w:tc>
          <w:tcPr>
            <w:tcW w:w="1153" w:type="dxa"/>
            <w:shd w:val="clear" w:color="auto" w:fill="auto"/>
            <w:noWrap/>
            <w:vAlign w:val="bottom"/>
          </w:tcPr>
          <w:p w14:paraId="42989729" w14:textId="1C68664D"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$5,425</w:t>
            </w:r>
          </w:p>
        </w:tc>
      </w:tr>
      <w:tr w:rsidR="00D91A47" w:rsidRPr="002D07B8" w14:paraId="42989732" w14:textId="77777777" w:rsidTr="00D91A47">
        <w:trPr>
          <w:trHeight w:val="288"/>
          <w:jc w:val="center"/>
        </w:trPr>
        <w:tc>
          <w:tcPr>
            <w:tcW w:w="2620" w:type="dxa"/>
            <w:shd w:val="clear" w:color="auto" w:fill="auto"/>
            <w:noWrap/>
            <w:hideMark/>
          </w:tcPr>
          <w:p w14:paraId="4298972B" w14:textId="77777777" w:rsidR="00D91A47" w:rsidRPr="002D07B8" w:rsidRDefault="00D91A47" w:rsidP="00D91A47">
            <w:pPr>
              <w:rPr>
                <w:rFonts w:asciiTheme="minorHAnsi" w:hAnsiTheme="minorHAnsi" w:cstheme="minorHAnsi"/>
                <w:b/>
                <w:bCs/>
                <w:color w:val="000000"/>
                <w:sz w:val="24"/>
                <w:szCs w:val="22"/>
              </w:rPr>
            </w:pPr>
            <w:r w:rsidRPr="002D07B8">
              <w:rPr>
                <w:rFonts w:asciiTheme="minorHAnsi" w:hAnsiTheme="minorHAnsi" w:cstheme="minorHAnsi"/>
                <w:b/>
                <w:sz w:val="24"/>
              </w:rPr>
              <w:t>7 North East Texas</w:t>
            </w:r>
          </w:p>
        </w:tc>
        <w:tc>
          <w:tcPr>
            <w:tcW w:w="1018" w:type="dxa"/>
            <w:shd w:val="clear" w:color="auto" w:fill="auto"/>
            <w:noWrap/>
            <w:vAlign w:val="center"/>
          </w:tcPr>
          <w:p w14:paraId="4298972D" w14:textId="6C296944"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$4,619</w:t>
            </w:r>
          </w:p>
        </w:tc>
        <w:tc>
          <w:tcPr>
            <w:tcW w:w="1018" w:type="dxa"/>
            <w:shd w:val="clear" w:color="auto" w:fill="auto"/>
            <w:noWrap/>
            <w:vAlign w:val="center"/>
          </w:tcPr>
          <w:p w14:paraId="4298972E" w14:textId="0BB858FB"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$4,239</w:t>
            </w:r>
          </w:p>
        </w:tc>
        <w:tc>
          <w:tcPr>
            <w:tcW w:w="1099" w:type="dxa"/>
            <w:shd w:val="clear" w:color="auto" w:fill="auto"/>
            <w:noWrap/>
            <w:vAlign w:val="center"/>
          </w:tcPr>
          <w:p w14:paraId="4298972F" w14:textId="3A3A51A7"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$4,446</w:t>
            </w:r>
          </w:p>
        </w:tc>
        <w:tc>
          <w:tcPr>
            <w:tcW w:w="1222" w:type="dxa"/>
            <w:shd w:val="clear" w:color="auto" w:fill="auto"/>
            <w:vAlign w:val="center"/>
          </w:tcPr>
          <w:p w14:paraId="42989730" w14:textId="6A5B3D8C"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$4,402</w:t>
            </w:r>
          </w:p>
        </w:tc>
        <w:tc>
          <w:tcPr>
            <w:tcW w:w="1153" w:type="dxa"/>
            <w:shd w:val="clear" w:color="auto" w:fill="auto"/>
            <w:noWrap/>
            <w:vAlign w:val="bottom"/>
          </w:tcPr>
          <w:p w14:paraId="42989731" w14:textId="49550172"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$4,435</w:t>
            </w:r>
          </w:p>
        </w:tc>
      </w:tr>
      <w:tr w:rsidR="00D91A47" w:rsidRPr="002D07B8" w14:paraId="4298973A" w14:textId="77777777" w:rsidTr="00D91A47">
        <w:trPr>
          <w:trHeight w:val="288"/>
          <w:jc w:val="center"/>
        </w:trPr>
        <w:tc>
          <w:tcPr>
            <w:tcW w:w="2620" w:type="dxa"/>
            <w:shd w:val="clear" w:color="auto" w:fill="auto"/>
            <w:noWrap/>
            <w:hideMark/>
          </w:tcPr>
          <w:p w14:paraId="42989733" w14:textId="77777777" w:rsidR="00D91A47" w:rsidRPr="002D07B8" w:rsidRDefault="00D91A47" w:rsidP="00D91A47">
            <w:pPr>
              <w:rPr>
                <w:rFonts w:asciiTheme="minorHAnsi" w:hAnsiTheme="minorHAnsi" w:cstheme="minorHAnsi"/>
                <w:b/>
                <w:bCs/>
                <w:color w:val="000000"/>
                <w:sz w:val="24"/>
                <w:szCs w:val="22"/>
              </w:rPr>
            </w:pPr>
            <w:r w:rsidRPr="002D07B8">
              <w:rPr>
                <w:rFonts w:asciiTheme="minorHAnsi" w:hAnsiTheme="minorHAnsi" w:cstheme="minorHAnsi"/>
                <w:b/>
                <w:sz w:val="24"/>
              </w:rPr>
              <w:t>8 East Texas</w:t>
            </w:r>
          </w:p>
        </w:tc>
        <w:tc>
          <w:tcPr>
            <w:tcW w:w="1018" w:type="dxa"/>
            <w:shd w:val="clear" w:color="auto" w:fill="auto"/>
            <w:noWrap/>
            <w:vAlign w:val="center"/>
          </w:tcPr>
          <w:p w14:paraId="42989735" w14:textId="5D25473B"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$4,407</w:t>
            </w:r>
          </w:p>
        </w:tc>
        <w:tc>
          <w:tcPr>
            <w:tcW w:w="1018" w:type="dxa"/>
            <w:shd w:val="clear" w:color="auto" w:fill="auto"/>
            <w:noWrap/>
            <w:vAlign w:val="center"/>
          </w:tcPr>
          <w:p w14:paraId="42989736" w14:textId="7A2A93F2"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$5,059</w:t>
            </w:r>
          </w:p>
        </w:tc>
        <w:tc>
          <w:tcPr>
            <w:tcW w:w="1099" w:type="dxa"/>
            <w:shd w:val="clear" w:color="auto" w:fill="auto"/>
            <w:noWrap/>
            <w:vAlign w:val="center"/>
          </w:tcPr>
          <w:p w14:paraId="42989737" w14:textId="4E7AB23C"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$5,129</w:t>
            </w:r>
          </w:p>
        </w:tc>
        <w:tc>
          <w:tcPr>
            <w:tcW w:w="1222" w:type="dxa"/>
            <w:shd w:val="clear" w:color="auto" w:fill="auto"/>
            <w:vAlign w:val="center"/>
          </w:tcPr>
          <w:p w14:paraId="42989738" w14:textId="5414836F"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$4,979</w:t>
            </w:r>
          </w:p>
        </w:tc>
        <w:tc>
          <w:tcPr>
            <w:tcW w:w="1153" w:type="dxa"/>
            <w:shd w:val="clear" w:color="auto" w:fill="auto"/>
            <w:noWrap/>
            <w:vAlign w:val="bottom"/>
          </w:tcPr>
          <w:p w14:paraId="42989739" w14:textId="320318C9"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$4,865</w:t>
            </w:r>
          </w:p>
        </w:tc>
      </w:tr>
      <w:tr w:rsidR="00D91A47" w:rsidRPr="002D07B8" w14:paraId="42989742" w14:textId="77777777" w:rsidTr="00D91A47">
        <w:trPr>
          <w:trHeight w:val="288"/>
          <w:jc w:val="center"/>
        </w:trPr>
        <w:tc>
          <w:tcPr>
            <w:tcW w:w="2620" w:type="dxa"/>
            <w:shd w:val="clear" w:color="auto" w:fill="auto"/>
            <w:noWrap/>
            <w:hideMark/>
          </w:tcPr>
          <w:p w14:paraId="4298973B" w14:textId="77777777" w:rsidR="00D91A47" w:rsidRPr="002D07B8" w:rsidRDefault="00D91A47" w:rsidP="00D91A47">
            <w:pPr>
              <w:rPr>
                <w:rFonts w:asciiTheme="minorHAnsi" w:hAnsiTheme="minorHAnsi" w:cstheme="minorHAnsi"/>
                <w:b/>
                <w:bCs/>
                <w:color w:val="000000"/>
                <w:sz w:val="24"/>
                <w:szCs w:val="22"/>
              </w:rPr>
            </w:pPr>
            <w:r w:rsidRPr="002D07B8">
              <w:rPr>
                <w:rFonts w:asciiTheme="minorHAnsi" w:hAnsiTheme="minorHAnsi" w:cstheme="minorHAnsi"/>
                <w:b/>
                <w:sz w:val="24"/>
              </w:rPr>
              <w:t>9 West Central Texas</w:t>
            </w:r>
          </w:p>
        </w:tc>
        <w:tc>
          <w:tcPr>
            <w:tcW w:w="1018" w:type="dxa"/>
            <w:shd w:val="clear" w:color="auto" w:fill="auto"/>
            <w:noWrap/>
            <w:vAlign w:val="center"/>
          </w:tcPr>
          <w:p w14:paraId="4298973D" w14:textId="3BDA9A3B"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$4,876</w:t>
            </w:r>
          </w:p>
        </w:tc>
        <w:tc>
          <w:tcPr>
            <w:tcW w:w="1018" w:type="dxa"/>
            <w:shd w:val="clear" w:color="auto" w:fill="auto"/>
            <w:noWrap/>
            <w:vAlign w:val="center"/>
          </w:tcPr>
          <w:p w14:paraId="4298973E" w14:textId="4C5BA0A6"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$4,606</w:t>
            </w:r>
          </w:p>
        </w:tc>
        <w:tc>
          <w:tcPr>
            <w:tcW w:w="1099" w:type="dxa"/>
            <w:shd w:val="clear" w:color="auto" w:fill="auto"/>
            <w:noWrap/>
            <w:vAlign w:val="center"/>
          </w:tcPr>
          <w:p w14:paraId="4298973F" w14:textId="722EEAA0"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$4,893</w:t>
            </w:r>
          </w:p>
        </w:tc>
        <w:tc>
          <w:tcPr>
            <w:tcW w:w="1222" w:type="dxa"/>
            <w:shd w:val="clear" w:color="auto" w:fill="auto"/>
            <w:vAlign w:val="center"/>
          </w:tcPr>
          <w:p w14:paraId="42989740" w14:textId="0CEBF2AA"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$4,734</w:t>
            </w:r>
          </w:p>
        </w:tc>
        <w:tc>
          <w:tcPr>
            <w:tcW w:w="1153" w:type="dxa"/>
            <w:shd w:val="clear" w:color="auto" w:fill="auto"/>
            <w:noWrap/>
            <w:vAlign w:val="bottom"/>
          </w:tcPr>
          <w:p w14:paraId="42989741" w14:textId="52C92505"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$4,791</w:t>
            </w:r>
          </w:p>
        </w:tc>
      </w:tr>
      <w:tr w:rsidR="00D91A47" w:rsidRPr="002D07B8" w14:paraId="4298974A" w14:textId="77777777" w:rsidTr="00D91A47">
        <w:trPr>
          <w:trHeight w:val="288"/>
          <w:jc w:val="center"/>
        </w:trPr>
        <w:tc>
          <w:tcPr>
            <w:tcW w:w="2620" w:type="dxa"/>
            <w:shd w:val="clear" w:color="auto" w:fill="auto"/>
            <w:noWrap/>
            <w:hideMark/>
          </w:tcPr>
          <w:p w14:paraId="42989743" w14:textId="77777777" w:rsidR="00D91A47" w:rsidRPr="002D07B8" w:rsidRDefault="00D91A47" w:rsidP="00D91A47">
            <w:pPr>
              <w:rPr>
                <w:rFonts w:asciiTheme="minorHAnsi" w:hAnsiTheme="minorHAnsi" w:cstheme="minorHAnsi"/>
                <w:b/>
                <w:bCs/>
                <w:color w:val="000000"/>
                <w:sz w:val="24"/>
                <w:szCs w:val="22"/>
              </w:rPr>
            </w:pPr>
            <w:r w:rsidRPr="002D07B8">
              <w:rPr>
                <w:rFonts w:asciiTheme="minorHAnsi" w:hAnsiTheme="minorHAnsi" w:cstheme="minorHAnsi"/>
                <w:b/>
                <w:sz w:val="24"/>
              </w:rPr>
              <w:t>10 Borderplex</w:t>
            </w:r>
          </w:p>
        </w:tc>
        <w:tc>
          <w:tcPr>
            <w:tcW w:w="1018" w:type="dxa"/>
            <w:shd w:val="clear" w:color="auto" w:fill="auto"/>
            <w:noWrap/>
            <w:vAlign w:val="center"/>
          </w:tcPr>
          <w:p w14:paraId="42989745" w14:textId="099E12AD"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$3,882</w:t>
            </w:r>
          </w:p>
        </w:tc>
        <w:tc>
          <w:tcPr>
            <w:tcW w:w="1018" w:type="dxa"/>
            <w:shd w:val="clear" w:color="auto" w:fill="auto"/>
            <w:noWrap/>
            <w:vAlign w:val="center"/>
          </w:tcPr>
          <w:p w14:paraId="42989746" w14:textId="103F32DE"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$4,245</w:t>
            </w:r>
          </w:p>
        </w:tc>
        <w:tc>
          <w:tcPr>
            <w:tcW w:w="1099" w:type="dxa"/>
            <w:shd w:val="clear" w:color="auto" w:fill="auto"/>
            <w:noWrap/>
            <w:vAlign w:val="center"/>
          </w:tcPr>
          <w:p w14:paraId="42989747" w14:textId="638F3514"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$4,393</w:t>
            </w:r>
          </w:p>
        </w:tc>
        <w:tc>
          <w:tcPr>
            <w:tcW w:w="1222" w:type="dxa"/>
            <w:shd w:val="clear" w:color="auto" w:fill="auto"/>
            <w:vAlign w:val="center"/>
          </w:tcPr>
          <w:p w14:paraId="42989748" w14:textId="07F43695"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$4,336</w:t>
            </w:r>
          </w:p>
        </w:tc>
        <w:tc>
          <w:tcPr>
            <w:tcW w:w="1153" w:type="dxa"/>
            <w:shd w:val="clear" w:color="auto" w:fill="auto"/>
            <w:noWrap/>
            <w:vAlign w:val="bottom"/>
          </w:tcPr>
          <w:p w14:paraId="42989749" w14:textId="3EDE9E56"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$4,174</w:t>
            </w:r>
          </w:p>
        </w:tc>
      </w:tr>
      <w:tr w:rsidR="00D91A47" w:rsidRPr="002D07B8" w14:paraId="42989752" w14:textId="77777777" w:rsidTr="00D91A47">
        <w:trPr>
          <w:trHeight w:val="288"/>
          <w:jc w:val="center"/>
        </w:trPr>
        <w:tc>
          <w:tcPr>
            <w:tcW w:w="2620" w:type="dxa"/>
            <w:shd w:val="clear" w:color="auto" w:fill="auto"/>
            <w:noWrap/>
            <w:hideMark/>
          </w:tcPr>
          <w:p w14:paraId="4298974B" w14:textId="77777777" w:rsidR="00D91A47" w:rsidRPr="002D07B8" w:rsidRDefault="00D91A47" w:rsidP="00D91A47">
            <w:pPr>
              <w:rPr>
                <w:rFonts w:asciiTheme="minorHAnsi" w:hAnsiTheme="minorHAnsi" w:cstheme="minorHAnsi"/>
                <w:b/>
                <w:bCs/>
                <w:color w:val="000000"/>
                <w:sz w:val="24"/>
                <w:szCs w:val="22"/>
              </w:rPr>
            </w:pPr>
            <w:r w:rsidRPr="002D07B8">
              <w:rPr>
                <w:rFonts w:asciiTheme="minorHAnsi" w:hAnsiTheme="minorHAnsi" w:cstheme="minorHAnsi"/>
                <w:b/>
                <w:sz w:val="24"/>
              </w:rPr>
              <w:t>11 Permian Basin</w:t>
            </w:r>
          </w:p>
        </w:tc>
        <w:tc>
          <w:tcPr>
            <w:tcW w:w="1018" w:type="dxa"/>
            <w:shd w:val="clear" w:color="auto" w:fill="auto"/>
            <w:noWrap/>
            <w:vAlign w:val="center"/>
          </w:tcPr>
          <w:p w14:paraId="4298974D" w14:textId="7D6D2986"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$7,207</w:t>
            </w:r>
          </w:p>
        </w:tc>
        <w:tc>
          <w:tcPr>
            <w:tcW w:w="1018" w:type="dxa"/>
            <w:shd w:val="clear" w:color="auto" w:fill="auto"/>
            <w:noWrap/>
            <w:vAlign w:val="center"/>
          </w:tcPr>
          <w:p w14:paraId="4298974E" w14:textId="5FDEE32D"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$7,552</w:t>
            </w:r>
          </w:p>
        </w:tc>
        <w:tc>
          <w:tcPr>
            <w:tcW w:w="1099" w:type="dxa"/>
            <w:shd w:val="clear" w:color="auto" w:fill="auto"/>
            <w:noWrap/>
            <w:vAlign w:val="center"/>
          </w:tcPr>
          <w:p w14:paraId="4298974F" w14:textId="04BE2BF7"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$7,857</w:t>
            </w:r>
          </w:p>
        </w:tc>
        <w:tc>
          <w:tcPr>
            <w:tcW w:w="1222" w:type="dxa"/>
            <w:shd w:val="clear" w:color="auto" w:fill="auto"/>
            <w:vAlign w:val="center"/>
          </w:tcPr>
          <w:p w14:paraId="42989750" w14:textId="0EA94474"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$7,557</w:t>
            </w:r>
          </w:p>
        </w:tc>
        <w:tc>
          <w:tcPr>
            <w:tcW w:w="1153" w:type="dxa"/>
            <w:shd w:val="clear" w:color="auto" w:fill="auto"/>
            <w:noWrap/>
            <w:vAlign w:val="bottom"/>
          </w:tcPr>
          <w:p w14:paraId="42989751" w14:textId="0EB3BF94"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$7,539</w:t>
            </w:r>
          </w:p>
        </w:tc>
      </w:tr>
      <w:tr w:rsidR="00D91A47" w:rsidRPr="002D07B8" w14:paraId="4298975A" w14:textId="77777777" w:rsidTr="00D91A47">
        <w:trPr>
          <w:trHeight w:val="288"/>
          <w:jc w:val="center"/>
        </w:trPr>
        <w:tc>
          <w:tcPr>
            <w:tcW w:w="2620" w:type="dxa"/>
            <w:shd w:val="clear" w:color="auto" w:fill="auto"/>
            <w:noWrap/>
            <w:hideMark/>
          </w:tcPr>
          <w:p w14:paraId="42989753" w14:textId="77777777" w:rsidR="00D91A47" w:rsidRPr="002D07B8" w:rsidRDefault="00D91A47" w:rsidP="00D91A47">
            <w:pPr>
              <w:rPr>
                <w:rFonts w:asciiTheme="minorHAnsi" w:hAnsiTheme="minorHAnsi" w:cstheme="minorHAnsi"/>
                <w:b/>
                <w:bCs/>
                <w:color w:val="000000"/>
                <w:sz w:val="24"/>
                <w:szCs w:val="22"/>
              </w:rPr>
            </w:pPr>
            <w:r w:rsidRPr="002D07B8">
              <w:rPr>
                <w:rFonts w:asciiTheme="minorHAnsi" w:hAnsiTheme="minorHAnsi" w:cstheme="minorHAnsi"/>
                <w:b/>
                <w:sz w:val="24"/>
              </w:rPr>
              <w:t>12 Concho Valley</w:t>
            </w:r>
          </w:p>
        </w:tc>
        <w:tc>
          <w:tcPr>
            <w:tcW w:w="1018" w:type="dxa"/>
            <w:shd w:val="clear" w:color="auto" w:fill="auto"/>
            <w:noWrap/>
            <w:vAlign w:val="center"/>
          </w:tcPr>
          <w:p w14:paraId="42989755" w14:textId="20C95567"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$5,707</w:t>
            </w:r>
          </w:p>
        </w:tc>
        <w:tc>
          <w:tcPr>
            <w:tcW w:w="1018" w:type="dxa"/>
            <w:shd w:val="clear" w:color="auto" w:fill="auto"/>
            <w:noWrap/>
            <w:vAlign w:val="center"/>
          </w:tcPr>
          <w:p w14:paraId="42989756" w14:textId="66DE1294"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$4,899</w:t>
            </w:r>
          </w:p>
        </w:tc>
        <w:tc>
          <w:tcPr>
            <w:tcW w:w="1099" w:type="dxa"/>
            <w:shd w:val="clear" w:color="auto" w:fill="auto"/>
            <w:noWrap/>
            <w:vAlign w:val="center"/>
          </w:tcPr>
          <w:p w14:paraId="42989757" w14:textId="707BA083"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$5,574</w:t>
            </w:r>
          </w:p>
        </w:tc>
        <w:tc>
          <w:tcPr>
            <w:tcW w:w="1222" w:type="dxa"/>
            <w:shd w:val="clear" w:color="auto" w:fill="auto"/>
            <w:vAlign w:val="center"/>
          </w:tcPr>
          <w:p w14:paraId="42989758" w14:textId="51C9BF3E"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$4,986</w:t>
            </w:r>
          </w:p>
        </w:tc>
        <w:tc>
          <w:tcPr>
            <w:tcW w:w="1153" w:type="dxa"/>
            <w:shd w:val="clear" w:color="auto" w:fill="auto"/>
            <w:noWrap/>
            <w:vAlign w:val="bottom"/>
          </w:tcPr>
          <w:p w14:paraId="42989759" w14:textId="43BA9EE4"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$5,394</w:t>
            </w:r>
          </w:p>
        </w:tc>
      </w:tr>
      <w:tr w:rsidR="00D91A47" w:rsidRPr="002D07B8" w14:paraId="42989762" w14:textId="77777777" w:rsidTr="00D91A47">
        <w:trPr>
          <w:trHeight w:val="288"/>
          <w:jc w:val="center"/>
        </w:trPr>
        <w:tc>
          <w:tcPr>
            <w:tcW w:w="2620" w:type="dxa"/>
            <w:shd w:val="clear" w:color="auto" w:fill="auto"/>
            <w:noWrap/>
            <w:hideMark/>
          </w:tcPr>
          <w:p w14:paraId="4298975B" w14:textId="77777777" w:rsidR="00D91A47" w:rsidRPr="002D07B8" w:rsidRDefault="00D91A47" w:rsidP="00D91A47">
            <w:pPr>
              <w:rPr>
                <w:rFonts w:asciiTheme="minorHAnsi" w:hAnsiTheme="minorHAnsi" w:cstheme="minorHAnsi"/>
                <w:b/>
                <w:bCs/>
                <w:color w:val="000000"/>
                <w:sz w:val="24"/>
                <w:szCs w:val="22"/>
              </w:rPr>
            </w:pPr>
            <w:r w:rsidRPr="002D07B8">
              <w:rPr>
                <w:rFonts w:asciiTheme="minorHAnsi" w:hAnsiTheme="minorHAnsi" w:cstheme="minorHAnsi"/>
                <w:b/>
                <w:sz w:val="24"/>
              </w:rPr>
              <w:t>13 Heart of Texas</w:t>
            </w:r>
          </w:p>
        </w:tc>
        <w:tc>
          <w:tcPr>
            <w:tcW w:w="1018" w:type="dxa"/>
            <w:shd w:val="clear" w:color="auto" w:fill="auto"/>
            <w:noWrap/>
            <w:vAlign w:val="center"/>
          </w:tcPr>
          <w:p w14:paraId="4298975D" w14:textId="696E63D9"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$4,262</w:t>
            </w:r>
          </w:p>
        </w:tc>
        <w:tc>
          <w:tcPr>
            <w:tcW w:w="1018" w:type="dxa"/>
            <w:shd w:val="clear" w:color="auto" w:fill="auto"/>
            <w:noWrap/>
            <w:vAlign w:val="center"/>
          </w:tcPr>
          <w:p w14:paraId="4298975E" w14:textId="4AF95F90"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$4,214</w:t>
            </w:r>
          </w:p>
        </w:tc>
        <w:tc>
          <w:tcPr>
            <w:tcW w:w="1099" w:type="dxa"/>
            <w:shd w:val="clear" w:color="auto" w:fill="auto"/>
            <w:noWrap/>
            <w:vAlign w:val="center"/>
          </w:tcPr>
          <w:p w14:paraId="4298975F" w14:textId="5BD3E815"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$4,467</w:t>
            </w:r>
          </w:p>
        </w:tc>
        <w:tc>
          <w:tcPr>
            <w:tcW w:w="1222" w:type="dxa"/>
            <w:shd w:val="clear" w:color="auto" w:fill="auto"/>
            <w:vAlign w:val="center"/>
          </w:tcPr>
          <w:p w14:paraId="42989760" w14:textId="6B7B667C"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$4,268</w:t>
            </w:r>
          </w:p>
        </w:tc>
        <w:tc>
          <w:tcPr>
            <w:tcW w:w="1153" w:type="dxa"/>
            <w:shd w:val="clear" w:color="auto" w:fill="auto"/>
            <w:noWrap/>
            <w:vAlign w:val="bottom"/>
          </w:tcPr>
          <w:p w14:paraId="42989761" w14:textId="7817A2B9"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$4,314</w:t>
            </w:r>
          </w:p>
        </w:tc>
      </w:tr>
      <w:tr w:rsidR="00D91A47" w:rsidRPr="002D07B8" w14:paraId="4298976A" w14:textId="77777777" w:rsidTr="00D91A47">
        <w:trPr>
          <w:trHeight w:val="288"/>
          <w:jc w:val="center"/>
        </w:trPr>
        <w:tc>
          <w:tcPr>
            <w:tcW w:w="2620" w:type="dxa"/>
            <w:shd w:val="clear" w:color="auto" w:fill="auto"/>
            <w:noWrap/>
            <w:hideMark/>
          </w:tcPr>
          <w:p w14:paraId="42989763" w14:textId="77777777" w:rsidR="00D91A47" w:rsidRPr="002D07B8" w:rsidRDefault="00D91A47" w:rsidP="00D91A47">
            <w:pPr>
              <w:rPr>
                <w:rFonts w:asciiTheme="minorHAnsi" w:hAnsiTheme="minorHAnsi" w:cstheme="minorHAnsi"/>
                <w:b/>
                <w:bCs/>
                <w:color w:val="000000"/>
                <w:sz w:val="24"/>
                <w:szCs w:val="22"/>
              </w:rPr>
            </w:pPr>
            <w:r w:rsidRPr="002D07B8">
              <w:rPr>
                <w:rFonts w:asciiTheme="minorHAnsi" w:hAnsiTheme="minorHAnsi" w:cstheme="minorHAnsi"/>
                <w:b/>
                <w:sz w:val="24"/>
              </w:rPr>
              <w:t>14 Capital Area</w:t>
            </w:r>
          </w:p>
        </w:tc>
        <w:tc>
          <w:tcPr>
            <w:tcW w:w="1018" w:type="dxa"/>
            <w:shd w:val="clear" w:color="auto" w:fill="auto"/>
            <w:noWrap/>
            <w:vAlign w:val="center"/>
          </w:tcPr>
          <w:p w14:paraId="42989765" w14:textId="3DCA80D4"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$6,619</w:t>
            </w:r>
          </w:p>
        </w:tc>
        <w:tc>
          <w:tcPr>
            <w:tcW w:w="1018" w:type="dxa"/>
            <w:shd w:val="clear" w:color="auto" w:fill="auto"/>
            <w:noWrap/>
            <w:vAlign w:val="center"/>
          </w:tcPr>
          <w:p w14:paraId="42989766" w14:textId="1CBD14F7"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$7,073</w:t>
            </w:r>
          </w:p>
        </w:tc>
        <w:tc>
          <w:tcPr>
            <w:tcW w:w="1099" w:type="dxa"/>
            <w:shd w:val="clear" w:color="auto" w:fill="auto"/>
            <w:noWrap/>
            <w:vAlign w:val="center"/>
          </w:tcPr>
          <w:p w14:paraId="42989767" w14:textId="1CDA1A4E"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$7,499</w:t>
            </w:r>
          </w:p>
        </w:tc>
        <w:tc>
          <w:tcPr>
            <w:tcW w:w="1222" w:type="dxa"/>
            <w:shd w:val="clear" w:color="auto" w:fill="auto"/>
            <w:vAlign w:val="center"/>
          </w:tcPr>
          <w:p w14:paraId="42989768" w14:textId="762FDC41"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$7,113</w:t>
            </w:r>
          </w:p>
        </w:tc>
        <w:tc>
          <w:tcPr>
            <w:tcW w:w="1153" w:type="dxa"/>
            <w:shd w:val="clear" w:color="auto" w:fill="auto"/>
            <w:noWrap/>
            <w:vAlign w:val="bottom"/>
          </w:tcPr>
          <w:p w14:paraId="42989769" w14:textId="2521931D"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$7,064</w:t>
            </w:r>
          </w:p>
        </w:tc>
      </w:tr>
      <w:tr w:rsidR="00D91A47" w:rsidRPr="002D07B8" w14:paraId="42989772" w14:textId="77777777" w:rsidTr="00D91A47">
        <w:trPr>
          <w:trHeight w:val="288"/>
          <w:jc w:val="center"/>
        </w:trPr>
        <w:tc>
          <w:tcPr>
            <w:tcW w:w="2620" w:type="dxa"/>
            <w:shd w:val="clear" w:color="auto" w:fill="auto"/>
            <w:noWrap/>
            <w:hideMark/>
          </w:tcPr>
          <w:p w14:paraId="4298976B" w14:textId="77777777" w:rsidR="00D91A47" w:rsidRPr="002D07B8" w:rsidRDefault="00D91A47" w:rsidP="00D91A47">
            <w:pPr>
              <w:rPr>
                <w:rFonts w:asciiTheme="minorHAnsi" w:hAnsiTheme="minorHAnsi" w:cstheme="minorHAnsi"/>
                <w:b/>
                <w:bCs/>
                <w:color w:val="000000"/>
                <w:sz w:val="24"/>
                <w:szCs w:val="22"/>
              </w:rPr>
            </w:pPr>
            <w:r w:rsidRPr="002D07B8">
              <w:rPr>
                <w:rFonts w:asciiTheme="minorHAnsi" w:hAnsiTheme="minorHAnsi" w:cstheme="minorHAnsi"/>
                <w:b/>
                <w:sz w:val="24"/>
              </w:rPr>
              <w:t>15 Rural Capital</w:t>
            </w:r>
          </w:p>
        </w:tc>
        <w:tc>
          <w:tcPr>
            <w:tcW w:w="1018" w:type="dxa"/>
            <w:shd w:val="clear" w:color="auto" w:fill="auto"/>
            <w:noWrap/>
            <w:vAlign w:val="center"/>
          </w:tcPr>
          <w:p w14:paraId="4298976D" w14:textId="14158FC9"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$6,016</w:t>
            </w:r>
          </w:p>
        </w:tc>
        <w:tc>
          <w:tcPr>
            <w:tcW w:w="1018" w:type="dxa"/>
            <w:shd w:val="clear" w:color="auto" w:fill="auto"/>
            <w:noWrap/>
            <w:vAlign w:val="center"/>
          </w:tcPr>
          <w:p w14:paraId="4298976E" w14:textId="1A39DA1A"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$7,284</w:t>
            </w:r>
          </w:p>
        </w:tc>
        <w:tc>
          <w:tcPr>
            <w:tcW w:w="1099" w:type="dxa"/>
            <w:shd w:val="clear" w:color="auto" w:fill="auto"/>
            <w:noWrap/>
            <w:vAlign w:val="center"/>
          </w:tcPr>
          <w:p w14:paraId="4298976F" w14:textId="3870E73F"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$7,638</w:t>
            </w:r>
          </w:p>
        </w:tc>
        <w:tc>
          <w:tcPr>
            <w:tcW w:w="1222" w:type="dxa"/>
            <w:shd w:val="clear" w:color="auto" w:fill="auto"/>
            <w:vAlign w:val="center"/>
          </w:tcPr>
          <w:p w14:paraId="42989770" w14:textId="5E642085"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$7,350</w:t>
            </w:r>
          </w:p>
        </w:tc>
        <w:tc>
          <w:tcPr>
            <w:tcW w:w="1153" w:type="dxa"/>
            <w:shd w:val="clear" w:color="auto" w:fill="auto"/>
            <w:noWrap/>
            <w:vAlign w:val="bottom"/>
          </w:tcPr>
          <w:p w14:paraId="42989771" w14:textId="424076D7"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$6,979</w:t>
            </w:r>
          </w:p>
        </w:tc>
      </w:tr>
      <w:tr w:rsidR="00D91A47" w:rsidRPr="002D07B8" w14:paraId="4298977A" w14:textId="77777777" w:rsidTr="00D91A47">
        <w:trPr>
          <w:trHeight w:val="288"/>
          <w:jc w:val="center"/>
        </w:trPr>
        <w:tc>
          <w:tcPr>
            <w:tcW w:w="2620" w:type="dxa"/>
            <w:shd w:val="clear" w:color="auto" w:fill="auto"/>
            <w:noWrap/>
            <w:hideMark/>
          </w:tcPr>
          <w:p w14:paraId="42989773" w14:textId="77777777" w:rsidR="00D91A47" w:rsidRPr="002D07B8" w:rsidRDefault="00D91A47" w:rsidP="00D91A47">
            <w:pPr>
              <w:rPr>
                <w:rFonts w:asciiTheme="minorHAnsi" w:hAnsiTheme="minorHAnsi" w:cstheme="minorHAnsi"/>
                <w:b/>
                <w:bCs/>
                <w:color w:val="000000"/>
                <w:sz w:val="24"/>
                <w:szCs w:val="22"/>
              </w:rPr>
            </w:pPr>
            <w:r w:rsidRPr="002D07B8">
              <w:rPr>
                <w:rFonts w:asciiTheme="minorHAnsi" w:hAnsiTheme="minorHAnsi" w:cstheme="minorHAnsi"/>
                <w:b/>
                <w:sz w:val="24"/>
              </w:rPr>
              <w:t>16 Brazos Valley</w:t>
            </w:r>
          </w:p>
        </w:tc>
        <w:tc>
          <w:tcPr>
            <w:tcW w:w="1018" w:type="dxa"/>
            <w:shd w:val="clear" w:color="auto" w:fill="auto"/>
            <w:noWrap/>
            <w:vAlign w:val="center"/>
          </w:tcPr>
          <w:p w14:paraId="42989775" w14:textId="3E1BFEDB"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$4,242</w:t>
            </w:r>
          </w:p>
        </w:tc>
        <w:tc>
          <w:tcPr>
            <w:tcW w:w="1018" w:type="dxa"/>
            <w:shd w:val="clear" w:color="auto" w:fill="auto"/>
            <w:noWrap/>
            <w:vAlign w:val="center"/>
          </w:tcPr>
          <w:p w14:paraId="42989776" w14:textId="530CEED9"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$4,646</w:t>
            </w:r>
          </w:p>
        </w:tc>
        <w:tc>
          <w:tcPr>
            <w:tcW w:w="1099" w:type="dxa"/>
            <w:shd w:val="clear" w:color="auto" w:fill="auto"/>
            <w:noWrap/>
            <w:vAlign w:val="center"/>
          </w:tcPr>
          <w:p w14:paraId="42989777" w14:textId="3233EC20"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$4,824</w:t>
            </w:r>
          </w:p>
        </w:tc>
        <w:tc>
          <w:tcPr>
            <w:tcW w:w="1222" w:type="dxa"/>
            <w:shd w:val="clear" w:color="auto" w:fill="auto"/>
            <w:vAlign w:val="center"/>
          </w:tcPr>
          <w:p w14:paraId="42989778" w14:textId="0CF653AE"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$4,512</w:t>
            </w:r>
          </w:p>
        </w:tc>
        <w:tc>
          <w:tcPr>
            <w:tcW w:w="1153" w:type="dxa"/>
            <w:shd w:val="clear" w:color="auto" w:fill="auto"/>
            <w:noWrap/>
            <w:vAlign w:val="bottom"/>
          </w:tcPr>
          <w:p w14:paraId="42989779" w14:textId="60F4FBB2"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$4,571</w:t>
            </w:r>
          </w:p>
        </w:tc>
      </w:tr>
      <w:tr w:rsidR="00D91A47" w:rsidRPr="002D07B8" w14:paraId="42989782" w14:textId="77777777" w:rsidTr="00D91A47">
        <w:trPr>
          <w:trHeight w:val="288"/>
          <w:jc w:val="center"/>
        </w:trPr>
        <w:tc>
          <w:tcPr>
            <w:tcW w:w="2620" w:type="dxa"/>
            <w:shd w:val="clear" w:color="auto" w:fill="auto"/>
            <w:noWrap/>
            <w:hideMark/>
          </w:tcPr>
          <w:p w14:paraId="4298977B" w14:textId="77777777" w:rsidR="00D91A47" w:rsidRPr="002D07B8" w:rsidRDefault="00D91A47" w:rsidP="00D91A47">
            <w:pPr>
              <w:rPr>
                <w:rFonts w:asciiTheme="minorHAnsi" w:hAnsiTheme="minorHAnsi" w:cstheme="minorHAnsi"/>
                <w:b/>
                <w:bCs/>
                <w:color w:val="000000"/>
                <w:sz w:val="24"/>
                <w:szCs w:val="22"/>
              </w:rPr>
            </w:pPr>
            <w:r w:rsidRPr="002D07B8">
              <w:rPr>
                <w:rFonts w:asciiTheme="minorHAnsi" w:hAnsiTheme="minorHAnsi" w:cstheme="minorHAnsi"/>
                <w:b/>
                <w:sz w:val="24"/>
              </w:rPr>
              <w:t>17 Deep East Texas</w:t>
            </w:r>
          </w:p>
        </w:tc>
        <w:tc>
          <w:tcPr>
            <w:tcW w:w="1018" w:type="dxa"/>
            <w:shd w:val="clear" w:color="auto" w:fill="auto"/>
            <w:noWrap/>
            <w:vAlign w:val="center"/>
          </w:tcPr>
          <w:p w14:paraId="4298977D" w14:textId="3168D26D"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$3,961</w:t>
            </w:r>
          </w:p>
        </w:tc>
        <w:tc>
          <w:tcPr>
            <w:tcW w:w="1018" w:type="dxa"/>
            <w:shd w:val="clear" w:color="auto" w:fill="auto"/>
            <w:noWrap/>
            <w:vAlign w:val="center"/>
          </w:tcPr>
          <w:p w14:paraId="4298977E" w14:textId="1D5D759E"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$4,444</w:t>
            </w:r>
          </w:p>
        </w:tc>
        <w:tc>
          <w:tcPr>
            <w:tcW w:w="1099" w:type="dxa"/>
            <w:shd w:val="clear" w:color="auto" w:fill="auto"/>
            <w:noWrap/>
            <w:vAlign w:val="center"/>
          </w:tcPr>
          <w:p w14:paraId="4298977F" w14:textId="2575F5F5"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$4,836</w:t>
            </w:r>
          </w:p>
        </w:tc>
        <w:tc>
          <w:tcPr>
            <w:tcW w:w="1222" w:type="dxa"/>
            <w:shd w:val="clear" w:color="auto" w:fill="auto"/>
            <w:vAlign w:val="center"/>
          </w:tcPr>
          <w:p w14:paraId="42989780" w14:textId="39697D63"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$4,602</w:t>
            </w:r>
          </w:p>
        </w:tc>
        <w:tc>
          <w:tcPr>
            <w:tcW w:w="1153" w:type="dxa"/>
            <w:shd w:val="clear" w:color="auto" w:fill="auto"/>
            <w:noWrap/>
            <w:vAlign w:val="bottom"/>
          </w:tcPr>
          <w:p w14:paraId="42989781" w14:textId="1EFC2073"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$4,414</w:t>
            </w:r>
          </w:p>
        </w:tc>
      </w:tr>
      <w:tr w:rsidR="00D91A47" w:rsidRPr="002D07B8" w14:paraId="4298978A" w14:textId="77777777" w:rsidTr="00D91A47">
        <w:trPr>
          <w:trHeight w:val="288"/>
          <w:jc w:val="center"/>
        </w:trPr>
        <w:tc>
          <w:tcPr>
            <w:tcW w:w="2620" w:type="dxa"/>
            <w:shd w:val="clear" w:color="auto" w:fill="auto"/>
            <w:noWrap/>
            <w:hideMark/>
          </w:tcPr>
          <w:p w14:paraId="42989783" w14:textId="77777777" w:rsidR="00D91A47" w:rsidRPr="002D07B8" w:rsidRDefault="00D91A47" w:rsidP="00D91A47">
            <w:pPr>
              <w:rPr>
                <w:rFonts w:asciiTheme="minorHAnsi" w:hAnsiTheme="minorHAnsi" w:cstheme="minorHAnsi"/>
                <w:b/>
                <w:bCs/>
                <w:color w:val="000000"/>
                <w:sz w:val="24"/>
                <w:szCs w:val="22"/>
              </w:rPr>
            </w:pPr>
            <w:r w:rsidRPr="002D07B8">
              <w:rPr>
                <w:rFonts w:asciiTheme="minorHAnsi" w:hAnsiTheme="minorHAnsi" w:cstheme="minorHAnsi"/>
                <w:b/>
                <w:sz w:val="24"/>
              </w:rPr>
              <w:t>18 Southeast Texas</w:t>
            </w:r>
          </w:p>
        </w:tc>
        <w:tc>
          <w:tcPr>
            <w:tcW w:w="1018" w:type="dxa"/>
            <w:shd w:val="clear" w:color="auto" w:fill="auto"/>
            <w:noWrap/>
            <w:vAlign w:val="center"/>
          </w:tcPr>
          <w:p w14:paraId="42989785" w14:textId="49759B51"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$5,215</w:t>
            </w:r>
          </w:p>
        </w:tc>
        <w:tc>
          <w:tcPr>
            <w:tcW w:w="1018" w:type="dxa"/>
            <w:shd w:val="clear" w:color="auto" w:fill="auto"/>
            <w:noWrap/>
            <w:vAlign w:val="center"/>
          </w:tcPr>
          <w:p w14:paraId="42989786" w14:textId="3FD44D77"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$4,921</w:t>
            </w:r>
          </w:p>
        </w:tc>
        <w:tc>
          <w:tcPr>
            <w:tcW w:w="1099" w:type="dxa"/>
            <w:shd w:val="clear" w:color="auto" w:fill="auto"/>
            <w:noWrap/>
            <w:vAlign w:val="center"/>
          </w:tcPr>
          <w:p w14:paraId="42989787" w14:textId="4EAC9C4E"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$5,225</w:t>
            </w:r>
          </w:p>
        </w:tc>
        <w:tc>
          <w:tcPr>
            <w:tcW w:w="1222" w:type="dxa"/>
            <w:shd w:val="clear" w:color="auto" w:fill="auto"/>
            <w:vAlign w:val="center"/>
          </w:tcPr>
          <w:p w14:paraId="42989788" w14:textId="4EF54084"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$4,982</w:t>
            </w:r>
          </w:p>
        </w:tc>
        <w:tc>
          <w:tcPr>
            <w:tcW w:w="1153" w:type="dxa"/>
            <w:shd w:val="clear" w:color="auto" w:fill="auto"/>
            <w:noWrap/>
            <w:vAlign w:val="bottom"/>
          </w:tcPr>
          <w:p w14:paraId="42989789" w14:textId="31B8DC2C"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$5,120</w:t>
            </w:r>
          </w:p>
        </w:tc>
      </w:tr>
      <w:tr w:rsidR="00D91A47" w:rsidRPr="002D07B8" w14:paraId="42989792" w14:textId="77777777" w:rsidTr="00D91A47">
        <w:trPr>
          <w:trHeight w:val="288"/>
          <w:jc w:val="center"/>
        </w:trPr>
        <w:tc>
          <w:tcPr>
            <w:tcW w:w="2620" w:type="dxa"/>
            <w:shd w:val="clear" w:color="auto" w:fill="auto"/>
            <w:noWrap/>
            <w:hideMark/>
          </w:tcPr>
          <w:p w14:paraId="4298978B" w14:textId="77777777" w:rsidR="00D91A47" w:rsidRPr="002D07B8" w:rsidRDefault="00D91A47" w:rsidP="00D91A47">
            <w:pPr>
              <w:rPr>
                <w:rFonts w:asciiTheme="minorHAnsi" w:hAnsiTheme="minorHAnsi" w:cstheme="minorHAnsi"/>
                <w:b/>
                <w:bCs/>
                <w:color w:val="000000"/>
                <w:sz w:val="24"/>
                <w:szCs w:val="22"/>
              </w:rPr>
            </w:pPr>
            <w:r w:rsidRPr="002D07B8">
              <w:rPr>
                <w:rFonts w:asciiTheme="minorHAnsi" w:hAnsiTheme="minorHAnsi" w:cstheme="minorHAnsi"/>
                <w:b/>
                <w:sz w:val="24"/>
              </w:rPr>
              <w:t>19 Golden Crescent</w:t>
            </w:r>
          </w:p>
        </w:tc>
        <w:tc>
          <w:tcPr>
            <w:tcW w:w="1018" w:type="dxa"/>
            <w:shd w:val="clear" w:color="auto" w:fill="auto"/>
            <w:noWrap/>
            <w:vAlign w:val="center"/>
          </w:tcPr>
          <w:p w14:paraId="4298978D" w14:textId="1BE3641F"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$5,964</w:t>
            </w:r>
          </w:p>
        </w:tc>
        <w:tc>
          <w:tcPr>
            <w:tcW w:w="1018" w:type="dxa"/>
            <w:shd w:val="clear" w:color="auto" w:fill="auto"/>
            <w:noWrap/>
            <w:vAlign w:val="center"/>
          </w:tcPr>
          <w:p w14:paraId="4298978E" w14:textId="7D84AE75"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$6,050</w:t>
            </w:r>
          </w:p>
        </w:tc>
        <w:tc>
          <w:tcPr>
            <w:tcW w:w="1099" w:type="dxa"/>
            <w:shd w:val="clear" w:color="auto" w:fill="auto"/>
            <w:noWrap/>
            <w:vAlign w:val="center"/>
          </w:tcPr>
          <w:p w14:paraId="4298978F" w14:textId="6625BD5B"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$7,144</w:t>
            </w:r>
          </w:p>
        </w:tc>
        <w:tc>
          <w:tcPr>
            <w:tcW w:w="1222" w:type="dxa"/>
            <w:shd w:val="clear" w:color="auto" w:fill="auto"/>
            <w:vAlign w:val="center"/>
          </w:tcPr>
          <w:p w14:paraId="42989790" w14:textId="50DE39D4"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$7,576</w:t>
            </w:r>
          </w:p>
        </w:tc>
        <w:tc>
          <w:tcPr>
            <w:tcW w:w="1153" w:type="dxa"/>
            <w:shd w:val="clear" w:color="auto" w:fill="auto"/>
            <w:noWrap/>
            <w:vAlign w:val="bottom"/>
          </w:tcPr>
          <w:p w14:paraId="42989791" w14:textId="785D57D3"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$6,386</w:t>
            </w:r>
          </w:p>
        </w:tc>
      </w:tr>
      <w:tr w:rsidR="00D91A47" w:rsidRPr="002D07B8" w14:paraId="4298979A" w14:textId="77777777" w:rsidTr="00D91A47">
        <w:trPr>
          <w:trHeight w:val="288"/>
          <w:jc w:val="center"/>
        </w:trPr>
        <w:tc>
          <w:tcPr>
            <w:tcW w:w="2620" w:type="dxa"/>
            <w:shd w:val="clear" w:color="auto" w:fill="auto"/>
            <w:noWrap/>
            <w:hideMark/>
          </w:tcPr>
          <w:p w14:paraId="42989793" w14:textId="77777777" w:rsidR="00D91A47" w:rsidRPr="002D07B8" w:rsidRDefault="00D91A47" w:rsidP="00D91A47">
            <w:pPr>
              <w:rPr>
                <w:rFonts w:asciiTheme="minorHAnsi" w:hAnsiTheme="minorHAnsi" w:cstheme="minorHAnsi"/>
                <w:b/>
                <w:bCs/>
                <w:color w:val="000000"/>
                <w:sz w:val="24"/>
                <w:szCs w:val="22"/>
              </w:rPr>
            </w:pPr>
            <w:r w:rsidRPr="002D07B8">
              <w:rPr>
                <w:rFonts w:asciiTheme="minorHAnsi" w:hAnsiTheme="minorHAnsi" w:cstheme="minorHAnsi"/>
                <w:b/>
                <w:sz w:val="24"/>
              </w:rPr>
              <w:t>20 Alamo Area</w:t>
            </w:r>
          </w:p>
        </w:tc>
        <w:tc>
          <w:tcPr>
            <w:tcW w:w="1018" w:type="dxa"/>
            <w:shd w:val="clear" w:color="auto" w:fill="auto"/>
            <w:noWrap/>
            <w:vAlign w:val="center"/>
          </w:tcPr>
          <w:p w14:paraId="42989795" w14:textId="2FFF2361"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$5,295</w:t>
            </w:r>
          </w:p>
        </w:tc>
        <w:tc>
          <w:tcPr>
            <w:tcW w:w="1018" w:type="dxa"/>
            <w:shd w:val="clear" w:color="auto" w:fill="auto"/>
            <w:noWrap/>
            <w:vAlign w:val="center"/>
          </w:tcPr>
          <w:p w14:paraId="42989796" w14:textId="69FCFF1A"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$5,527</w:t>
            </w:r>
          </w:p>
        </w:tc>
        <w:tc>
          <w:tcPr>
            <w:tcW w:w="1099" w:type="dxa"/>
            <w:shd w:val="clear" w:color="auto" w:fill="auto"/>
            <w:noWrap/>
            <w:vAlign w:val="center"/>
          </w:tcPr>
          <w:p w14:paraId="42989797" w14:textId="29D3717F"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$5,860</w:t>
            </w:r>
          </w:p>
        </w:tc>
        <w:tc>
          <w:tcPr>
            <w:tcW w:w="1222" w:type="dxa"/>
            <w:shd w:val="clear" w:color="auto" w:fill="auto"/>
            <w:vAlign w:val="center"/>
          </w:tcPr>
          <w:p w14:paraId="42989798" w14:textId="2FB5E1F1"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$6,079</w:t>
            </w:r>
          </w:p>
        </w:tc>
        <w:tc>
          <w:tcPr>
            <w:tcW w:w="1153" w:type="dxa"/>
            <w:shd w:val="clear" w:color="auto" w:fill="auto"/>
            <w:noWrap/>
            <w:vAlign w:val="bottom"/>
          </w:tcPr>
          <w:p w14:paraId="42989799" w14:textId="6FA994FE"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$5,561</w:t>
            </w:r>
          </w:p>
        </w:tc>
      </w:tr>
      <w:tr w:rsidR="00D91A47" w:rsidRPr="002D07B8" w14:paraId="429897A2" w14:textId="77777777" w:rsidTr="00D91A47">
        <w:trPr>
          <w:trHeight w:val="288"/>
          <w:jc w:val="center"/>
        </w:trPr>
        <w:tc>
          <w:tcPr>
            <w:tcW w:w="2620" w:type="dxa"/>
            <w:shd w:val="clear" w:color="auto" w:fill="auto"/>
            <w:noWrap/>
            <w:hideMark/>
          </w:tcPr>
          <w:p w14:paraId="4298979B" w14:textId="77777777" w:rsidR="00D91A47" w:rsidRPr="002D07B8" w:rsidRDefault="00D91A47" w:rsidP="00D91A47">
            <w:pPr>
              <w:rPr>
                <w:rFonts w:asciiTheme="minorHAnsi" w:hAnsiTheme="minorHAnsi" w:cstheme="minorHAnsi"/>
                <w:b/>
                <w:bCs/>
                <w:color w:val="000000"/>
                <w:sz w:val="24"/>
                <w:szCs w:val="22"/>
              </w:rPr>
            </w:pPr>
            <w:r w:rsidRPr="002D07B8">
              <w:rPr>
                <w:rFonts w:asciiTheme="minorHAnsi" w:hAnsiTheme="minorHAnsi" w:cstheme="minorHAnsi"/>
                <w:b/>
                <w:sz w:val="24"/>
              </w:rPr>
              <w:t>21 South Texas</w:t>
            </w:r>
          </w:p>
        </w:tc>
        <w:tc>
          <w:tcPr>
            <w:tcW w:w="1018" w:type="dxa"/>
            <w:shd w:val="clear" w:color="auto" w:fill="auto"/>
            <w:noWrap/>
            <w:vAlign w:val="center"/>
          </w:tcPr>
          <w:p w14:paraId="4298979D" w14:textId="57C5C830"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$4,805</w:t>
            </w:r>
          </w:p>
        </w:tc>
        <w:tc>
          <w:tcPr>
            <w:tcW w:w="1018" w:type="dxa"/>
            <w:shd w:val="clear" w:color="auto" w:fill="auto"/>
            <w:noWrap/>
            <w:vAlign w:val="center"/>
          </w:tcPr>
          <w:p w14:paraId="4298979E" w14:textId="599DB346"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$4,038</w:t>
            </w:r>
          </w:p>
        </w:tc>
        <w:tc>
          <w:tcPr>
            <w:tcW w:w="1099" w:type="dxa"/>
            <w:shd w:val="clear" w:color="auto" w:fill="auto"/>
            <w:noWrap/>
            <w:vAlign w:val="center"/>
          </w:tcPr>
          <w:p w14:paraId="4298979F" w14:textId="11F37C78"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$4,785</w:t>
            </w:r>
          </w:p>
        </w:tc>
        <w:tc>
          <w:tcPr>
            <w:tcW w:w="1222" w:type="dxa"/>
            <w:shd w:val="clear" w:color="auto" w:fill="auto"/>
            <w:vAlign w:val="center"/>
          </w:tcPr>
          <w:p w14:paraId="429897A0" w14:textId="44FABA9F"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$4,201</w:t>
            </w:r>
          </w:p>
        </w:tc>
        <w:tc>
          <w:tcPr>
            <w:tcW w:w="1153" w:type="dxa"/>
            <w:shd w:val="clear" w:color="auto" w:fill="auto"/>
            <w:noWrap/>
            <w:vAlign w:val="bottom"/>
          </w:tcPr>
          <w:p w14:paraId="429897A1" w14:textId="61D633FC"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$4,543</w:t>
            </w:r>
          </w:p>
        </w:tc>
      </w:tr>
      <w:tr w:rsidR="00D91A47" w:rsidRPr="002D07B8" w14:paraId="429897AA" w14:textId="77777777" w:rsidTr="00D91A47">
        <w:trPr>
          <w:trHeight w:val="288"/>
          <w:jc w:val="center"/>
        </w:trPr>
        <w:tc>
          <w:tcPr>
            <w:tcW w:w="2620" w:type="dxa"/>
            <w:shd w:val="clear" w:color="auto" w:fill="auto"/>
            <w:noWrap/>
            <w:hideMark/>
          </w:tcPr>
          <w:p w14:paraId="429897A3" w14:textId="77777777" w:rsidR="00D91A47" w:rsidRPr="002D07B8" w:rsidRDefault="00D91A47" w:rsidP="00D91A47">
            <w:pPr>
              <w:rPr>
                <w:rFonts w:asciiTheme="minorHAnsi" w:hAnsiTheme="minorHAnsi" w:cstheme="minorHAnsi"/>
                <w:b/>
                <w:bCs/>
                <w:color w:val="000000"/>
                <w:sz w:val="24"/>
                <w:szCs w:val="22"/>
              </w:rPr>
            </w:pPr>
            <w:r w:rsidRPr="002D07B8">
              <w:rPr>
                <w:rFonts w:asciiTheme="minorHAnsi" w:hAnsiTheme="minorHAnsi" w:cstheme="minorHAnsi"/>
                <w:b/>
                <w:sz w:val="24"/>
              </w:rPr>
              <w:t>22 Coastal Bend</w:t>
            </w:r>
          </w:p>
        </w:tc>
        <w:tc>
          <w:tcPr>
            <w:tcW w:w="1018" w:type="dxa"/>
            <w:shd w:val="clear" w:color="auto" w:fill="auto"/>
            <w:noWrap/>
            <w:vAlign w:val="center"/>
          </w:tcPr>
          <w:p w14:paraId="429897A5" w14:textId="71953CA9"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$5,117</w:t>
            </w:r>
          </w:p>
        </w:tc>
        <w:tc>
          <w:tcPr>
            <w:tcW w:w="1018" w:type="dxa"/>
            <w:shd w:val="clear" w:color="auto" w:fill="auto"/>
            <w:noWrap/>
            <w:vAlign w:val="center"/>
          </w:tcPr>
          <w:p w14:paraId="429897A6" w14:textId="054511BD"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$5,516</w:t>
            </w:r>
          </w:p>
        </w:tc>
        <w:tc>
          <w:tcPr>
            <w:tcW w:w="1099" w:type="dxa"/>
            <w:shd w:val="clear" w:color="auto" w:fill="auto"/>
            <w:noWrap/>
            <w:vAlign w:val="center"/>
          </w:tcPr>
          <w:p w14:paraId="429897A7" w14:textId="45C63A54"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$5,667</w:t>
            </w:r>
          </w:p>
        </w:tc>
        <w:tc>
          <w:tcPr>
            <w:tcW w:w="1222" w:type="dxa"/>
            <w:shd w:val="clear" w:color="auto" w:fill="auto"/>
            <w:vAlign w:val="center"/>
          </w:tcPr>
          <w:p w14:paraId="429897A8" w14:textId="60B88AF8"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$5,685</w:t>
            </w:r>
          </w:p>
        </w:tc>
        <w:tc>
          <w:tcPr>
            <w:tcW w:w="1153" w:type="dxa"/>
            <w:shd w:val="clear" w:color="auto" w:fill="auto"/>
            <w:noWrap/>
            <w:vAlign w:val="bottom"/>
          </w:tcPr>
          <w:p w14:paraId="429897A9" w14:textId="22B83FDC"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$5,433</w:t>
            </w:r>
          </w:p>
        </w:tc>
      </w:tr>
      <w:tr w:rsidR="00D91A47" w:rsidRPr="002D07B8" w14:paraId="429897B2" w14:textId="77777777" w:rsidTr="00D91A47">
        <w:trPr>
          <w:trHeight w:val="288"/>
          <w:jc w:val="center"/>
        </w:trPr>
        <w:tc>
          <w:tcPr>
            <w:tcW w:w="2620" w:type="dxa"/>
            <w:shd w:val="clear" w:color="auto" w:fill="auto"/>
            <w:noWrap/>
            <w:hideMark/>
          </w:tcPr>
          <w:p w14:paraId="429897AB" w14:textId="77777777" w:rsidR="00D91A47" w:rsidRPr="002D07B8" w:rsidRDefault="00D91A47" w:rsidP="00D91A47">
            <w:pPr>
              <w:rPr>
                <w:rFonts w:asciiTheme="minorHAnsi" w:hAnsiTheme="minorHAnsi" w:cstheme="minorHAnsi"/>
                <w:b/>
                <w:bCs/>
                <w:color w:val="000000"/>
                <w:sz w:val="24"/>
                <w:szCs w:val="22"/>
              </w:rPr>
            </w:pPr>
            <w:r w:rsidRPr="002D07B8">
              <w:rPr>
                <w:rFonts w:asciiTheme="minorHAnsi" w:hAnsiTheme="minorHAnsi" w:cstheme="minorHAnsi"/>
                <w:b/>
                <w:sz w:val="24"/>
              </w:rPr>
              <w:t>23 Lower Rio Grande</w:t>
            </w:r>
          </w:p>
        </w:tc>
        <w:tc>
          <w:tcPr>
            <w:tcW w:w="1018" w:type="dxa"/>
            <w:shd w:val="clear" w:color="auto" w:fill="auto"/>
            <w:noWrap/>
            <w:vAlign w:val="center"/>
          </w:tcPr>
          <w:p w14:paraId="429897AD" w14:textId="1176A6C1"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$4,659</w:t>
            </w:r>
          </w:p>
        </w:tc>
        <w:tc>
          <w:tcPr>
            <w:tcW w:w="1018" w:type="dxa"/>
            <w:shd w:val="clear" w:color="auto" w:fill="auto"/>
            <w:noWrap/>
            <w:vAlign w:val="center"/>
          </w:tcPr>
          <w:p w14:paraId="429897AE" w14:textId="0FE7E6B3"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$4,948</w:t>
            </w:r>
          </w:p>
        </w:tc>
        <w:tc>
          <w:tcPr>
            <w:tcW w:w="1099" w:type="dxa"/>
            <w:shd w:val="clear" w:color="auto" w:fill="auto"/>
            <w:noWrap/>
            <w:vAlign w:val="center"/>
          </w:tcPr>
          <w:p w14:paraId="429897AF" w14:textId="4E8A176D"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$5,449</w:t>
            </w:r>
          </w:p>
        </w:tc>
        <w:tc>
          <w:tcPr>
            <w:tcW w:w="1222" w:type="dxa"/>
            <w:shd w:val="clear" w:color="auto" w:fill="auto"/>
            <w:vAlign w:val="center"/>
          </w:tcPr>
          <w:p w14:paraId="429897B0" w14:textId="22B1857E"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$5,411</w:t>
            </w:r>
          </w:p>
        </w:tc>
        <w:tc>
          <w:tcPr>
            <w:tcW w:w="1153" w:type="dxa"/>
            <w:shd w:val="clear" w:color="auto" w:fill="auto"/>
            <w:noWrap/>
            <w:vAlign w:val="bottom"/>
          </w:tcPr>
          <w:p w14:paraId="429897B1" w14:textId="0F5B04E6"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$5,019</w:t>
            </w:r>
          </w:p>
        </w:tc>
      </w:tr>
      <w:tr w:rsidR="00D91A47" w:rsidRPr="002D07B8" w14:paraId="429897BA" w14:textId="77777777" w:rsidTr="00D91A47">
        <w:trPr>
          <w:trHeight w:val="288"/>
          <w:jc w:val="center"/>
        </w:trPr>
        <w:tc>
          <w:tcPr>
            <w:tcW w:w="2620" w:type="dxa"/>
            <w:shd w:val="clear" w:color="auto" w:fill="auto"/>
            <w:noWrap/>
            <w:hideMark/>
          </w:tcPr>
          <w:p w14:paraId="429897B3" w14:textId="77777777" w:rsidR="00D91A47" w:rsidRPr="002D07B8" w:rsidRDefault="00D91A47" w:rsidP="00D91A47">
            <w:pPr>
              <w:rPr>
                <w:rFonts w:asciiTheme="minorHAnsi" w:hAnsiTheme="minorHAnsi" w:cstheme="minorHAnsi"/>
                <w:b/>
                <w:bCs/>
                <w:color w:val="000000"/>
                <w:sz w:val="24"/>
                <w:szCs w:val="22"/>
              </w:rPr>
            </w:pPr>
            <w:r w:rsidRPr="002D07B8">
              <w:rPr>
                <w:rFonts w:asciiTheme="minorHAnsi" w:hAnsiTheme="minorHAnsi" w:cstheme="minorHAnsi"/>
                <w:b/>
                <w:sz w:val="24"/>
              </w:rPr>
              <w:t>24 Cameron County</w:t>
            </w:r>
          </w:p>
        </w:tc>
        <w:tc>
          <w:tcPr>
            <w:tcW w:w="1018" w:type="dxa"/>
            <w:shd w:val="clear" w:color="auto" w:fill="auto"/>
            <w:noWrap/>
            <w:vAlign w:val="center"/>
          </w:tcPr>
          <w:p w14:paraId="429897B5" w14:textId="31D7A207"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$4,734</w:t>
            </w:r>
          </w:p>
        </w:tc>
        <w:tc>
          <w:tcPr>
            <w:tcW w:w="1018" w:type="dxa"/>
            <w:shd w:val="clear" w:color="auto" w:fill="auto"/>
            <w:noWrap/>
            <w:vAlign w:val="center"/>
          </w:tcPr>
          <w:p w14:paraId="429897B6" w14:textId="386FC268"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$4,404</w:t>
            </w:r>
          </w:p>
        </w:tc>
        <w:tc>
          <w:tcPr>
            <w:tcW w:w="1099" w:type="dxa"/>
            <w:shd w:val="clear" w:color="auto" w:fill="auto"/>
            <w:noWrap/>
            <w:vAlign w:val="center"/>
          </w:tcPr>
          <w:p w14:paraId="429897B7" w14:textId="3281DDC8"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$5,042</w:t>
            </w:r>
          </w:p>
        </w:tc>
        <w:tc>
          <w:tcPr>
            <w:tcW w:w="1222" w:type="dxa"/>
            <w:shd w:val="clear" w:color="auto" w:fill="auto"/>
            <w:vAlign w:val="center"/>
          </w:tcPr>
          <w:p w14:paraId="429897B8" w14:textId="3B261EDE"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$5,580</w:t>
            </w:r>
          </w:p>
        </w:tc>
        <w:tc>
          <w:tcPr>
            <w:tcW w:w="1153" w:type="dxa"/>
            <w:shd w:val="clear" w:color="auto" w:fill="auto"/>
            <w:noWrap/>
            <w:vAlign w:val="bottom"/>
          </w:tcPr>
          <w:p w14:paraId="429897B9" w14:textId="407B02FD"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$4,727</w:t>
            </w:r>
          </w:p>
        </w:tc>
      </w:tr>
      <w:tr w:rsidR="00D91A47" w:rsidRPr="002D07B8" w14:paraId="429897C2" w14:textId="77777777" w:rsidTr="00D91A47">
        <w:trPr>
          <w:trHeight w:val="288"/>
          <w:jc w:val="center"/>
        </w:trPr>
        <w:tc>
          <w:tcPr>
            <w:tcW w:w="2620" w:type="dxa"/>
            <w:shd w:val="clear" w:color="auto" w:fill="auto"/>
            <w:noWrap/>
            <w:hideMark/>
          </w:tcPr>
          <w:p w14:paraId="429897BB" w14:textId="77777777" w:rsidR="00D91A47" w:rsidRPr="002D07B8" w:rsidRDefault="00D91A47" w:rsidP="00D91A47">
            <w:pPr>
              <w:rPr>
                <w:rFonts w:asciiTheme="minorHAnsi" w:hAnsiTheme="minorHAnsi" w:cstheme="minorHAnsi"/>
                <w:b/>
                <w:bCs/>
                <w:color w:val="000000"/>
                <w:sz w:val="24"/>
                <w:szCs w:val="22"/>
              </w:rPr>
            </w:pPr>
            <w:r w:rsidRPr="002D07B8">
              <w:rPr>
                <w:rFonts w:asciiTheme="minorHAnsi" w:hAnsiTheme="minorHAnsi" w:cstheme="minorHAnsi"/>
                <w:b/>
                <w:sz w:val="24"/>
              </w:rPr>
              <w:t>25 Texoma</w:t>
            </w:r>
          </w:p>
        </w:tc>
        <w:tc>
          <w:tcPr>
            <w:tcW w:w="1018" w:type="dxa"/>
            <w:shd w:val="clear" w:color="auto" w:fill="auto"/>
            <w:noWrap/>
            <w:vAlign w:val="center"/>
          </w:tcPr>
          <w:p w14:paraId="429897BD" w14:textId="4A2E83AB"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$5,642</w:t>
            </w:r>
          </w:p>
        </w:tc>
        <w:tc>
          <w:tcPr>
            <w:tcW w:w="1018" w:type="dxa"/>
            <w:shd w:val="clear" w:color="auto" w:fill="auto"/>
            <w:noWrap/>
            <w:vAlign w:val="center"/>
          </w:tcPr>
          <w:p w14:paraId="429897BE" w14:textId="757E1634"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$5,685</w:t>
            </w:r>
          </w:p>
        </w:tc>
        <w:tc>
          <w:tcPr>
            <w:tcW w:w="1099" w:type="dxa"/>
            <w:shd w:val="clear" w:color="auto" w:fill="auto"/>
            <w:noWrap/>
            <w:vAlign w:val="center"/>
          </w:tcPr>
          <w:p w14:paraId="429897BF" w14:textId="0126B5FE"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$6,015</w:t>
            </w:r>
          </w:p>
        </w:tc>
        <w:tc>
          <w:tcPr>
            <w:tcW w:w="1222" w:type="dxa"/>
            <w:shd w:val="clear" w:color="auto" w:fill="auto"/>
            <w:vAlign w:val="center"/>
          </w:tcPr>
          <w:p w14:paraId="429897C0" w14:textId="4520705E"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$6,236</w:t>
            </w:r>
          </w:p>
        </w:tc>
        <w:tc>
          <w:tcPr>
            <w:tcW w:w="1153" w:type="dxa"/>
            <w:shd w:val="clear" w:color="auto" w:fill="auto"/>
            <w:noWrap/>
            <w:vAlign w:val="bottom"/>
          </w:tcPr>
          <w:p w14:paraId="429897C1" w14:textId="0883AE9A"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$5,781</w:t>
            </w:r>
          </w:p>
        </w:tc>
      </w:tr>
      <w:tr w:rsidR="00D91A47" w:rsidRPr="002D07B8" w14:paraId="429897CA" w14:textId="77777777" w:rsidTr="00D91A47">
        <w:trPr>
          <w:trHeight w:val="288"/>
          <w:jc w:val="center"/>
        </w:trPr>
        <w:tc>
          <w:tcPr>
            <w:tcW w:w="2620" w:type="dxa"/>
            <w:shd w:val="clear" w:color="auto" w:fill="auto"/>
            <w:noWrap/>
            <w:hideMark/>
          </w:tcPr>
          <w:p w14:paraId="429897C3" w14:textId="77777777" w:rsidR="00D91A47" w:rsidRPr="002D07B8" w:rsidRDefault="00D91A47" w:rsidP="00D91A47">
            <w:pPr>
              <w:rPr>
                <w:rFonts w:asciiTheme="minorHAnsi" w:hAnsiTheme="minorHAnsi" w:cstheme="minorHAnsi"/>
                <w:b/>
                <w:bCs/>
                <w:color w:val="000000"/>
                <w:sz w:val="24"/>
                <w:szCs w:val="22"/>
              </w:rPr>
            </w:pPr>
            <w:r w:rsidRPr="002D07B8">
              <w:rPr>
                <w:rFonts w:asciiTheme="minorHAnsi" w:hAnsiTheme="minorHAnsi" w:cstheme="minorHAnsi"/>
                <w:b/>
                <w:sz w:val="24"/>
              </w:rPr>
              <w:t>26 Central Texas</w:t>
            </w:r>
          </w:p>
        </w:tc>
        <w:tc>
          <w:tcPr>
            <w:tcW w:w="1018" w:type="dxa"/>
            <w:shd w:val="clear" w:color="auto" w:fill="auto"/>
            <w:noWrap/>
            <w:vAlign w:val="center"/>
          </w:tcPr>
          <w:p w14:paraId="429897C5" w14:textId="3ECE10D4"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$4,842</w:t>
            </w:r>
          </w:p>
        </w:tc>
        <w:tc>
          <w:tcPr>
            <w:tcW w:w="1018" w:type="dxa"/>
            <w:shd w:val="clear" w:color="auto" w:fill="auto"/>
            <w:noWrap/>
            <w:vAlign w:val="center"/>
          </w:tcPr>
          <w:p w14:paraId="429897C6" w14:textId="0268686A"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$5,116</w:t>
            </w:r>
          </w:p>
        </w:tc>
        <w:tc>
          <w:tcPr>
            <w:tcW w:w="1099" w:type="dxa"/>
            <w:shd w:val="clear" w:color="auto" w:fill="auto"/>
            <w:noWrap/>
            <w:vAlign w:val="center"/>
          </w:tcPr>
          <w:p w14:paraId="429897C7" w14:textId="7A7A6459"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$5,053</w:t>
            </w:r>
          </w:p>
        </w:tc>
        <w:tc>
          <w:tcPr>
            <w:tcW w:w="1222" w:type="dxa"/>
            <w:shd w:val="clear" w:color="auto" w:fill="auto"/>
            <w:vAlign w:val="center"/>
          </w:tcPr>
          <w:p w14:paraId="429897C8" w14:textId="4468B33A"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$5,308</w:t>
            </w:r>
          </w:p>
        </w:tc>
        <w:tc>
          <w:tcPr>
            <w:tcW w:w="1153" w:type="dxa"/>
            <w:shd w:val="clear" w:color="auto" w:fill="auto"/>
            <w:noWrap/>
            <w:vAlign w:val="bottom"/>
          </w:tcPr>
          <w:p w14:paraId="429897C9" w14:textId="7FB0A370"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$5,003</w:t>
            </w:r>
          </w:p>
        </w:tc>
      </w:tr>
      <w:tr w:rsidR="00D91A47" w:rsidRPr="002D07B8" w14:paraId="429897D2" w14:textId="77777777" w:rsidTr="00D91A47">
        <w:trPr>
          <w:trHeight w:val="288"/>
          <w:jc w:val="center"/>
        </w:trPr>
        <w:tc>
          <w:tcPr>
            <w:tcW w:w="2620" w:type="dxa"/>
            <w:shd w:val="clear" w:color="auto" w:fill="auto"/>
            <w:noWrap/>
            <w:hideMark/>
          </w:tcPr>
          <w:p w14:paraId="429897CB" w14:textId="77777777" w:rsidR="00D91A47" w:rsidRPr="002D07B8" w:rsidRDefault="00D91A47" w:rsidP="00D91A47">
            <w:pPr>
              <w:rPr>
                <w:rFonts w:asciiTheme="minorHAnsi" w:hAnsiTheme="minorHAnsi" w:cstheme="minorHAnsi"/>
                <w:b/>
                <w:bCs/>
                <w:color w:val="000000"/>
                <w:sz w:val="24"/>
                <w:szCs w:val="22"/>
              </w:rPr>
            </w:pPr>
            <w:r w:rsidRPr="002D07B8">
              <w:rPr>
                <w:rFonts w:asciiTheme="minorHAnsi" w:hAnsiTheme="minorHAnsi" w:cstheme="minorHAnsi"/>
                <w:b/>
                <w:sz w:val="24"/>
              </w:rPr>
              <w:t>27 Middle Rio Grande</w:t>
            </w:r>
          </w:p>
        </w:tc>
        <w:tc>
          <w:tcPr>
            <w:tcW w:w="1018" w:type="dxa"/>
            <w:shd w:val="clear" w:color="auto" w:fill="auto"/>
            <w:noWrap/>
            <w:vAlign w:val="center"/>
          </w:tcPr>
          <w:p w14:paraId="429897CD" w14:textId="367B0B0E"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$5,113</w:t>
            </w:r>
          </w:p>
        </w:tc>
        <w:tc>
          <w:tcPr>
            <w:tcW w:w="1018" w:type="dxa"/>
            <w:shd w:val="clear" w:color="auto" w:fill="auto"/>
            <w:noWrap/>
            <w:vAlign w:val="center"/>
          </w:tcPr>
          <w:p w14:paraId="429897CE" w14:textId="2963EC3B"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$4,543</w:t>
            </w:r>
          </w:p>
        </w:tc>
        <w:tc>
          <w:tcPr>
            <w:tcW w:w="1099" w:type="dxa"/>
            <w:shd w:val="clear" w:color="auto" w:fill="auto"/>
            <w:noWrap/>
            <w:vAlign w:val="center"/>
          </w:tcPr>
          <w:p w14:paraId="429897CF" w14:textId="796A6C98"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$4,654</w:t>
            </w:r>
          </w:p>
        </w:tc>
        <w:tc>
          <w:tcPr>
            <w:tcW w:w="1222" w:type="dxa"/>
            <w:shd w:val="clear" w:color="auto" w:fill="auto"/>
            <w:vAlign w:val="center"/>
          </w:tcPr>
          <w:p w14:paraId="429897D0" w14:textId="02D50945"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$4,495</w:t>
            </w:r>
          </w:p>
        </w:tc>
        <w:tc>
          <w:tcPr>
            <w:tcW w:w="1153" w:type="dxa"/>
            <w:shd w:val="clear" w:color="auto" w:fill="auto"/>
            <w:noWrap/>
            <w:vAlign w:val="bottom"/>
          </w:tcPr>
          <w:p w14:paraId="429897D1" w14:textId="41D14DE5"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$4,770</w:t>
            </w:r>
          </w:p>
        </w:tc>
      </w:tr>
      <w:tr w:rsidR="00D91A47" w:rsidRPr="002D07B8" w14:paraId="429897DA" w14:textId="77777777" w:rsidTr="00D91A47">
        <w:trPr>
          <w:trHeight w:val="288"/>
          <w:jc w:val="center"/>
        </w:trPr>
        <w:tc>
          <w:tcPr>
            <w:tcW w:w="2620" w:type="dxa"/>
            <w:shd w:val="clear" w:color="auto" w:fill="auto"/>
            <w:noWrap/>
            <w:hideMark/>
          </w:tcPr>
          <w:p w14:paraId="429897D3" w14:textId="77777777" w:rsidR="00D91A47" w:rsidRPr="002D07B8" w:rsidRDefault="00D91A47" w:rsidP="00D91A47">
            <w:pPr>
              <w:rPr>
                <w:rFonts w:asciiTheme="minorHAnsi" w:hAnsiTheme="minorHAnsi" w:cstheme="minorHAnsi"/>
                <w:b/>
                <w:bCs/>
                <w:color w:val="000000"/>
                <w:sz w:val="24"/>
                <w:szCs w:val="22"/>
              </w:rPr>
            </w:pPr>
            <w:r w:rsidRPr="002D07B8">
              <w:rPr>
                <w:rFonts w:asciiTheme="minorHAnsi" w:hAnsiTheme="minorHAnsi" w:cstheme="minorHAnsi"/>
                <w:b/>
                <w:sz w:val="24"/>
              </w:rPr>
              <w:t>28 Gulf Coast</w:t>
            </w:r>
          </w:p>
        </w:tc>
        <w:tc>
          <w:tcPr>
            <w:tcW w:w="1018" w:type="dxa"/>
            <w:shd w:val="clear" w:color="auto" w:fill="auto"/>
            <w:noWrap/>
            <w:vAlign w:val="center"/>
          </w:tcPr>
          <w:p w14:paraId="429897D5" w14:textId="15A61C05"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$4,557</w:t>
            </w:r>
          </w:p>
        </w:tc>
        <w:tc>
          <w:tcPr>
            <w:tcW w:w="1018" w:type="dxa"/>
            <w:shd w:val="clear" w:color="auto" w:fill="auto"/>
            <w:noWrap/>
            <w:vAlign w:val="center"/>
          </w:tcPr>
          <w:p w14:paraId="429897D6" w14:textId="208D9D6C"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$4,744</w:t>
            </w:r>
          </w:p>
        </w:tc>
        <w:tc>
          <w:tcPr>
            <w:tcW w:w="1099" w:type="dxa"/>
            <w:shd w:val="clear" w:color="auto" w:fill="auto"/>
            <w:noWrap/>
            <w:vAlign w:val="center"/>
          </w:tcPr>
          <w:p w14:paraId="429897D7" w14:textId="73DCF526"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$4,991</w:t>
            </w:r>
          </w:p>
        </w:tc>
        <w:tc>
          <w:tcPr>
            <w:tcW w:w="1222" w:type="dxa"/>
            <w:shd w:val="clear" w:color="auto" w:fill="auto"/>
            <w:vAlign w:val="center"/>
          </w:tcPr>
          <w:p w14:paraId="429897D8" w14:textId="7EB5A67E"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$4,908</w:t>
            </w:r>
          </w:p>
        </w:tc>
        <w:tc>
          <w:tcPr>
            <w:tcW w:w="1153" w:type="dxa"/>
            <w:shd w:val="clear" w:color="auto" w:fill="auto"/>
            <w:noWrap/>
            <w:vAlign w:val="bottom"/>
          </w:tcPr>
          <w:p w14:paraId="429897D9" w14:textId="19C11B00"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$4,764</w:t>
            </w:r>
          </w:p>
        </w:tc>
      </w:tr>
      <w:tr w:rsidR="00D91A47" w:rsidRPr="002D07B8" w14:paraId="429897E2" w14:textId="77777777" w:rsidTr="00D91A47">
        <w:trPr>
          <w:trHeight w:val="300"/>
          <w:jc w:val="center"/>
        </w:trPr>
        <w:tc>
          <w:tcPr>
            <w:tcW w:w="2620" w:type="dxa"/>
            <w:shd w:val="clear" w:color="auto" w:fill="auto"/>
            <w:noWrap/>
            <w:vAlign w:val="center"/>
            <w:hideMark/>
          </w:tcPr>
          <w:p w14:paraId="429897DB" w14:textId="77777777" w:rsidR="00D91A47" w:rsidRPr="002D07B8" w:rsidRDefault="00D91A47" w:rsidP="00D91A47">
            <w:pPr>
              <w:rPr>
                <w:rFonts w:asciiTheme="minorHAnsi" w:hAnsiTheme="minorHAnsi" w:cstheme="minorHAnsi"/>
                <w:b/>
                <w:bCs/>
                <w:color w:val="000000"/>
                <w:szCs w:val="22"/>
              </w:rPr>
            </w:pPr>
            <w:r w:rsidRPr="002D07B8">
              <w:rPr>
                <w:rFonts w:asciiTheme="minorHAnsi" w:hAnsiTheme="minorHAnsi" w:cstheme="minorHAnsi"/>
                <w:b/>
                <w:bCs/>
                <w:color w:val="000000"/>
                <w:szCs w:val="22"/>
              </w:rPr>
              <w:t>Statewide</w:t>
            </w:r>
          </w:p>
        </w:tc>
        <w:tc>
          <w:tcPr>
            <w:tcW w:w="1018" w:type="dxa"/>
            <w:shd w:val="clear" w:color="auto" w:fill="auto"/>
            <w:noWrap/>
            <w:vAlign w:val="center"/>
          </w:tcPr>
          <w:p w14:paraId="429897DD" w14:textId="20357FC8"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$4,955</w:t>
            </w:r>
          </w:p>
        </w:tc>
        <w:tc>
          <w:tcPr>
            <w:tcW w:w="1018" w:type="dxa"/>
            <w:shd w:val="clear" w:color="auto" w:fill="auto"/>
            <w:noWrap/>
            <w:vAlign w:val="center"/>
          </w:tcPr>
          <w:p w14:paraId="429897DE" w14:textId="3F73D8A6"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$5,138</w:t>
            </w:r>
          </w:p>
        </w:tc>
        <w:tc>
          <w:tcPr>
            <w:tcW w:w="1099" w:type="dxa"/>
            <w:shd w:val="clear" w:color="auto" w:fill="auto"/>
            <w:noWrap/>
            <w:vAlign w:val="center"/>
          </w:tcPr>
          <w:p w14:paraId="429897DF" w14:textId="5A4B2C99"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$5,452</w:t>
            </w:r>
          </w:p>
        </w:tc>
        <w:tc>
          <w:tcPr>
            <w:tcW w:w="1222" w:type="dxa"/>
            <w:shd w:val="clear" w:color="auto" w:fill="auto"/>
            <w:vAlign w:val="center"/>
          </w:tcPr>
          <w:p w14:paraId="429897E0" w14:textId="10FAD0B0"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$5,351</w:t>
            </w:r>
          </w:p>
        </w:tc>
        <w:tc>
          <w:tcPr>
            <w:tcW w:w="1153" w:type="dxa"/>
            <w:shd w:val="clear" w:color="auto" w:fill="auto"/>
            <w:noWrap/>
            <w:vAlign w:val="bottom"/>
          </w:tcPr>
          <w:p w14:paraId="429897E1" w14:textId="0124A105" w:rsidR="00D91A47" w:rsidRPr="002D07B8" w:rsidRDefault="00D91A47" w:rsidP="00D91A47">
            <w:pPr>
              <w:jc w:val="center"/>
              <w:rPr>
                <w:rFonts w:asciiTheme="minorHAnsi" w:hAnsiTheme="minorHAnsi" w:cstheme="minorHAnsi"/>
                <w:color w:val="000000"/>
                <w:sz w:val="20"/>
                <w:szCs w:val="22"/>
              </w:rPr>
            </w:pPr>
            <w:r w:rsidRPr="002D07B8">
              <w:rPr>
                <w:rFonts w:asciiTheme="minorHAnsi" w:hAnsiTheme="minorHAnsi" w:cstheme="minorHAnsi"/>
                <w:color w:val="000000"/>
                <w:sz w:val="20"/>
                <w:szCs w:val="22"/>
              </w:rPr>
              <w:t>NA</w:t>
            </w:r>
          </w:p>
        </w:tc>
      </w:tr>
    </w:tbl>
    <w:p w14:paraId="429897E3" w14:textId="77777777" w:rsidR="0063471A" w:rsidRPr="002D07B8" w:rsidRDefault="0063471A" w:rsidP="00FA4BD9">
      <w:pPr>
        <w:suppressLineNumbers/>
        <w:rPr>
          <w:rFonts w:asciiTheme="minorHAnsi" w:hAnsiTheme="minorHAnsi" w:cstheme="minorHAnsi"/>
        </w:rPr>
      </w:pPr>
      <w:r w:rsidRPr="002D07B8">
        <w:rPr>
          <w:rFonts w:asciiTheme="minorHAnsi" w:hAnsiTheme="minorHAnsi" w:cstheme="minorHAnsi"/>
        </w:rPr>
        <w:br w:type="page"/>
      </w:r>
    </w:p>
    <w:p w14:paraId="429897E4" w14:textId="255C43CA" w:rsidR="00B11152" w:rsidRPr="002D07B8" w:rsidRDefault="00B11152" w:rsidP="00FA4BD9">
      <w:pPr>
        <w:pStyle w:val="Title"/>
        <w:suppressLineNumbers/>
        <w:rPr>
          <w:rFonts w:asciiTheme="minorHAnsi" w:hAnsiTheme="minorHAnsi" w:cstheme="minorHAnsi"/>
        </w:rPr>
      </w:pPr>
      <w:r w:rsidRPr="002D07B8">
        <w:rPr>
          <w:rFonts w:asciiTheme="minorHAnsi" w:hAnsiTheme="minorHAnsi" w:cstheme="minorHAnsi"/>
        </w:rPr>
        <w:t>Choices Full-Work Rate</w:t>
      </w:r>
    </w:p>
    <w:p w14:paraId="1C7B7EFD" w14:textId="3DE44E6B" w:rsidR="00C76504" w:rsidRPr="002D07B8" w:rsidRDefault="00C76504" w:rsidP="00C76504">
      <w:pPr>
        <w:rPr>
          <w:rFonts w:asciiTheme="minorHAnsi" w:hAnsiTheme="minorHAnsi" w:cstheme="minorHAnsi"/>
        </w:rPr>
      </w:pPr>
    </w:p>
    <w:tbl>
      <w:tblPr>
        <w:tblW w:w="10620" w:type="dxa"/>
        <w:tblInd w:w="-100" w:type="dxa"/>
        <w:tblLayout w:type="fixed"/>
        <w:tblLook w:val="04A0" w:firstRow="1" w:lastRow="0" w:firstColumn="1" w:lastColumn="0" w:noHBand="0" w:noVBand="1"/>
      </w:tblPr>
      <w:tblGrid>
        <w:gridCol w:w="1890"/>
        <w:gridCol w:w="1360"/>
        <w:gridCol w:w="1290"/>
        <w:gridCol w:w="1310"/>
        <w:gridCol w:w="1290"/>
        <w:gridCol w:w="804"/>
        <w:gridCol w:w="876"/>
        <w:gridCol w:w="900"/>
        <w:gridCol w:w="900"/>
      </w:tblGrid>
      <w:tr w:rsidR="00C76504" w:rsidRPr="002D07B8" w14:paraId="5D395AE1" w14:textId="77777777" w:rsidTr="00C76504">
        <w:trPr>
          <w:trHeight w:val="646"/>
        </w:trPr>
        <w:tc>
          <w:tcPr>
            <w:tcW w:w="18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B479DF" w14:textId="77777777" w:rsidR="00C76504" w:rsidRPr="002D07B8" w:rsidRDefault="00C76504" w:rsidP="00C76504">
            <w:pPr>
              <w:jc w:val="center"/>
              <w:rPr>
                <w:rFonts w:asciiTheme="minorHAnsi" w:hAnsiTheme="minorHAnsi" w:cstheme="minorHAnsi"/>
                <w:b/>
                <w:bCs/>
                <w:color w:val="000000"/>
                <w:szCs w:val="22"/>
              </w:rPr>
            </w:pPr>
            <w:r w:rsidRPr="002D07B8">
              <w:rPr>
                <w:rFonts w:asciiTheme="minorHAnsi" w:hAnsiTheme="minorHAnsi" w:cstheme="minorHAnsi"/>
                <w:b/>
                <w:bCs/>
                <w:color w:val="000000"/>
                <w:szCs w:val="22"/>
              </w:rPr>
              <w:t>Board</w:t>
            </w:r>
          </w:p>
        </w:tc>
        <w:tc>
          <w:tcPr>
            <w:tcW w:w="1360"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2CB43488" w14:textId="77777777" w:rsidR="00C76504" w:rsidRPr="002D07B8" w:rsidRDefault="00C76504" w:rsidP="00C76504">
            <w:pPr>
              <w:jc w:val="center"/>
              <w:rPr>
                <w:rFonts w:asciiTheme="minorHAnsi" w:hAnsiTheme="minorHAnsi" w:cstheme="minorHAnsi"/>
                <w:b/>
                <w:bCs/>
                <w:color w:val="000000"/>
                <w:sz w:val="20"/>
                <w:szCs w:val="20"/>
              </w:rPr>
            </w:pPr>
            <w:r w:rsidRPr="002D07B8">
              <w:rPr>
                <w:rFonts w:asciiTheme="minorHAnsi" w:hAnsiTheme="minorHAnsi" w:cstheme="minorHAnsi"/>
                <w:b/>
                <w:bCs/>
                <w:color w:val="000000"/>
                <w:sz w:val="20"/>
                <w:szCs w:val="20"/>
              </w:rPr>
              <w:t>Performance</w:t>
            </w:r>
            <w:r w:rsidRPr="002D07B8">
              <w:rPr>
                <w:rFonts w:asciiTheme="minorHAnsi" w:hAnsiTheme="minorHAnsi" w:cstheme="minorHAnsi"/>
                <w:b/>
                <w:bCs/>
                <w:color w:val="000000"/>
                <w:sz w:val="20"/>
                <w:szCs w:val="20"/>
              </w:rPr>
              <w:br/>
              <w:t>R12-June16</w:t>
            </w:r>
          </w:p>
        </w:tc>
        <w:tc>
          <w:tcPr>
            <w:tcW w:w="1290" w:type="dxa"/>
            <w:tcBorders>
              <w:top w:val="single" w:sz="8" w:space="0" w:color="auto"/>
              <w:left w:val="nil"/>
              <w:bottom w:val="single" w:sz="8" w:space="0" w:color="auto"/>
              <w:right w:val="single" w:sz="4" w:space="0" w:color="auto"/>
            </w:tcBorders>
            <w:shd w:val="clear" w:color="auto" w:fill="auto"/>
            <w:vAlign w:val="center"/>
            <w:hideMark/>
          </w:tcPr>
          <w:p w14:paraId="18501B0D" w14:textId="77777777" w:rsidR="00C76504" w:rsidRPr="002D07B8" w:rsidRDefault="00C76504" w:rsidP="00C76504">
            <w:pPr>
              <w:jc w:val="center"/>
              <w:rPr>
                <w:rFonts w:asciiTheme="minorHAnsi" w:hAnsiTheme="minorHAnsi" w:cstheme="minorHAnsi"/>
                <w:b/>
                <w:bCs/>
                <w:color w:val="000000"/>
                <w:sz w:val="20"/>
                <w:szCs w:val="20"/>
              </w:rPr>
            </w:pPr>
            <w:r w:rsidRPr="002D07B8">
              <w:rPr>
                <w:rFonts w:asciiTheme="minorHAnsi" w:hAnsiTheme="minorHAnsi" w:cstheme="minorHAnsi"/>
                <w:b/>
                <w:bCs/>
                <w:color w:val="000000"/>
                <w:sz w:val="20"/>
                <w:szCs w:val="20"/>
              </w:rPr>
              <w:t>Performance</w:t>
            </w:r>
            <w:r w:rsidRPr="002D07B8">
              <w:rPr>
                <w:rFonts w:asciiTheme="minorHAnsi" w:hAnsiTheme="minorHAnsi" w:cstheme="minorHAnsi"/>
                <w:b/>
                <w:bCs/>
                <w:color w:val="000000"/>
                <w:sz w:val="20"/>
                <w:szCs w:val="20"/>
              </w:rPr>
              <w:br/>
              <w:t>R12-June17</w:t>
            </w:r>
          </w:p>
        </w:tc>
        <w:tc>
          <w:tcPr>
            <w:tcW w:w="1310" w:type="dxa"/>
            <w:tcBorders>
              <w:top w:val="single" w:sz="8" w:space="0" w:color="auto"/>
              <w:left w:val="nil"/>
              <w:bottom w:val="single" w:sz="8" w:space="0" w:color="auto"/>
              <w:right w:val="single" w:sz="4" w:space="0" w:color="auto"/>
            </w:tcBorders>
            <w:shd w:val="clear" w:color="auto" w:fill="auto"/>
            <w:vAlign w:val="center"/>
            <w:hideMark/>
          </w:tcPr>
          <w:p w14:paraId="542A8CCD" w14:textId="77777777" w:rsidR="00C76504" w:rsidRPr="002D07B8" w:rsidRDefault="00C76504" w:rsidP="00C76504">
            <w:pPr>
              <w:jc w:val="center"/>
              <w:rPr>
                <w:rFonts w:asciiTheme="minorHAnsi" w:hAnsiTheme="minorHAnsi" w:cstheme="minorHAnsi"/>
                <w:b/>
                <w:bCs/>
                <w:color w:val="000000"/>
                <w:sz w:val="20"/>
                <w:szCs w:val="20"/>
              </w:rPr>
            </w:pPr>
            <w:r w:rsidRPr="002D07B8">
              <w:rPr>
                <w:rFonts w:asciiTheme="minorHAnsi" w:hAnsiTheme="minorHAnsi" w:cstheme="minorHAnsi"/>
                <w:b/>
                <w:bCs/>
                <w:color w:val="000000"/>
                <w:sz w:val="20"/>
                <w:szCs w:val="20"/>
              </w:rPr>
              <w:t>Performance</w:t>
            </w:r>
            <w:r w:rsidRPr="002D07B8">
              <w:rPr>
                <w:rFonts w:asciiTheme="minorHAnsi" w:hAnsiTheme="minorHAnsi" w:cstheme="minorHAnsi"/>
                <w:b/>
                <w:bCs/>
                <w:color w:val="000000"/>
                <w:sz w:val="20"/>
                <w:szCs w:val="20"/>
              </w:rPr>
              <w:br/>
              <w:t>R12-June18</w:t>
            </w:r>
          </w:p>
        </w:tc>
        <w:tc>
          <w:tcPr>
            <w:tcW w:w="1290" w:type="dxa"/>
            <w:tcBorders>
              <w:top w:val="single" w:sz="8" w:space="0" w:color="auto"/>
              <w:left w:val="nil"/>
              <w:bottom w:val="single" w:sz="8" w:space="0" w:color="auto"/>
              <w:right w:val="single" w:sz="8" w:space="0" w:color="auto"/>
            </w:tcBorders>
            <w:shd w:val="clear" w:color="auto" w:fill="auto"/>
            <w:vAlign w:val="center"/>
            <w:hideMark/>
          </w:tcPr>
          <w:p w14:paraId="7F686E75" w14:textId="77777777" w:rsidR="00C76504" w:rsidRPr="002D07B8" w:rsidRDefault="00C76504" w:rsidP="00C76504">
            <w:pPr>
              <w:jc w:val="center"/>
              <w:rPr>
                <w:rFonts w:asciiTheme="minorHAnsi" w:hAnsiTheme="minorHAnsi" w:cstheme="minorHAnsi"/>
                <w:b/>
                <w:bCs/>
                <w:color w:val="000000"/>
                <w:sz w:val="20"/>
                <w:szCs w:val="20"/>
              </w:rPr>
            </w:pPr>
            <w:r w:rsidRPr="002D07B8">
              <w:rPr>
                <w:rFonts w:asciiTheme="minorHAnsi" w:hAnsiTheme="minorHAnsi" w:cstheme="minorHAnsi"/>
                <w:b/>
                <w:bCs/>
                <w:color w:val="000000"/>
                <w:sz w:val="20"/>
                <w:szCs w:val="20"/>
              </w:rPr>
              <w:t>Performance</w:t>
            </w:r>
            <w:r w:rsidRPr="002D07B8">
              <w:rPr>
                <w:rFonts w:asciiTheme="minorHAnsi" w:hAnsiTheme="minorHAnsi" w:cstheme="minorHAnsi"/>
                <w:b/>
                <w:bCs/>
                <w:color w:val="000000"/>
                <w:sz w:val="20"/>
                <w:szCs w:val="20"/>
              </w:rPr>
              <w:br/>
              <w:t>R12-June19</w:t>
            </w:r>
          </w:p>
        </w:tc>
        <w:tc>
          <w:tcPr>
            <w:tcW w:w="804" w:type="dxa"/>
            <w:tcBorders>
              <w:top w:val="single" w:sz="8" w:space="0" w:color="auto"/>
              <w:left w:val="nil"/>
              <w:bottom w:val="single" w:sz="8" w:space="0" w:color="auto"/>
              <w:right w:val="single" w:sz="4" w:space="0" w:color="auto"/>
            </w:tcBorders>
            <w:shd w:val="clear" w:color="auto" w:fill="auto"/>
            <w:vAlign w:val="center"/>
            <w:hideMark/>
          </w:tcPr>
          <w:p w14:paraId="64628479" w14:textId="77777777" w:rsidR="00C76504" w:rsidRPr="002D07B8" w:rsidRDefault="00C76504" w:rsidP="00C76504">
            <w:pPr>
              <w:jc w:val="center"/>
              <w:rPr>
                <w:rFonts w:asciiTheme="minorHAnsi" w:hAnsiTheme="minorHAnsi" w:cstheme="minorHAnsi"/>
                <w:b/>
                <w:bCs/>
                <w:color w:val="000000"/>
                <w:szCs w:val="22"/>
              </w:rPr>
            </w:pPr>
            <w:r w:rsidRPr="002D07B8">
              <w:rPr>
                <w:rFonts w:asciiTheme="minorHAnsi" w:hAnsiTheme="minorHAnsi" w:cstheme="minorHAnsi"/>
                <w:b/>
                <w:bCs/>
                <w:color w:val="000000"/>
                <w:szCs w:val="22"/>
              </w:rPr>
              <w:t>BCY17 Target</w:t>
            </w:r>
          </w:p>
        </w:tc>
        <w:tc>
          <w:tcPr>
            <w:tcW w:w="876" w:type="dxa"/>
            <w:tcBorders>
              <w:top w:val="single" w:sz="8" w:space="0" w:color="auto"/>
              <w:left w:val="nil"/>
              <w:bottom w:val="single" w:sz="8" w:space="0" w:color="auto"/>
              <w:right w:val="single" w:sz="8" w:space="0" w:color="auto"/>
            </w:tcBorders>
            <w:shd w:val="clear" w:color="auto" w:fill="auto"/>
            <w:vAlign w:val="center"/>
            <w:hideMark/>
          </w:tcPr>
          <w:p w14:paraId="32810D78" w14:textId="77777777" w:rsidR="00C76504" w:rsidRPr="002D07B8" w:rsidRDefault="00C76504" w:rsidP="00C76504">
            <w:pPr>
              <w:jc w:val="center"/>
              <w:rPr>
                <w:rFonts w:asciiTheme="minorHAnsi" w:hAnsiTheme="minorHAnsi" w:cstheme="minorHAnsi"/>
                <w:b/>
                <w:bCs/>
                <w:color w:val="000000"/>
                <w:szCs w:val="22"/>
              </w:rPr>
            </w:pPr>
            <w:r w:rsidRPr="002D07B8">
              <w:rPr>
                <w:rFonts w:asciiTheme="minorHAnsi" w:hAnsiTheme="minorHAnsi" w:cstheme="minorHAnsi"/>
                <w:b/>
                <w:bCs/>
                <w:color w:val="000000"/>
                <w:szCs w:val="22"/>
              </w:rPr>
              <w:t>BCY18 Target</w:t>
            </w:r>
          </w:p>
        </w:tc>
        <w:tc>
          <w:tcPr>
            <w:tcW w:w="900"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58E01A9B" w14:textId="77777777" w:rsidR="00C76504" w:rsidRPr="002D07B8" w:rsidRDefault="00C76504" w:rsidP="00C76504">
            <w:pPr>
              <w:jc w:val="center"/>
              <w:rPr>
                <w:rFonts w:asciiTheme="minorHAnsi" w:hAnsiTheme="minorHAnsi" w:cstheme="minorHAnsi"/>
                <w:b/>
                <w:bCs/>
                <w:color w:val="000000"/>
                <w:szCs w:val="22"/>
              </w:rPr>
            </w:pPr>
            <w:r w:rsidRPr="002D07B8">
              <w:rPr>
                <w:rFonts w:asciiTheme="minorHAnsi" w:hAnsiTheme="minorHAnsi" w:cstheme="minorHAnsi"/>
                <w:b/>
                <w:bCs/>
                <w:color w:val="000000"/>
                <w:szCs w:val="22"/>
              </w:rPr>
              <w:t>BCY19</w:t>
            </w:r>
          </w:p>
          <w:p w14:paraId="1BEE8392" w14:textId="1E1BBCD0" w:rsidR="00C76504" w:rsidRPr="002D07B8" w:rsidRDefault="00C76504" w:rsidP="00C76504">
            <w:pPr>
              <w:jc w:val="center"/>
              <w:rPr>
                <w:rFonts w:asciiTheme="minorHAnsi" w:hAnsiTheme="minorHAnsi" w:cstheme="minorHAnsi"/>
                <w:b/>
                <w:bCs/>
                <w:color w:val="000000"/>
                <w:szCs w:val="22"/>
              </w:rPr>
            </w:pPr>
            <w:r w:rsidRPr="002D07B8">
              <w:rPr>
                <w:rFonts w:asciiTheme="minorHAnsi" w:hAnsiTheme="minorHAnsi" w:cstheme="minorHAnsi"/>
                <w:b/>
                <w:bCs/>
                <w:color w:val="000000"/>
                <w:szCs w:val="22"/>
              </w:rPr>
              <w:t>Target</w:t>
            </w:r>
          </w:p>
        </w:tc>
        <w:tc>
          <w:tcPr>
            <w:tcW w:w="900"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4C66D4FE" w14:textId="77777777" w:rsidR="00C76504" w:rsidRPr="002D07B8" w:rsidRDefault="00C76504" w:rsidP="00C76504">
            <w:pPr>
              <w:jc w:val="center"/>
              <w:rPr>
                <w:rFonts w:asciiTheme="minorHAnsi" w:hAnsiTheme="minorHAnsi" w:cstheme="minorHAnsi"/>
                <w:b/>
                <w:bCs/>
                <w:color w:val="000000"/>
                <w:szCs w:val="22"/>
              </w:rPr>
            </w:pPr>
            <w:r w:rsidRPr="002D07B8">
              <w:rPr>
                <w:rFonts w:asciiTheme="minorHAnsi" w:hAnsiTheme="minorHAnsi" w:cstheme="minorHAnsi"/>
                <w:b/>
                <w:bCs/>
                <w:color w:val="000000"/>
                <w:szCs w:val="22"/>
              </w:rPr>
              <w:t>BCY20</w:t>
            </w:r>
          </w:p>
          <w:p w14:paraId="283A3CC0" w14:textId="75F4E904" w:rsidR="00C76504" w:rsidRPr="002D07B8" w:rsidRDefault="00C76504" w:rsidP="00C76504">
            <w:pPr>
              <w:jc w:val="center"/>
              <w:rPr>
                <w:rFonts w:asciiTheme="minorHAnsi" w:hAnsiTheme="minorHAnsi" w:cstheme="minorHAnsi"/>
                <w:b/>
                <w:bCs/>
                <w:color w:val="000000"/>
                <w:szCs w:val="22"/>
              </w:rPr>
            </w:pPr>
            <w:r w:rsidRPr="002D07B8">
              <w:rPr>
                <w:rFonts w:asciiTheme="minorHAnsi" w:hAnsiTheme="minorHAnsi" w:cstheme="minorHAnsi"/>
                <w:b/>
                <w:bCs/>
                <w:color w:val="000000"/>
                <w:szCs w:val="22"/>
              </w:rPr>
              <w:t>Target</w:t>
            </w:r>
          </w:p>
        </w:tc>
      </w:tr>
      <w:tr w:rsidR="00C76504" w:rsidRPr="002D07B8" w14:paraId="63FE69C4" w14:textId="77777777" w:rsidTr="009132A7">
        <w:trPr>
          <w:trHeight w:val="310"/>
        </w:trPr>
        <w:tc>
          <w:tcPr>
            <w:tcW w:w="1890" w:type="dxa"/>
            <w:tcBorders>
              <w:top w:val="nil"/>
              <w:left w:val="single" w:sz="8" w:space="0" w:color="auto"/>
              <w:bottom w:val="single" w:sz="4" w:space="0" w:color="auto"/>
              <w:right w:val="single" w:sz="8" w:space="0" w:color="auto"/>
            </w:tcBorders>
            <w:shd w:val="clear" w:color="auto" w:fill="auto"/>
            <w:noWrap/>
            <w:hideMark/>
          </w:tcPr>
          <w:p w14:paraId="7C604E5D" w14:textId="48B56AFC" w:rsidR="00C76504" w:rsidRPr="002D07B8" w:rsidRDefault="00C76504" w:rsidP="00C76504">
            <w:pPr>
              <w:rPr>
                <w:rFonts w:asciiTheme="minorHAnsi" w:hAnsiTheme="minorHAnsi" w:cstheme="minorHAnsi"/>
                <w:color w:val="000000"/>
                <w:szCs w:val="22"/>
              </w:rPr>
            </w:pPr>
            <w:r w:rsidRPr="002D07B8">
              <w:rPr>
                <w:rFonts w:asciiTheme="minorHAnsi" w:hAnsiTheme="minorHAnsi" w:cstheme="minorHAnsi"/>
                <w:b/>
              </w:rPr>
              <w:t>1 Panhandle</w:t>
            </w:r>
          </w:p>
        </w:tc>
        <w:tc>
          <w:tcPr>
            <w:tcW w:w="1360" w:type="dxa"/>
            <w:tcBorders>
              <w:top w:val="nil"/>
              <w:left w:val="single" w:sz="4" w:space="0" w:color="auto"/>
              <w:bottom w:val="single" w:sz="4" w:space="0" w:color="auto"/>
              <w:right w:val="single" w:sz="4" w:space="0" w:color="auto"/>
            </w:tcBorders>
            <w:shd w:val="clear" w:color="000000" w:fill="A9D08E"/>
            <w:noWrap/>
            <w:vAlign w:val="center"/>
            <w:hideMark/>
          </w:tcPr>
          <w:p w14:paraId="15AB43D1"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56.64%</w:t>
            </w:r>
          </w:p>
        </w:tc>
        <w:tc>
          <w:tcPr>
            <w:tcW w:w="1290" w:type="dxa"/>
            <w:tcBorders>
              <w:top w:val="nil"/>
              <w:left w:val="single" w:sz="4" w:space="0" w:color="auto"/>
              <w:bottom w:val="single" w:sz="4" w:space="0" w:color="auto"/>
              <w:right w:val="single" w:sz="4" w:space="0" w:color="auto"/>
            </w:tcBorders>
            <w:shd w:val="clear" w:color="000000" w:fill="A9D08E"/>
            <w:noWrap/>
            <w:vAlign w:val="center"/>
            <w:hideMark/>
          </w:tcPr>
          <w:p w14:paraId="6655707B"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59.08%</w:t>
            </w:r>
          </w:p>
        </w:tc>
        <w:tc>
          <w:tcPr>
            <w:tcW w:w="1310" w:type="dxa"/>
            <w:tcBorders>
              <w:top w:val="nil"/>
              <w:left w:val="single" w:sz="4" w:space="0" w:color="auto"/>
              <w:bottom w:val="single" w:sz="4" w:space="0" w:color="auto"/>
              <w:right w:val="single" w:sz="4" w:space="0" w:color="auto"/>
            </w:tcBorders>
            <w:shd w:val="clear" w:color="000000" w:fill="A9D08E"/>
            <w:noWrap/>
            <w:vAlign w:val="center"/>
            <w:hideMark/>
          </w:tcPr>
          <w:p w14:paraId="76C90A6D"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61.43%</w:t>
            </w:r>
          </w:p>
        </w:tc>
        <w:tc>
          <w:tcPr>
            <w:tcW w:w="1290" w:type="dxa"/>
            <w:tcBorders>
              <w:top w:val="nil"/>
              <w:left w:val="single" w:sz="4" w:space="0" w:color="auto"/>
              <w:bottom w:val="single" w:sz="4" w:space="0" w:color="auto"/>
              <w:right w:val="single" w:sz="8" w:space="0" w:color="auto"/>
            </w:tcBorders>
            <w:shd w:val="clear" w:color="000000" w:fill="A9D08E"/>
            <w:noWrap/>
            <w:vAlign w:val="center"/>
            <w:hideMark/>
          </w:tcPr>
          <w:p w14:paraId="19A1FF72"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66.68%</w:t>
            </w:r>
          </w:p>
        </w:tc>
        <w:tc>
          <w:tcPr>
            <w:tcW w:w="804" w:type="dxa"/>
            <w:tcBorders>
              <w:top w:val="nil"/>
              <w:left w:val="nil"/>
              <w:bottom w:val="single" w:sz="4" w:space="0" w:color="auto"/>
              <w:right w:val="single" w:sz="4" w:space="0" w:color="auto"/>
            </w:tcBorders>
            <w:shd w:val="clear" w:color="auto" w:fill="auto"/>
            <w:noWrap/>
            <w:vAlign w:val="center"/>
            <w:hideMark/>
          </w:tcPr>
          <w:p w14:paraId="76D17806"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c>
          <w:tcPr>
            <w:tcW w:w="876" w:type="dxa"/>
            <w:tcBorders>
              <w:top w:val="nil"/>
              <w:left w:val="nil"/>
              <w:bottom w:val="single" w:sz="4" w:space="0" w:color="auto"/>
              <w:right w:val="single" w:sz="8" w:space="0" w:color="auto"/>
            </w:tcBorders>
            <w:shd w:val="clear" w:color="auto" w:fill="auto"/>
            <w:noWrap/>
            <w:vAlign w:val="center"/>
            <w:hideMark/>
          </w:tcPr>
          <w:p w14:paraId="5CF6868C"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c>
          <w:tcPr>
            <w:tcW w:w="900" w:type="dxa"/>
            <w:tcBorders>
              <w:top w:val="nil"/>
              <w:left w:val="single" w:sz="4" w:space="0" w:color="auto"/>
              <w:bottom w:val="single" w:sz="4" w:space="0" w:color="auto"/>
              <w:right w:val="single" w:sz="8" w:space="0" w:color="auto"/>
            </w:tcBorders>
            <w:shd w:val="clear" w:color="auto" w:fill="auto"/>
            <w:noWrap/>
            <w:vAlign w:val="center"/>
            <w:hideMark/>
          </w:tcPr>
          <w:p w14:paraId="7894992C"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c>
          <w:tcPr>
            <w:tcW w:w="900" w:type="dxa"/>
            <w:tcBorders>
              <w:top w:val="nil"/>
              <w:left w:val="single" w:sz="4" w:space="0" w:color="auto"/>
              <w:bottom w:val="single" w:sz="4" w:space="0" w:color="auto"/>
              <w:right w:val="single" w:sz="8" w:space="0" w:color="auto"/>
            </w:tcBorders>
            <w:shd w:val="clear" w:color="auto" w:fill="auto"/>
            <w:noWrap/>
            <w:vAlign w:val="center"/>
            <w:hideMark/>
          </w:tcPr>
          <w:p w14:paraId="77C537E6"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r>
      <w:tr w:rsidR="00C76504" w:rsidRPr="002D07B8" w14:paraId="76FD564C" w14:textId="77777777" w:rsidTr="009132A7">
        <w:trPr>
          <w:trHeight w:val="310"/>
        </w:trPr>
        <w:tc>
          <w:tcPr>
            <w:tcW w:w="1890" w:type="dxa"/>
            <w:tcBorders>
              <w:top w:val="nil"/>
              <w:left w:val="single" w:sz="8" w:space="0" w:color="auto"/>
              <w:bottom w:val="single" w:sz="4" w:space="0" w:color="auto"/>
              <w:right w:val="single" w:sz="8" w:space="0" w:color="auto"/>
            </w:tcBorders>
            <w:shd w:val="clear" w:color="auto" w:fill="auto"/>
            <w:noWrap/>
            <w:hideMark/>
          </w:tcPr>
          <w:p w14:paraId="322C5DBE" w14:textId="1A9BD4DB" w:rsidR="00C76504" w:rsidRPr="002D07B8" w:rsidRDefault="00C76504" w:rsidP="00C76504">
            <w:pPr>
              <w:rPr>
                <w:rFonts w:asciiTheme="minorHAnsi" w:hAnsiTheme="minorHAnsi" w:cstheme="minorHAnsi"/>
                <w:color w:val="000000"/>
                <w:szCs w:val="22"/>
              </w:rPr>
            </w:pPr>
            <w:r w:rsidRPr="002D07B8">
              <w:rPr>
                <w:rFonts w:asciiTheme="minorHAnsi" w:hAnsiTheme="minorHAnsi" w:cstheme="minorHAnsi"/>
                <w:b/>
              </w:rPr>
              <w:t>2 South Plains</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6B151E2F"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44.82%</w:t>
            </w:r>
          </w:p>
        </w:tc>
        <w:tc>
          <w:tcPr>
            <w:tcW w:w="129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2433DAF3"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51.41%</w:t>
            </w:r>
          </w:p>
        </w:tc>
        <w:tc>
          <w:tcPr>
            <w:tcW w:w="1310" w:type="dxa"/>
            <w:tcBorders>
              <w:top w:val="nil"/>
              <w:left w:val="nil"/>
              <w:bottom w:val="single" w:sz="4" w:space="0" w:color="auto"/>
              <w:right w:val="single" w:sz="4" w:space="0" w:color="auto"/>
            </w:tcBorders>
            <w:shd w:val="clear" w:color="auto" w:fill="auto"/>
            <w:noWrap/>
            <w:vAlign w:val="center"/>
            <w:hideMark/>
          </w:tcPr>
          <w:p w14:paraId="74636913"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47.28%</w:t>
            </w:r>
          </w:p>
        </w:tc>
        <w:tc>
          <w:tcPr>
            <w:tcW w:w="1290" w:type="dxa"/>
            <w:tcBorders>
              <w:top w:val="single" w:sz="4" w:space="0" w:color="auto"/>
              <w:left w:val="single" w:sz="4" w:space="0" w:color="auto"/>
              <w:bottom w:val="single" w:sz="4" w:space="0" w:color="auto"/>
              <w:right w:val="single" w:sz="8" w:space="0" w:color="auto"/>
            </w:tcBorders>
            <w:shd w:val="clear" w:color="000000" w:fill="A9D08E"/>
            <w:noWrap/>
            <w:vAlign w:val="center"/>
            <w:hideMark/>
          </w:tcPr>
          <w:p w14:paraId="24C30513"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57.89%</w:t>
            </w:r>
          </w:p>
        </w:tc>
        <w:tc>
          <w:tcPr>
            <w:tcW w:w="804" w:type="dxa"/>
            <w:tcBorders>
              <w:top w:val="nil"/>
              <w:left w:val="nil"/>
              <w:bottom w:val="single" w:sz="4" w:space="0" w:color="auto"/>
              <w:right w:val="single" w:sz="4" w:space="0" w:color="auto"/>
            </w:tcBorders>
            <w:shd w:val="clear" w:color="000000" w:fill="AEAAAA"/>
            <w:noWrap/>
            <w:vAlign w:val="center"/>
            <w:hideMark/>
          </w:tcPr>
          <w:p w14:paraId="68A67773"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49.4%</w:t>
            </w:r>
          </w:p>
        </w:tc>
        <w:tc>
          <w:tcPr>
            <w:tcW w:w="876" w:type="dxa"/>
            <w:tcBorders>
              <w:top w:val="nil"/>
              <w:left w:val="nil"/>
              <w:bottom w:val="single" w:sz="4" w:space="0" w:color="auto"/>
              <w:right w:val="single" w:sz="8" w:space="0" w:color="auto"/>
            </w:tcBorders>
            <w:shd w:val="clear" w:color="auto" w:fill="auto"/>
            <w:noWrap/>
            <w:vAlign w:val="center"/>
            <w:hideMark/>
          </w:tcPr>
          <w:p w14:paraId="554176E7"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c>
          <w:tcPr>
            <w:tcW w:w="900" w:type="dxa"/>
            <w:tcBorders>
              <w:top w:val="nil"/>
              <w:left w:val="single" w:sz="4" w:space="0" w:color="auto"/>
              <w:bottom w:val="single" w:sz="4" w:space="0" w:color="auto"/>
              <w:right w:val="single" w:sz="8" w:space="0" w:color="auto"/>
            </w:tcBorders>
            <w:shd w:val="clear" w:color="auto" w:fill="auto"/>
            <w:noWrap/>
            <w:vAlign w:val="center"/>
            <w:hideMark/>
          </w:tcPr>
          <w:p w14:paraId="4B7B6CFC"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c>
          <w:tcPr>
            <w:tcW w:w="900" w:type="dxa"/>
            <w:tcBorders>
              <w:top w:val="nil"/>
              <w:left w:val="single" w:sz="4" w:space="0" w:color="auto"/>
              <w:bottom w:val="single" w:sz="4" w:space="0" w:color="auto"/>
              <w:right w:val="single" w:sz="8" w:space="0" w:color="auto"/>
            </w:tcBorders>
            <w:shd w:val="clear" w:color="auto" w:fill="auto"/>
            <w:noWrap/>
            <w:vAlign w:val="center"/>
            <w:hideMark/>
          </w:tcPr>
          <w:p w14:paraId="5910DD0E"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r>
      <w:tr w:rsidR="00C76504" w:rsidRPr="002D07B8" w14:paraId="6C847077" w14:textId="77777777" w:rsidTr="009132A7">
        <w:trPr>
          <w:trHeight w:val="310"/>
        </w:trPr>
        <w:tc>
          <w:tcPr>
            <w:tcW w:w="1890" w:type="dxa"/>
            <w:tcBorders>
              <w:top w:val="nil"/>
              <w:left w:val="single" w:sz="8" w:space="0" w:color="auto"/>
              <w:bottom w:val="single" w:sz="4" w:space="0" w:color="auto"/>
              <w:right w:val="single" w:sz="8" w:space="0" w:color="auto"/>
            </w:tcBorders>
            <w:shd w:val="clear" w:color="auto" w:fill="auto"/>
            <w:noWrap/>
            <w:hideMark/>
          </w:tcPr>
          <w:p w14:paraId="6FE4973F" w14:textId="5AF05062" w:rsidR="00C76504" w:rsidRPr="002D07B8" w:rsidRDefault="00C76504" w:rsidP="00C76504">
            <w:pPr>
              <w:rPr>
                <w:rFonts w:asciiTheme="minorHAnsi" w:hAnsiTheme="minorHAnsi" w:cstheme="minorHAnsi"/>
                <w:color w:val="000000"/>
                <w:szCs w:val="22"/>
              </w:rPr>
            </w:pPr>
            <w:r w:rsidRPr="002D07B8">
              <w:rPr>
                <w:rFonts w:asciiTheme="minorHAnsi" w:hAnsiTheme="minorHAnsi" w:cstheme="minorHAnsi"/>
                <w:b/>
              </w:rPr>
              <w:t>3 North Texas</w:t>
            </w:r>
          </w:p>
        </w:tc>
        <w:tc>
          <w:tcPr>
            <w:tcW w:w="136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2F8B2C9F"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63.44%</w:t>
            </w:r>
          </w:p>
        </w:tc>
        <w:tc>
          <w:tcPr>
            <w:tcW w:w="129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93B966C"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56.16%</w:t>
            </w:r>
          </w:p>
        </w:tc>
        <w:tc>
          <w:tcPr>
            <w:tcW w:w="131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E066BB9"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58.54%</w:t>
            </w:r>
          </w:p>
        </w:tc>
        <w:tc>
          <w:tcPr>
            <w:tcW w:w="1290" w:type="dxa"/>
            <w:tcBorders>
              <w:top w:val="nil"/>
              <w:left w:val="nil"/>
              <w:bottom w:val="single" w:sz="4" w:space="0" w:color="auto"/>
              <w:right w:val="single" w:sz="8" w:space="0" w:color="auto"/>
            </w:tcBorders>
            <w:shd w:val="clear" w:color="auto" w:fill="auto"/>
            <w:noWrap/>
            <w:vAlign w:val="center"/>
            <w:hideMark/>
          </w:tcPr>
          <w:p w14:paraId="675F84C7"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48.41%</w:t>
            </w:r>
          </w:p>
        </w:tc>
        <w:tc>
          <w:tcPr>
            <w:tcW w:w="804" w:type="dxa"/>
            <w:tcBorders>
              <w:top w:val="nil"/>
              <w:left w:val="nil"/>
              <w:bottom w:val="single" w:sz="4" w:space="0" w:color="auto"/>
              <w:right w:val="single" w:sz="4" w:space="0" w:color="auto"/>
            </w:tcBorders>
            <w:shd w:val="clear" w:color="auto" w:fill="auto"/>
            <w:noWrap/>
            <w:vAlign w:val="center"/>
            <w:hideMark/>
          </w:tcPr>
          <w:p w14:paraId="5675A7B3"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c>
          <w:tcPr>
            <w:tcW w:w="876" w:type="dxa"/>
            <w:tcBorders>
              <w:top w:val="nil"/>
              <w:left w:val="nil"/>
              <w:bottom w:val="single" w:sz="4" w:space="0" w:color="auto"/>
              <w:right w:val="single" w:sz="8" w:space="0" w:color="auto"/>
            </w:tcBorders>
            <w:shd w:val="clear" w:color="auto" w:fill="auto"/>
            <w:noWrap/>
            <w:vAlign w:val="center"/>
            <w:hideMark/>
          </w:tcPr>
          <w:p w14:paraId="7AAF5CF5"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c>
          <w:tcPr>
            <w:tcW w:w="900" w:type="dxa"/>
            <w:tcBorders>
              <w:top w:val="nil"/>
              <w:left w:val="single" w:sz="4" w:space="0" w:color="auto"/>
              <w:bottom w:val="single" w:sz="4" w:space="0" w:color="auto"/>
              <w:right w:val="single" w:sz="8" w:space="0" w:color="auto"/>
            </w:tcBorders>
            <w:shd w:val="clear" w:color="auto" w:fill="auto"/>
            <w:noWrap/>
            <w:vAlign w:val="center"/>
            <w:hideMark/>
          </w:tcPr>
          <w:p w14:paraId="348E2887"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c>
          <w:tcPr>
            <w:tcW w:w="900" w:type="dxa"/>
            <w:tcBorders>
              <w:top w:val="nil"/>
              <w:left w:val="single" w:sz="4" w:space="0" w:color="auto"/>
              <w:bottom w:val="single" w:sz="4" w:space="0" w:color="auto"/>
              <w:right w:val="single" w:sz="8" w:space="0" w:color="auto"/>
            </w:tcBorders>
            <w:shd w:val="clear" w:color="auto" w:fill="auto"/>
            <w:noWrap/>
            <w:vAlign w:val="center"/>
            <w:hideMark/>
          </w:tcPr>
          <w:p w14:paraId="4CB590E5"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r>
      <w:tr w:rsidR="00C76504" w:rsidRPr="002D07B8" w14:paraId="112B271C" w14:textId="77777777" w:rsidTr="009132A7">
        <w:trPr>
          <w:trHeight w:val="310"/>
        </w:trPr>
        <w:tc>
          <w:tcPr>
            <w:tcW w:w="1890" w:type="dxa"/>
            <w:tcBorders>
              <w:top w:val="nil"/>
              <w:left w:val="single" w:sz="8" w:space="0" w:color="auto"/>
              <w:bottom w:val="single" w:sz="4" w:space="0" w:color="auto"/>
              <w:right w:val="single" w:sz="8" w:space="0" w:color="auto"/>
            </w:tcBorders>
            <w:shd w:val="clear" w:color="auto" w:fill="auto"/>
            <w:noWrap/>
            <w:hideMark/>
          </w:tcPr>
          <w:p w14:paraId="2FDB65D0" w14:textId="10AB6241" w:rsidR="00C76504" w:rsidRPr="002D07B8" w:rsidRDefault="00C76504" w:rsidP="00C76504">
            <w:pPr>
              <w:rPr>
                <w:rFonts w:asciiTheme="minorHAnsi" w:hAnsiTheme="minorHAnsi" w:cstheme="minorHAnsi"/>
                <w:color w:val="000000"/>
                <w:szCs w:val="22"/>
              </w:rPr>
            </w:pPr>
            <w:r w:rsidRPr="002D07B8">
              <w:rPr>
                <w:rFonts w:asciiTheme="minorHAnsi" w:hAnsiTheme="minorHAnsi" w:cstheme="minorHAnsi"/>
                <w:b/>
              </w:rPr>
              <w:t>4 North Central</w:t>
            </w:r>
          </w:p>
        </w:tc>
        <w:tc>
          <w:tcPr>
            <w:tcW w:w="136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EDDBBA6"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54.29%</w:t>
            </w:r>
          </w:p>
        </w:tc>
        <w:tc>
          <w:tcPr>
            <w:tcW w:w="129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B749609"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59.85%</w:t>
            </w:r>
          </w:p>
        </w:tc>
        <w:tc>
          <w:tcPr>
            <w:tcW w:w="131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2ACC317"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55.72%</w:t>
            </w:r>
          </w:p>
        </w:tc>
        <w:tc>
          <w:tcPr>
            <w:tcW w:w="1290" w:type="dxa"/>
            <w:tcBorders>
              <w:top w:val="single" w:sz="4" w:space="0" w:color="auto"/>
              <w:left w:val="single" w:sz="4" w:space="0" w:color="auto"/>
              <w:bottom w:val="single" w:sz="4" w:space="0" w:color="auto"/>
              <w:right w:val="single" w:sz="8" w:space="0" w:color="auto"/>
            </w:tcBorders>
            <w:shd w:val="clear" w:color="000000" w:fill="A9D08E"/>
            <w:noWrap/>
            <w:vAlign w:val="center"/>
            <w:hideMark/>
          </w:tcPr>
          <w:p w14:paraId="68C531E1"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57.39%</w:t>
            </w:r>
          </w:p>
        </w:tc>
        <w:tc>
          <w:tcPr>
            <w:tcW w:w="804" w:type="dxa"/>
            <w:tcBorders>
              <w:top w:val="nil"/>
              <w:left w:val="nil"/>
              <w:bottom w:val="single" w:sz="4" w:space="0" w:color="auto"/>
              <w:right w:val="single" w:sz="4" w:space="0" w:color="auto"/>
            </w:tcBorders>
            <w:shd w:val="clear" w:color="auto" w:fill="auto"/>
            <w:noWrap/>
            <w:vAlign w:val="center"/>
            <w:hideMark/>
          </w:tcPr>
          <w:p w14:paraId="70176D8F"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c>
          <w:tcPr>
            <w:tcW w:w="876" w:type="dxa"/>
            <w:tcBorders>
              <w:top w:val="nil"/>
              <w:left w:val="nil"/>
              <w:bottom w:val="single" w:sz="4" w:space="0" w:color="auto"/>
              <w:right w:val="single" w:sz="8" w:space="0" w:color="auto"/>
            </w:tcBorders>
            <w:shd w:val="clear" w:color="auto" w:fill="auto"/>
            <w:noWrap/>
            <w:vAlign w:val="center"/>
            <w:hideMark/>
          </w:tcPr>
          <w:p w14:paraId="4DD30B92"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c>
          <w:tcPr>
            <w:tcW w:w="900" w:type="dxa"/>
            <w:tcBorders>
              <w:top w:val="nil"/>
              <w:left w:val="single" w:sz="4" w:space="0" w:color="auto"/>
              <w:bottom w:val="single" w:sz="4" w:space="0" w:color="auto"/>
              <w:right w:val="single" w:sz="8" w:space="0" w:color="auto"/>
            </w:tcBorders>
            <w:shd w:val="clear" w:color="auto" w:fill="auto"/>
            <w:noWrap/>
            <w:vAlign w:val="center"/>
            <w:hideMark/>
          </w:tcPr>
          <w:p w14:paraId="346FCD5C"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c>
          <w:tcPr>
            <w:tcW w:w="900" w:type="dxa"/>
            <w:tcBorders>
              <w:top w:val="nil"/>
              <w:left w:val="single" w:sz="4" w:space="0" w:color="auto"/>
              <w:bottom w:val="single" w:sz="4" w:space="0" w:color="auto"/>
              <w:right w:val="single" w:sz="8" w:space="0" w:color="auto"/>
            </w:tcBorders>
            <w:shd w:val="clear" w:color="auto" w:fill="auto"/>
            <w:noWrap/>
            <w:vAlign w:val="center"/>
            <w:hideMark/>
          </w:tcPr>
          <w:p w14:paraId="40261CC9"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r>
      <w:tr w:rsidR="00C76504" w:rsidRPr="002D07B8" w14:paraId="6900A566" w14:textId="77777777" w:rsidTr="009132A7">
        <w:trPr>
          <w:trHeight w:val="310"/>
        </w:trPr>
        <w:tc>
          <w:tcPr>
            <w:tcW w:w="1890" w:type="dxa"/>
            <w:tcBorders>
              <w:top w:val="nil"/>
              <w:left w:val="single" w:sz="8" w:space="0" w:color="auto"/>
              <w:bottom w:val="single" w:sz="4" w:space="0" w:color="auto"/>
              <w:right w:val="single" w:sz="8" w:space="0" w:color="auto"/>
            </w:tcBorders>
            <w:shd w:val="clear" w:color="auto" w:fill="auto"/>
            <w:noWrap/>
            <w:hideMark/>
          </w:tcPr>
          <w:p w14:paraId="3F8819B7" w14:textId="04403383" w:rsidR="00C76504" w:rsidRPr="002D07B8" w:rsidRDefault="00C76504" w:rsidP="00C76504">
            <w:pPr>
              <w:rPr>
                <w:rFonts w:asciiTheme="minorHAnsi" w:hAnsiTheme="minorHAnsi" w:cstheme="minorHAnsi"/>
                <w:color w:val="000000"/>
                <w:szCs w:val="22"/>
              </w:rPr>
            </w:pPr>
            <w:r w:rsidRPr="002D07B8">
              <w:rPr>
                <w:rFonts w:asciiTheme="minorHAnsi" w:hAnsiTheme="minorHAnsi" w:cstheme="minorHAnsi"/>
                <w:b/>
              </w:rPr>
              <w:t>5 Tarrant County</w:t>
            </w:r>
          </w:p>
        </w:tc>
        <w:tc>
          <w:tcPr>
            <w:tcW w:w="136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34F5254"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56.46%</w:t>
            </w:r>
          </w:p>
        </w:tc>
        <w:tc>
          <w:tcPr>
            <w:tcW w:w="129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51639FA"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55.42%</w:t>
            </w:r>
          </w:p>
        </w:tc>
        <w:tc>
          <w:tcPr>
            <w:tcW w:w="131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0BB2760"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51.63%</w:t>
            </w:r>
          </w:p>
        </w:tc>
        <w:tc>
          <w:tcPr>
            <w:tcW w:w="1290" w:type="dxa"/>
            <w:tcBorders>
              <w:top w:val="single" w:sz="4" w:space="0" w:color="auto"/>
              <w:left w:val="single" w:sz="4" w:space="0" w:color="auto"/>
              <w:bottom w:val="single" w:sz="4" w:space="0" w:color="auto"/>
              <w:right w:val="single" w:sz="8" w:space="0" w:color="auto"/>
            </w:tcBorders>
            <w:shd w:val="clear" w:color="000000" w:fill="A9D08E"/>
            <w:noWrap/>
            <w:vAlign w:val="center"/>
            <w:hideMark/>
          </w:tcPr>
          <w:p w14:paraId="56E27BF2"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50.50%</w:t>
            </w:r>
          </w:p>
        </w:tc>
        <w:tc>
          <w:tcPr>
            <w:tcW w:w="804" w:type="dxa"/>
            <w:tcBorders>
              <w:top w:val="nil"/>
              <w:left w:val="nil"/>
              <w:bottom w:val="single" w:sz="4" w:space="0" w:color="auto"/>
              <w:right w:val="single" w:sz="4" w:space="0" w:color="auto"/>
            </w:tcBorders>
            <w:shd w:val="clear" w:color="auto" w:fill="auto"/>
            <w:noWrap/>
            <w:vAlign w:val="center"/>
            <w:hideMark/>
          </w:tcPr>
          <w:p w14:paraId="49B9C64F"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c>
          <w:tcPr>
            <w:tcW w:w="876" w:type="dxa"/>
            <w:tcBorders>
              <w:top w:val="nil"/>
              <w:left w:val="nil"/>
              <w:bottom w:val="single" w:sz="4" w:space="0" w:color="auto"/>
              <w:right w:val="single" w:sz="8" w:space="0" w:color="auto"/>
            </w:tcBorders>
            <w:shd w:val="clear" w:color="auto" w:fill="auto"/>
            <w:noWrap/>
            <w:vAlign w:val="center"/>
            <w:hideMark/>
          </w:tcPr>
          <w:p w14:paraId="76F9A4E7"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c>
          <w:tcPr>
            <w:tcW w:w="900" w:type="dxa"/>
            <w:tcBorders>
              <w:top w:val="nil"/>
              <w:left w:val="single" w:sz="4" w:space="0" w:color="auto"/>
              <w:bottom w:val="single" w:sz="4" w:space="0" w:color="auto"/>
              <w:right w:val="single" w:sz="8" w:space="0" w:color="auto"/>
            </w:tcBorders>
            <w:shd w:val="clear" w:color="auto" w:fill="auto"/>
            <w:noWrap/>
            <w:vAlign w:val="center"/>
            <w:hideMark/>
          </w:tcPr>
          <w:p w14:paraId="62383ACF"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c>
          <w:tcPr>
            <w:tcW w:w="900" w:type="dxa"/>
            <w:tcBorders>
              <w:top w:val="nil"/>
              <w:left w:val="single" w:sz="4" w:space="0" w:color="auto"/>
              <w:bottom w:val="single" w:sz="4" w:space="0" w:color="auto"/>
              <w:right w:val="single" w:sz="8" w:space="0" w:color="auto"/>
            </w:tcBorders>
            <w:shd w:val="clear" w:color="auto" w:fill="auto"/>
            <w:noWrap/>
            <w:vAlign w:val="center"/>
            <w:hideMark/>
          </w:tcPr>
          <w:p w14:paraId="22351202"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r>
      <w:tr w:rsidR="00C76504" w:rsidRPr="002D07B8" w14:paraId="41C04B23" w14:textId="77777777" w:rsidTr="009132A7">
        <w:trPr>
          <w:trHeight w:val="310"/>
        </w:trPr>
        <w:tc>
          <w:tcPr>
            <w:tcW w:w="1890" w:type="dxa"/>
            <w:tcBorders>
              <w:top w:val="nil"/>
              <w:left w:val="single" w:sz="8" w:space="0" w:color="auto"/>
              <w:bottom w:val="single" w:sz="4" w:space="0" w:color="auto"/>
              <w:right w:val="single" w:sz="8" w:space="0" w:color="auto"/>
            </w:tcBorders>
            <w:shd w:val="clear" w:color="auto" w:fill="auto"/>
            <w:noWrap/>
            <w:hideMark/>
          </w:tcPr>
          <w:p w14:paraId="58D62F9E" w14:textId="0C0B0363" w:rsidR="00C76504" w:rsidRPr="002D07B8" w:rsidRDefault="00C76504" w:rsidP="00C76504">
            <w:pPr>
              <w:rPr>
                <w:rFonts w:asciiTheme="minorHAnsi" w:hAnsiTheme="minorHAnsi" w:cstheme="minorHAnsi"/>
                <w:color w:val="000000"/>
                <w:szCs w:val="22"/>
              </w:rPr>
            </w:pPr>
            <w:r w:rsidRPr="002D07B8">
              <w:rPr>
                <w:rFonts w:asciiTheme="minorHAnsi" w:hAnsiTheme="minorHAnsi" w:cstheme="minorHAnsi"/>
                <w:b/>
              </w:rPr>
              <w:t>6 Dallas</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2BED9A04"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43.80%</w:t>
            </w:r>
          </w:p>
        </w:tc>
        <w:tc>
          <w:tcPr>
            <w:tcW w:w="1290" w:type="dxa"/>
            <w:tcBorders>
              <w:top w:val="nil"/>
              <w:left w:val="nil"/>
              <w:bottom w:val="single" w:sz="4" w:space="0" w:color="auto"/>
              <w:right w:val="single" w:sz="4" w:space="0" w:color="auto"/>
            </w:tcBorders>
            <w:shd w:val="clear" w:color="auto" w:fill="auto"/>
            <w:noWrap/>
            <w:vAlign w:val="center"/>
            <w:hideMark/>
          </w:tcPr>
          <w:p w14:paraId="553A4838"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48.13%</w:t>
            </w:r>
          </w:p>
        </w:tc>
        <w:tc>
          <w:tcPr>
            <w:tcW w:w="1310" w:type="dxa"/>
            <w:tcBorders>
              <w:top w:val="nil"/>
              <w:left w:val="nil"/>
              <w:bottom w:val="single" w:sz="4" w:space="0" w:color="auto"/>
              <w:right w:val="single" w:sz="4" w:space="0" w:color="auto"/>
            </w:tcBorders>
            <w:shd w:val="clear" w:color="auto" w:fill="auto"/>
            <w:noWrap/>
            <w:vAlign w:val="center"/>
            <w:hideMark/>
          </w:tcPr>
          <w:p w14:paraId="37F17219"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47.35%</w:t>
            </w:r>
          </w:p>
        </w:tc>
        <w:tc>
          <w:tcPr>
            <w:tcW w:w="1290" w:type="dxa"/>
            <w:tcBorders>
              <w:top w:val="nil"/>
              <w:left w:val="nil"/>
              <w:bottom w:val="single" w:sz="4" w:space="0" w:color="auto"/>
              <w:right w:val="single" w:sz="8" w:space="0" w:color="auto"/>
            </w:tcBorders>
            <w:shd w:val="clear" w:color="auto" w:fill="auto"/>
            <w:noWrap/>
            <w:vAlign w:val="center"/>
            <w:hideMark/>
          </w:tcPr>
          <w:p w14:paraId="44B2F62F"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48.52%</w:t>
            </w:r>
          </w:p>
        </w:tc>
        <w:tc>
          <w:tcPr>
            <w:tcW w:w="804" w:type="dxa"/>
            <w:tcBorders>
              <w:top w:val="nil"/>
              <w:left w:val="nil"/>
              <w:bottom w:val="single" w:sz="4" w:space="0" w:color="auto"/>
              <w:right w:val="single" w:sz="4" w:space="0" w:color="auto"/>
            </w:tcBorders>
            <w:shd w:val="clear" w:color="000000" w:fill="AEAAAA"/>
            <w:noWrap/>
            <w:vAlign w:val="center"/>
            <w:hideMark/>
          </w:tcPr>
          <w:p w14:paraId="209B3F65"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48.1%</w:t>
            </w:r>
          </w:p>
        </w:tc>
        <w:tc>
          <w:tcPr>
            <w:tcW w:w="876" w:type="dxa"/>
            <w:tcBorders>
              <w:top w:val="nil"/>
              <w:left w:val="nil"/>
              <w:bottom w:val="single" w:sz="4" w:space="0" w:color="auto"/>
              <w:right w:val="single" w:sz="8" w:space="0" w:color="auto"/>
            </w:tcBorders>
            <w:shd w:val="clear" w:color="auto" w:fill="auto"/>
            <w:noWrap/>
            <w:vAlign w:val="center"/>
            <w:hideMark/>
          </w:tcPr>
          <w:p w14:paraId="7EDBC2C1"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c>
          <w:tcPr>
            <w:tcW w:w="900" w:type="dxa"/>
            <w:tcBorders>
              <w:top w:val="nil"/>
              <w:left w:val="single" w:sz="4" w:space="0" w:color="auto"/>
              <w:bottom w:val="single" w:sz="4" w:space="0" w:color="auto"/>
              <w:right w:val="single" w:sz="8" w:space="0" w:color="auto"/>
            </w:tcBorders>
            <w:shd w:val="clear" w:color="auto" w:fill="auto"/>
            <w:noWrap/>
            <w:vAlign w:val="center"/>
            <w:hideMark/>
          </w:tcPr>
          <w:p w14:paraId="4FCB67BD"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c>
          <w:tcPr>
            <w:tcW w:w="900" w:type="dxa"/>
            <w:tcBorders>
              <w:top w:val="nil"/>
              <w:left w:val="single" w:sz="4" w:space="0" w:color="auto"/>
              <w:bottom w:val="single" w:sz="4" w:space="0" w:color="auto"/>
              <w:right w:val="single" w:sz="8" w:space="0" w:color="auto"/>
            </w:tcBorders>
            <w:shd w:val="clear" w:color="auto" w:fill="auto"/>
            <w:noWrap/>
            <w:vAlign w:val="center"/>
            <w:hideMark/>
          </w:tcPr>
          <w:p w14:paraId="4957A0CA"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r>
      <w:tr w:rsidR="00C76504" w:rsidRPr="002D07B8" w14:paraId="73F74846" w14:textId="77777777" w:rsidTr="009132A7">
        <w:trPr>
          <w:trHeight w:val="310"/>
        </w:trPr>
        <w:tc>
          <w:tcPr>
            <w:tcW w:w="1890" w:type="dxa"/>
            <w:tcBorders>
              <w:top w:val="nil"/>
              <w:left w:val="single" w:sz="8" w:space="0" w:color="auto"/>
              <w:bottom w:val="single" w:sz="4" w:space="0" w:color="auto"/>
              <w:right w:val="single" w:sz="8" w:space="0" w:color="auto"/>
            </w:tcBorders>
            <w:shd w:val="clear" w:color="auto" w:fill="auto"/>
            <w:noWrap/>
            <w:hideMark/>
          </w:tcPr>
          <w:p w14:paraId="090F4AD2" w14:textId="5B1D7A12" w:rsidR="00C76504" w:rsidRPr="002D07B8" w:rsidRDefault="00C76504" w:rsidP="00C76504">
            <w:pPr>
              <w:rPr>
                <w:rFonts w:asciiTheme="minorHAnsi" w:hAnsiTheme="minorHAnsi" w:cstheme="minorHAnsi"/>
                <w:color w:val="000000"/>
                <w:szCs w:val="22"/>
              </w:rPr>
            </w:pPr>
            <w:r w:rsidRPr="002D07B8">
              <w:rPr>
                <w:rFonts w:asciiTheme="minorHAnsi" w:hAnsiTheme="minorHAnsi" w:cstheme="minorHAnsi"/>
                <w:b/>
              </w:rPr>
              <w:t>7 North East Texas</w:t>
            </w:r>
          </w:p>
        </w:tc>
        <w:tc>
          <w:tcPr>
            <w:tcW w:w="136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2AB60A3F"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53.33%</w:t>
            </w:r>
          </w:p>
        </w:tc>
        <w:tc>
          <w:tcPr>
            <w:tcW w:w="129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24B3CFF5"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55.60%</w:t>
            </w:r>
          </w:p>
        </w:tc>
        <w:tc>
          <w:tcPr>
            <w:tcW w:w="131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213D9EE8"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55.23%</w:t>
            </w:r>
          </w:p>
        </w:tc>
        <w:tc>
          <w:tcPr>
            <w:tcW w:w="1290" w:type="dxa"/>
            <w:tcBorders>
              <w:top w:val="single" w:sz="4" w:space="0" w:color="auto"/>
              <w:left w:val="single" w:sz="4" w:space="0" w:color="auto"/>
              <w:bottom w:val="single" w:sz="4" w:space="0" w:color="auto"/>
              <w:right w:val="single" w:sz="8" w:space="0" w:color="auto"/>
            </w:tcBorders>
            <w:shd w:val="clear" w:color="000000" w:fill="A9D08E"/>
            <w:noWrap/>
            <w:vAlign w:val="center"/>
            <w:hideMark/>
          </w:tcPr>
          <w:p w14:paraId="5405E6E6"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51.57%</w:t>
            </w:r>
          </w:p>
        </w:tc>
        <w:tc>
          <w:tcPr>
            <w:tcW w:w="804" w:type="dxa"/>
            <w:tcBorders>
              <w:top w:val="nil"/>
              <w:left w:val="nil"/>
              <w:bottom w:val="single" w:sz="4" w:space="0" w:color="auto"/>
              <w:right w:val="single" w:sz="4" w:space="0" w:color="auto"/>
            </w:tcBorders>
            <w:shd w:val="clear" w:color="auto" w:fill="auto"/>
            <w:noWrap/>
            <w:vAlign w:val="center"/>
            <w:hideMark/>
          </w:tcPr>
          <w:p w14:paraId="0177DD60"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c>
          <w:tcPr>
            <w:tcW w:w="876" w:type="dxa"/>
            <w:tcBorders>
              <w:top w:val="nil"/>
              <w:left w:val="nil"/>
              <w:bottom w:val="single" w:sz="4" w:space="0" w:color="auto"/>
              <w:right w:val="single" w:sz="8" w:space="0" w:color="auto"/>
            </w:tcBorders>
            <w:shd w:val="clear" w:color="auto" w:fill="auto"/>
            <w:noWrap/>
            <w:vAlign w:val="center"/>
            <w:hideMark/>
          </w:tcPr>
          <w:p w14:paraId="6E745ADA"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c>
          <w:tcPr>
            <w:tcW w:w="900" w:type="dxa"/>
            <w:tcBorders>
              <w:top w:val="nil"/>
              <w:left w:val="single" w:sz="4" w:space="0" w:color="auto"/>
              <w:bottom w:val="single" w:sz="4" w:space="0" w:color="auto"/>
              <w:right w:val="single" w:sz="8" w:space="0" w:color="auto"/>
            </w:tcBorders>
            <w:shd w:val="clear" w:color="auto" w:fill="auto"/>
            <w:noWrap/>
            <w:vAlign w:val="center"/>
            <w:hideMark/>
          </w:tcPr>
          <w:p w14:paraId="00CE5922"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c>
          <w:tcPr>
            <w:tcW w:w="900" w:type="dxa"/>
            <w:tcBorders>
              <w:top w:val="nil"/>
              <w:left w:val="single" w:sz="4" w:space="0" w:color="auto"/>
              <w:bottom w:val="single" w:sz="4" w:space="0" w:color="auto"/>
              <w:right w:val="single" w:sz="8" w:space="0" w:color="auto"/>
            </w:tcBorders>
            <w:shd w:val="clear" w:color="auto" w:fill="auto"/>
            <w:noWrap/>
            <w:vAlign w:val="center"/>
            <w:hideMark/>
          </w:tcPr>
          <w:p w14:paraId="073E16A4"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r>
      <w:tr w:rsidR="00C76504" w:rsidRPr="002D07B8" w14:paraId="6B70FB70" w14:textId="77777777" w:rsidTr="009132A7">
        <w:trPr>
          <w:trHeight w:val="310"/>
        </w:trPr>
        <w:tc>
          <w:tcPr>
            <w:tcW w:w="1890" w:type="dxa"/>
            <w:tcBorders>
              <w:top w:val="nil"/>
              <w:left w:val="single" w:sz="8" w:space="0" w:color="auto"/>
              <w:bottom w:val="single" w:sz="4" w:space="0" w:color="auto"/>
              <w:right w:val="single" w:sz="8" w:space="0" w:color="auto"/>
            </w:tcBorders>
            <w:shd w:val="clear" w:color="auto" w:fill="auto"/>
            <w:noWrap/>
            <w:hideMark/>
          </w:tcPr>
          <w:p w14:paraId="709CA1B2" w14:textId="11FF3E11" w:rsidR="00C76504" w:rsidRPr="002D07B8" w:rsidRDefault="00C76504" w:rsidP="00C76504">
            <w:pPr>
              <w:rPr>
                <w:rFonts w:asciiTheme="minorHAnsi" w:hAnsiTheme="minorHAnsi" w:cstheme="minorHAnsi"/>
                <w:color w:val="000000"/>
                <w:szCs w:val="22"/>
              </w:rPr>
            </w:pPr>
            <w:r w:rsidRPr="002D07B8">
              <w:rPr>
                <w:rFonts w:asciiTheme="minorHAnsi" w:hAnsiTheme="minorHAnsi" w:cstheme="minorHAnsi"/>
                <w:b/>
              </w:rPr>
              <w:t>8 East Texas</w:t>
            </w:r>
          </w:p>
        </w:tc>
        <w:tc>
          <w:tcPr>
            <w:tcW w:w="136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3F4206D"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58.14%</w:t>
            </w:r>
          </w:p>
        </w:tc>
        <w:tc>
          <w:tcPr>
            <w:tcW w:w="129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78CCBB2"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53.61%</w:t>
            </w:r>
          </w:p>
        </w:tc>
        <w:tc>
          <w:tcPr>
            <w:tcW w:w="1310" w:type="dxa"/>
            <w:tcBorders>
              <w:top w:val="nil"/>
              <w:left w:val="nil"/>
              <w:bottom w:val="single" w:sz="4" w:space="0" w:color="auto"/>
              <w:right w:val="single" w:sz="4" w:space="0" w:color="auto"/>
            </w:tcBorders>
            <w:shd w:val="clear" w:color="auto" w:fill="auto"/>
            <w:noWrap/>
            <w:vAlign w:val="center"/>
            <w:hideMark/>
          </w:tcPr>
          <w:p w14:paraId="3F6F13D3"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46.04%</w:t>
            </w:r>
          </w:p>
        </w:tc>
        <w:tc>
          <w:tcPr>
            <w:tcW w:w="1290" w:type="dxa"/>
            <w:tcBorders>
              <w:top w:val="single" w:sz="4" w:space="0" w:color="auto"/>
              <w:left w:val="single" w:sz="4" w:space="0" w:color="auto"/>
              <w:bottom w:val="single" w:sz="4" w:space="0" w:color="auto"/>
              <w:right w:val="single" w:sz="8" w:space="0" w:color="auto"/>
            </w:tcBorders>
            <w:shd w:val="clear" w:color="000000" w:fill="A9D08E"/>
            <w:noWrap/>
            <w:vAlign w:val="center"/>
            <w:hideMark/>
          </w:tcPr>
          <w:p w14:paraId="23586D48"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52.39%</w:t>
            </w:r>
          </w:p>
        </w:tc>
        <w:tc>
          <w:tcPr>
            <w:tcW w:w="804" w:type="dxa"/>
            <w:tcBorders>
              <w:top w:val="nil"/>
              <w:left w:val="nil"/>
              <w:bottom w:val="single" w:sz="4" w:space="0" w:color="auto"/>
              <w:right w:val="single" w:sz="4" w:space="0" w:color="auto"/>
            </w:tcBorders>
            <w:shd w:val="clear" w:color="auto" w:fill="auto"/>
            <w:noWrap/>
            <w:vAlign w:val="center"/>
            <w:hideMark/>
          </w:tcPr>
          <w:p w14:paraId="12651EA7"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c>
          <w:tcPr>
            <w:tcW w:w="876" w:type="dxa"/>
            <w:tcBorders>
              <w:top w:val="nil"/>
              <w:left w:val="nil"/>
              <w:bottom w:val="single" w:sz="4" w:space="0" w:color="auto"/>
              <w:right w:val="single" w:sz="8" w:space="0" w:color="auto"/>
            </w:tcBorders>
            <w:shd w:val="clear" w:color="auto" w:fill="auto"/>
            <w:noWrap/>
            <w:vAlign w:val="center"/>
            <w:hideMark/>
          </w:tcPr>
          <w:p w14:paraId="4C55A8AF"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c>
          <w:tcPr>
            <w:tcW w:w="900" w:type="dxa"/>
            <w:tcBorders>
              <w:top w:val="nil"/>
              <w:left w:val="single" w:sz="4" w:space="0" w:color="auto"/>
              <w:bottom w:val="single" w:sz="4" w:space="0" w:color="auto"/>
              <w:right w:val="single" w:sz="8" w:space="0" w:color="auto"/>
            </w:tcBorders>
            <w:shd w:val="clear" w:color="auto" w:fill="auto"/>
            <w:noWrap/>
            <w:vAlign w:val="center"/>
            <w:hideMark/>
          </w:tcPr>
          <w:p w14:paraId="0D352E60"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c>
          <w:tcPr>
            <w:tcW w:w="900" w:type="dxa"/>
            <w:tcBorders>
              <w:top w:val="nil"/>
              <w:left w:val="single" w:sz="4" w:space="0" w:color="auto"/>
              <w:bottom w:val="single" w:sz="4" w:space="0" w:color="auto"/>
              <w:right w:val="single" w:sz="8" w:space="0" w:color="auto"/>
            </w:tcBorders>
            <w:shd w:val="clear" w:color="auto" w:fill="auto"/>
            <w:noWrap/>
            <w:vAlign w:val="center"/>
            <w:hideMark/>
          </w:tcPr>
          <w:p w14:paraId="4C40C276"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r>
      <w:tr w:rsidR="00C76504" w:rsidRPr="002D07B8" w14:paraId="6FEF626D" w14:textId="77777777" w:rsidTr="009132A7">
        <w:trPr>
          <w:trHeight w:val="310"/>
        </w:trPr>
        <w:tc>
          <w:tcPr>
            <w:tcW w:w="1890" w:type="dxa"/>
            <w:tcBorders>
              <w:top w:val="nil"/>
              <w:left w:val="single" w:sz="8" w:space="0" w:color="auto"/>
              <w:bottom w:val="single" w:sz="4" w:space="0" w:color="auto"/>
              <w:right w:val="single" w:sz="8" w:space="0" w:color="auto"/>
            </w:tcBorders>
            <w:shd w:val="clear" w:color="auto" w:fill="auto"/>
            <w:noWrap/>
            <w:hideMark/>
          </w:tcPr>
          <w:p w14:paraId="686AD7F8" w14:textId="0ACF3FF6" w:rsidR="00C76504" w:rsidRPr="002D07B8" w:rsidRDefault="00C76504" w:rsidP="00C76504">
            <w:pPr>
              <w:rPr>
                <w:rFonts w:asciiTheme="minorHAnsi" w:hAnsiTheme="minorHAnsi" w:cstheme="minorHAnsi"/>
                <w:color w:val="000000"/>
                <w:szCs w:val="22"/>
              </w:rPr>
            </w:pPr>
            <w:r w:rsidRPr="002D07B8">
              <w:rPr>
                <w:rFonts w:asciiTheme="minorHAnsi" w:hAnsiTheme="minorHAnsi" w:cstheme="minorHAnsi"/>
                <w:b/>
              </w:rPr>
              <w:t>9 West Central Texas</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65EC2EAA"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34.12%</w:t>
            </w:r>
          </w:p>
        </w:tc>
        <w:tc>
          <w:tcPr>
            <w:tcW w:w="1290" w:type="dxa"/>
            <w:tcBorders>
              <w:top w:val="nil"/>
              <w:left w:val="nil"/>
              <w:bottom w:val="single" w:sz="4" w:space="0" w:color="auto"/>
              <w:right w:val="single" w:sz="4" w:space="0" w:color="auto"/>
            </w:tcBorders>
            <w:shd w:val="clear" w:color="auto" w:fill="auto"/>
            <w:noWrap/>
            <w:vAlign w:val="center"/>
            <w:hideMark/>
          </w:tcPr>
          <w:p w14:paraId="30C72D57"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39.83%</w:t>
            </w:r>
          </w:p>
        </w:tc>
        <w:tc>
          <w:tcPr>
            <w:tcW w:w="1310" w:type="dxa"/>
            <w:tcBorders>
              <w:top w:val="nil"/>
              <w:left w:val="nil"/>
              <w:bottom w:val="single" w:sz="4" w:space="0" w:color="auto"/>
              <w:right w:val="single" w:sz="4" w:space="0" w:color="auto"/>
            </w:tcBorders>
            <w:shd w:val="clear" w:color="auto" w:fill="auto"/>
            <w:noWrap/>
            <w:vAlign w:val="center"/>
            <w:hideMark/>
          </w:tcPr>
          <w:p w14:paraId="64232690"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46.89%</w:t>
            </w:r>
          </w:p>
        </w:tc>
        <w:tc>
          <w:tcPr>
            <w:tcW w:w="1290" w:type="dxa"/>
            <w:tcBorders>
              <w:top w:val="nil"/>
              <w:left w:val="nil"/>
              <w:bottom w:val="single" w:sz="4" w:space="0" w:color="auto"/>
              <w:right w:val="single" w:sz="8" w:space="0" w:color="auto"/>
            </w:tcBorders>
            <w:shd w:val="clear" w:color="auto" w:fill="auto"/>
            <w:noWrap/>
            <w:vAlign w:val="center"/>
            <w:hideMark/>
          </w:tcPr>
          <w:p w14:paraId="338B58DA"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47.65%</w:t>
            </w:r>
          </w:p>
        </w:tc>
        <w:tc>
          <w:tcPr>
            <w:tcW w:w="804" w:type="dxa"/>
            <w:tcBorders>
              <w:top w:val="nil"/>
              <w:left w:val="nil"/>
              <w:bottom w:val="single" w:sz="4" w:space="0" w:color="auto"/>
              <w:right w:val="single" w:sz="4" w:space="0" w:color="auto"/>
            </w:tcBorders>
            <w:shd w:val="clear" w:color="000000" w:fill="FF9F9F"/>
            <w:noWrap/>
            <w:vAlign w:val="center"/>
            <w:hideMark/>
          </w:tcPr>
          <w:p w14:paraId="03DC6450" w14:textId="77777777" w:rsidR="00C76504" w:rsidRPr="002D07B8" w:rsidRDefault="00C76504" w:rsidP="009132A7">
            <w:pPr>
              <w:jc w:val="center"/>
              <w:rPr>
                <w:rFonts w:asciiTheme="minorHAnsi" w:hAnsiTheme="minorHAnsi" w:cstheme="minorHAnsi"/>
                <w:color w:val="000000"/>
                <w:szCs w:val="22"/>
                <w:u w:val="single"/>
              </w:rPr>
            </w:pPr>
            <w:r w:rsidRPr="002D07B8">
              <w:rPr>
                <w:rFonts w:asciiTheme="minorHAnsi" w:hAnsiTheme="minorHAnsi" w:cstheme="minorHAnsi"/>
                <w:color w:val="000000"/>
                <w:szCs w:val="22"/>
                <w:u w:val="single"/>
              </w:rPr>
              <w:t>40.0%</w:t>
            </w:r>
          </w:p>
        </w:tc>
        <w:tc>
          <w:tcPr>
            <w:tcW w:w="876" w:type="dxa"/>
            <w:tcBorders>
              <w:top w:val="nil"/>
              <w:left w:val="nil"/>
              <w:bottom w:val="single" w:sz="4" w:space="0" w:color="auto"/>
              <w:right w:val="single" w:sz="8" w:space="0" w:color="auto"/>
            </w:tcBorders>
            <w:shd w:val="clear" w:color="000000" w:fill="AEAAAA"/>
            <w:noWrap/>
            <w:vAlign w:val="center"/>
            <w:hideMark/>
          </w:tcPr>
          <w:p w14:paraId="3900FE9F"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43.8%</w:t>
            </w:r>
          </w:p>
        </w:tc>
        <w:tc>
          <w:tcPr>
            <w:tcW w:w="900" w:type="dxa"/>
            <w:tcBorders>
              <w:top w:val="nil"/>
              <w:left w:val="single" w:sz="4" w:space="0" w:color="auto"/>
              <w:bottom w:val="single" w:sz="4" w:space="0" w:color="auto"/>
              <w:right w:val="single" w:sz="8" w:space="0" w:color="auto"/>
            </w:tcBorders>
            <w:shd w:val="clear" w:color="auto" w:fill="auto"/>
            <w:noWrap/>
            <w:vAlign w:val="center"/>
            <w:hideMark/>
          </w:tcPr>
          <w:p w14:paraId="7634DE05"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c>
          <w:tcPr>
            <w:tcW w:w="900" w:type="dxa"/>
            <w:tcBorders>
              <w:top w:val="nil"/>
              <w:left w:val="single" w:sz="4" w:space="0" w:color="auto"/>
              <w:bottom w:val="single" w:sz="4" w:space="0" w:color="auto"/>
              <w:right w:val="single" w:sz="8" w:space="0" w:color="auto"/>
            </w:tcBorders>
            <w:shd w:val="clear" w:color="auto" w:fill="auto"/>
            <w:noWrap/>
            <w:vAlign w:val="center"/>
            <w:hideMark/>
          </w:tcPr>
          <w:p w14:paraId="653651DC"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r>
      <w:tr w:rsidR="00C76504" w:rsidRPr="002D07B8" w14:paraId="1F28F19F" w14:textId="77777777" w:rsidTr="009132A7">
        <w:trPr>
          <w:trHeight w:val="310"/>
        </w:trPr>
        <w:tc>
          <w:tcPr>
            <w:tcW w:w="1890" w:type="dxa"/>
            <w:tcBorders>
              <w:top w:val="nil"/>
              <w:left w:val="single" w:sz="8" w:space="0" w:color="auto"/>
              <w:bottom w:val="single" w:sz="4" w:space="0" w:color="auto"/>
              <w:right w:val="single" w:sz="8" w:space="0" w:color="auto"/>
            </w:tcBorders>
            <w:shd w:val="clear" w:color="auto" w:fill="auto"/>
            <w:noWrap/>
            <w:hideMark/>
          </w:tcPr>
          <w:p w14:paraId="4D9FD2F4" w14:textId="5490D0BF" w:rsidR="00C76504" w:rsidRPr="002D07B8" w:rsidRDefault="00C76504" w:rsidP="00C76504">
            <w:pPr>
              <w:rPr>
                <w:rFonts w:asciiTheme="minorHAnsi" w:hAnsiTheme="minorHAnsi" w:cstheme="minorHAnsi"/>
                <w:color w:val="000000"/>
                <w:szCs w:val="22"/>
              </w:rPr>
            </w:pPr>
            <w:r w:rsidRPr="002D07B8">
              <w:rPr>
                <w:rFonts w:asciiTheme="minorHAnsi" w:hAnsiTheme="minorHAnsi" w:cstheme="minorHAnsi"/>
                <w:b/>
              </w:rPr>
              <w:t>10 Borderplex</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076CAF17"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46.91%</w:t>
            </w:r>
          </w:p>
        </w:tc>
        <w:tc>
          <w:tcPr>
            <w:tcW w:w="129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F85ADAA"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52.82%</w:t>
            </w:r>
          </w:p>
        </w:tc>
        <w:tc>
          <w:tcPr>
            <w:tcW w:w="131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6644851"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56.81%</w:t>
            </w:r>
          </w:p>
        </w:tc>
        <w:tc>
          <w:tcPr>
            <w:tcW w:w="1290" w:type="dxa"/>
            <w:tcBorders>
              <w:top w:val="single" w:sz="4" w:space="0" w:color="auto"/>
              <w:left w:val="single" w:sz="4" w:space="0" w:color="auto"/>
              <w:bottom w:val="single" w:sz="4" w:space="0" w:color="auto"/>
              <w:right w:val="single" w:sz="8" w:space="0" w:color="auto"/>
            </w:tcBorders>
            <w:shd w:val="clear" w:color="000000" w:fill="A9D08E"/>
            <w:noWrap/>
            <w:vAlign w:val="center"/>
            <w:hideMark/>
          </w:tcPr>
          <w:p w14:paraId="00374B7C"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57.13%</w:t>
            </w:r>
          </w:p>
        </w:tc>
        <w:tc>
          <w:tcPr>
            <w:tcW w:w="804" w:type="dxa"/>
            <w:tcBorders>
              <w:top w:val="nil"/>
              <w:left w:val="nil"/>
              <w:bottom w:val="single" w:sz="4" w:space="0" w:color="auto"/>
              <w:right w:val="single" w:sz="4" w:space="0" w:color="auto"/>
            </w:tcBorders>
            <w:shd w:val="clear" w:color="auto" w:fill="auto"/>
            <w:noWrap/>
            <w:vAlign w:val="center"/>
            <w:hideMark/>
          </w:tcPr>
          <w:p w14:paraId="6457717E"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c>
          <w:tcPr>
            <w:tcW w:w="876" w:type="dxa"/>
            <w:tcBorders>
              <w:top w:val="nil"/>
              <w:left w:val="nil"/>
              <w:bottom w:val="single" w:sz="4" w:space="0" w:color="auto"/>
              <w:right w:val="single" w:sz="8" w:space="0" w:color="auto"/>
            </w:tcBorders>
            <w:shd w:val="clear" w:color="auto" w:fill="auto"/>
            <w:noWrap/>
            <w:vAlign w:val="center"/>
            <w:hideMark/>
          </w:tcPr>
          <w:p w14:paraId="09A9D761"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c>
          <w:tcPr>
            <w:tcW w:w="900" w:type="dxa"/>
            <w:tcBorders>
              <w:top w:val="nil"/>
              <w:left w:val="single" w:sz="4" w:space="0" w:color="auto"/>
              <w:bottom w:val="single" w:sz="4" w:space="0" w:color="auto"/>
              <w:right w:val="single" w:sz="8" w:space="0" w:color="auto"/>
            </w:tcBorders>
            <w:shd w:val="clear" w:color="auto" w:fill="auto"/>
            <w:noWrap/>
            <w:vAlign w:val="center"/>
            <w:hideMark/>
          </w:tcPr>
          <w:p w14:paraId="53B8559D"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c>
          <w:tcPr>
            <w:tcW w:w="900" w:type="dxa"/>
            <w:tcBorders>
              <w:top w:val="nil"/>
              <w:left w:val="single" w:sz="4" w:space="0" w:color="auto"/>
              <w:bottom w:val="single" w:sz="4" w:space="0" w:color="auto"/>
              <w:right w:val="single" w:sz="8" w:space="0" w:color="auto"/>
            </w:tcBorders>
            <w:shd w:val="clear" w:color="auto" w:fill="auto"/>
            <w:noWrap/>
            <w:vAlign w:val="center"/>
            <w:hideMark/>
          </w:tcPr>
          <w:p w14:paraId="61B95CC6"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r>
      <w:tr w:rsidR="00C76504" w:rsidRPr="002D07B8" w14:paraId="22E49942" w14:textId="77777777" w:rsidTr="009132A7">
        <w:trPr>
          <w:trHeight w:val="310"/>
        </w:trPr>
        <w:tc>
          <w:tcPr>
            <w:tcW w:w="1890" w:type="dxa"/>
            <w:tcBorders>
              <w:top w:val="nil"/>
              <w:left w:val="single" w:sz="8" w:space="0" w:color="auto"/>
              <w:bottom w:val="single" w:sz="4" w:space="0" w:color="auto"/>
              <w:right w:val="single" w:sz="8" w:space="0" w:color="auto"/>
            </w:tcBorders>
            <w:shd w:val="clear" w:color="auto" w:fill="auto"/>
            <w:noWrap/>
            <w:hideMark/>
          </w:tcPr>
          <w:p w14:paraId="00CA2480" w14:textId="21DB36AC" w:rsidR="00C76504" w:rsidRPr="002D07B8" w:rsidRDefault="00C76504" w:rsidP="00C76504">
            <w:pPr>
              <w:rPr>
                <w:rFonts w:asciiTheme="minorHAnsi" w:hAnsiTheme="minorHAnsi" w:cstheme="minorHAnsi"/>
                <w:color w:val="000000"/>
                <w:szCs w:val="22"/>
              </w:rPr>
            </w:pPr>
            <w:r w:rsidRPr="002D07B8">
              <w:rPr>
                <w:rFonts w:asciiTheme="minorHAnsi" w:hAnsiTheme="minorHAnsi" w:cstheme="minorHAnsi"/>
                <w:b/>
              </w:rPr>
              <w:t>11 Permian Basin</w:t>
            </w:r>
          </w:p>
        </w:tc>
        <w:tc>
          <w:tcPr>
            <w:tcW w:w="136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5E6FDC4"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58.26%</w:t>
            </w:r>
          </w:p>
        </w:tc>
        <w:tc>
          <w:tcPr>
            <w:tcW w:w="129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9A23C0B"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51.80%</w:t>
            </w:r>
          </w:p>
        </w:tc>
        <w:tc>
          <w:tcPr>
            <w:tcW w:w="131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FE65042"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52.90%</w:t>
            </w:r>
          </w:p>
        </w:tc>
        <w:tc>
          <w:tcPr>
            <w:tcW w:w="1290" w:type="dxa"/>
            <w:tcBorders>
              <w:top w:val="single" w:sz="4" w:space="0" w:color="auto"/>
              <w:left w:val="single" w:sz="4" w:space="0" w:color="auto"/>
              <w:bottom w:val="single" w:sz="4" w:space="0" w:color="auto"/>
              <w:right w:val="single" w:sz="8" w:space="0" w:color="auto"/>
            </w:tcBorders>
            <w:shd w:val="clear" w:color="000000" w:fill="A9D08E"/>
            <w:noWrap/>
            <w:vAlign w:val="center"/>
            <w:hideMark/>
          </w:tcPr>
          <w:p w14:paraId="11A1BAC9"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50.57%</w:t>
            </w:r>
          </w:p>
        </w:tc>
        <w:tc>
          <w:tcPr>
            <w:tcW w:w="804" w:type="dxa"/>
            <w:tcBorders>
              <w:top w:val="nil"/>
              <w:left w:val="nil"/>
              <w:bottom w:val="single" w:sz="4" w:space="0" w:color="auto"/>
              <w:right w:val="single" w:sz="4" w:space="0" w:color="auto"/>
            </w:tcBorders>
            <w:shd w:val="clear" w:color="auto" w:fill="auto"/>
            <w:noWrap/>
            <w:vAlign w:val="center"/>
            <w:hideMark/>
          </w:tcPr>
          <w:p w14:paraId="04877D73"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c>
          <w:tcPr>
            <w:tcW w:w="876" w:type="dxa"/>
            <w:tcBorders>
              <w:top w:val="nil"/>
              <w:left w:val="nil"/>
              <w:bottom w:val="single" w:sz="4" w:space="0" w:color="auto"/>
              <w:right w:val="single" w:sz="8" w:space="0" w:color="auto"/>
            </w:tcBorders>
            <w:shd w:val="clear" w:color="auto" w:fill="auto"/>
            <w:noWrap/>
            <w:vAlign w:val="center"/>
            <w:hideMark/>
          </w:tcPr>
          <w:p w14:paraId="5CE462BE"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c>
          <w:tcPr>
            <w:tcW w:w="900" w:type="dxa"/>
            <w:tcBorders>
              <w:top w:val="nil"/>
              <w:left w:val="single" w:sz="4" w:space="0" w:color="auto"/>
              <w:bottom w:val="single" w:sz="4" w:space="0" w:color="auto"/>
              <w:right w:val="single" w:sz="8" w:space="0" w:color="auto"/>
            </w:tcBorders>
            <w:shd w:val="clear" w:color="auto" w:fill="auto"/>
            <w:noWrap/>
            <w:vAlign w:val="center"/>
            <w:hideMark/>
          </w:tcPr>
          <w:p w14:paraId="40ACF52E"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c>
          <w:tcPr>
            <w:tcW w:w="900" w:type="dxa"/>
            <w:tcBorders>
              <w:top w:val="nil"/>
              <w:left w:val="single" w:sz="4" w:space="0" w:color="auto"/>
              <w:bottom w:val="single" w:sz="4" w:space="0" w:color="auto"/>
              <w:right w:val="single" w:sz="8" w:space="0" w:color="auto"/>
            </w:tcBorders>
            <w:shd w:val="clear" w:color="auto" w:fill="auto"/>
            <w:noWrap/>
            <w:vAlign w:val="center"/>
            <w:hideMark/>
          </w:tcPr>
          <w:p w14:paraId="4646BD9A"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r>
      <w:tr w:rsidR="00C76504" w:rsidRPr="002D07B8" w14:paraId="6B7C677A" w14:textId="77777777" w:rsidTr="009132A7">
        <w:trPr>
          <w:trHeight w:val="310"/>
        </w:trPr>
        <w:tc>
          <w:tcPr>
            <w:tcW w:w="1890" w:type="dxa"/>
            <w:tcBorders>
              <w:top w:val="nil"/>
              <w:left w:val="single" w:sz="8" w:space="0" w:color="auto"/>
              <w:bottom w:val="single" w:sz="4" w:space="0" w:color="auto"/>
              <w:right w:val="single" w:sz="8" w:space="0" w:color="auto"/>
            </w:tcBorders>
            <w:shd w:val="clear" w:color="auto" w:fill="auto"/>
            <w:noWrap/>
            <w:hideMark/>
          </w:tcPr>
          <w:p w14:paraId="36D84A6D" w14:textId="68C3147F" w:rsidR="00C76504" w:rsidRPr="002D07B8" w:rsidRDefault="00C76504" w:rsidP="00C76504">
            <w:pPr>
              <w:rPr>
                <w:rFonts w:asciiTheme="minorHAnsi" w:hAnsiTheme="minorHAnsi" w:cstheme="minorHAnsi"/>
                <w:color w:val="000000"/>
                <w:szCs w:val="22"/>
              </w:rPr>
            </w:pPr>
            <w:r w:rsidRPr="002D07B8">
              <w:rPr>
                <w:rFonts w:asciiTheme="minorHAnsi" w:hAnsiTheme="minorHAnsi" w:cstheme="minorHAnsi"/>
                <w:b/>
              </w:rPr>
              <w:t>12 Concho Valley</w:t>
            </w:r>
          </w:p>
        </w:tc>
        <w:tc>
          <w:tcPr>
            <w:tcW w:w="136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22ABFC16"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63.54%</w:t>
            </w:r>
          </w:p>
        </w:tc>
        <w:tc>
          <w:tcPr>
            <w:tcW w:w="129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3AF28C38"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57.32%</w:t>
            </w:r>
          </w:p>
        </w:tc>
        <w:tc>
          <w:tcPr>
            <w:tcW w:w="131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5FA0AFA"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57.74%</w:t>
            </w:r>
          </w:p>
        </w:tc>
        <w:tc>
          <w:tcPr>
            <w:tcW w:w="1290" w:type="dxa"/>
            <w:tcBorders>
              <w:top w:val="single" w:sz="4" w:space="0" w:color="auto"/>
              <w:left w:val="single" w:sz="4" w:space="0" w:color="auto"/>
              <w:bottom w:val="single" w:sz="4" w:space="0" w:color="auto"/>
              <w:right w:val="single" w:sz="8" w:space="0" w:color="auto"/>
            </w:tcBorders>
            <w:shd w:val="clear" w:color="000000" w:fill="A9D08E"/>
            <w:noWrap/>
            <w:vAlign w:val="center"/>
            <w:hideMark/>
          </w:tcPr>
          <w:p w14:paraId="6483C8FF"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52.23%</w:t>
            </w:r>
          </w:p>
        </w:tc>
        <w:tc>
          <w:tcPr>
            <w:tcW w:w="804" w:type="dxa"/>
            <w:tcBorders>
              <w:top w:val="nil"/>
              <w:left w:val="nil"/>
              <w:bottom w:val="single" w:sz="4" w:space="0" w:color="auto"/>
              <w:right w:val="single" w:sz="4" w:space="0" w:color="auto"/>
            </w:tcBorders>
            <w:shd w:val="clear" w:color="auto" w:fill="auto"/>
            <w:noWrap/>
            <w:vAlign w:val="center"/>
            <w:hideMark/>
          </w:tcPr>
          <w:p w14:paraId="2EC2D6F9"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c>
          <w:tcPr>
            <w:tcW w:w="876" w:type="dxa"/>
            <w:tcBorders>
              <w:top w:val="nil"/>
              <w:left w:val="nil"/>
              <w:bottom w:val="single" w:sz="4" w:space="0" w:color="auto"/>
              <w:right w:val="single" w:sz="8" w:space="0" w:color="auto"/>
            </w:tcBorders>
            <w:shd w:val="clear" w:color="auto" w:fill="auto"/>
            <w:noWrap/>
            <w:vAlign w:val="center"/>
            <w:hideMark/>
          </w:tcPr>
          <w:p w14:paraId="03BDDD5C"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c>
          <w:tcPr>
            <w:tcW w:w="900" w:type="dxa"/>
            <w:tcBorders>
              <w:top w:val="nil"/>
              <w:left w:val="single" w:sz="4" w:space="0" w:color="auto"/>
              <w:bottom w:val="single" w:sz="4" w:space="0" w:color="auto"/>
              <w:right w:val="single" w:sz="8" w:space="0" w:color="auto"/>
            </w:tcBorders>
            <w:shd w:val="clear" w:color="auto" w:fill="auto"/>
            <w:noWrap/>
            <w:vAlign w:val="center"/>
            <w:hideMark/>
          </w:tcPr>
          <w:p w14:paraId="25E1D02A"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c>
          <w:tcPr>
            <w:tcW w:w="900" w:type="dxa"/>
            <w:tcBorders>
              <w:top w:val="nil"/>
              <w:left w:val="single" w:sz="4" w:space="0" w:color="auto"/>
              <w:bottom w:val="single" w:sz="4" w:space="0" w:color="auto"/>
              <w:right w:val="single" w:sz="8" w:space="0" w:color="auto"/>
            </w:tcBorders>
            <w:shd w:val="clear" w:color="auto" w:fill="auto"/>
            <w:noWrap/>
            <w:vAlign w:val="center"/>
            <w:hideMark/>
          </w:tcPr>
          <w:p w14:paraId="62FBA882"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r>
      <w:tr w:rsidR="00C76504" w:rsidRPr="002D07B8" w14:paraId="4952D376" w14:textId="77777777" w:rsidTr="009132A7">
        <w:trPr>
          <w:trHeight w:val="310"/>
        </w:trPr>
        <w:tc>
          <w:tcPr>
            <w:tcW w:w="1890" w:type="dxa"/>
            <w:tcBorders>
              <w:top w:val="nil"/>
              <w:left w:val="single" w:sz="8" w:space="0" w:color="auto"/>
              <w:bottom w:val="single" w:sz="4" w:space="0" w:color="auto"/>
              <w:right w:val="single" w:sz="8" w:space="0" w:color="auto"/>
            </w:tcBorders>
            <w:shd w:val="clear" w:color="auto" w:fill="auto"/>
            <w:noWrap/>
            <w:hideMark/>
          </w:tcPr>
          <w:p w14:paraId="1E9AB4E0" w14:textId="67129759" w:rsidR="00C76504" w:rsidRPr="002D07B8" w:rsidRDefault="00C76504" w:rsidP="00C76504">
            <w:pPr>
              <w:rPr>
                <w:rFonts w:asciiTheme="minorHAnsi" w:hAnsiTheme="minorHAnsi" w:cstheme="minorHAnsi"/>
                <w:color w:val="000000"/>
                <w:szCs w:val="22"/>
              </w:rPr>
            </w:pPr>
            <w:r w:rsidRPr="002D07B8">
              <w:rPr>
                <w:rFonts w:asciiTheme="minorHAnsi" w:hAnsiTheme="minorHAnsi" w:cstheme="minorHAnsi"/>
                <w:b/>
              </w:rPr>
              <w:t>13 Heart of Texas</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3019AB1A"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40.21%</w:t>
            </w:r>
          </w:p>
        </w:tc>
        <w:tc>
          <w:tcPr>
            <w:tcW w:w="1290" w:type="dxa"/>
            <w:tcBorders>
              <w:top w:val="nil"/>
              <w:left w:val="nil"/>
              <w:bottom w:val="single" w:sz="4" w:space="0" w:color="auto"/>
              <w:right w:val="single" w:sz="4" w:space="0" w:color="auto"/>
            </w:tcBorders>
            <w:shd w:val="clear" w:color="auto" w:fill="auto"/>
            <w:noWrap/>
            <w:vAlign w:val="center"/>
            <w:hideMark/>
          </w:tcPr>
          <w:p w14:paraId="63C5C0FC"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36.64%</w:t>
            </w:r>
          </w:p>
        </w:tc>
        <w:tc>
          <w:tcPr>
            <w:tcW w:w="1310" w:type="dxa"/>
            <w:tcBorders>
              <w:top w:val="nil"/>
              <w:left w:val="nil"/>
              <w:bottom w:val="single" w:sz="4" w:space="0" w:color="auto"/>
              <w:right w:val="single" w:sz="4" w:space="0" w:color="auto"/>
            </w:tcBorders>
            <w:shd w:val="clear" w:color="auto" w:fill="auto"/>
            <w:noWrap/>
            <w:vAlign w:val="center"/>
            <w:hideMark/>
          </w:tcPr>
          <w:p w14:paraId="34897AC2"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43.47%</w:t>
            </w:r>
          </w:p>
        </w:tc>
        <w:tc>
          <w:tcPr>
            <w:tcW w:w="1290" w:type="dxa"/>
            <w:tcBorders>
              <w:top w:val="nil"/>
              <w:left w:val="nil"/>
              <w:bottom w:val="single" w:sz="4" w:space="0" w:color="auto"/>
              <w:right w:val="single" w:sz="8" w:space="0" w:color="auto"/>
            </w:tcBorders>
            <w:shd w:val="clear" w:color="auto" w:fill="auto"/>
            <w:noWrap/>
            <w:vAlign w:val="center"/>
            <w:hideMark/>
          </w:tcPr>
          <w:p w14:paraId="19373DF2"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47.16%</w:t>
            </w:r>
          </w:p>
        </w:tc>
        <w:tc>
          <w:tcPr>
            <w:tcW w:w="804" w:type="dxa"/>
            <w:tcBorders>
              <w:top w:val="nil"/>
              <w:left w:val="nil"/>
              <w:bottom w:val="single" w:sz="4" w:space="0" w:color="auto"/>
              <w:right w:val="single" w:sz="4" w:space="0" w:color="auto"/>
            </w:tcBorders>
            <w:shd w:val="clear" w:color="000000" w:fill="AEAAAA"/>
            <w:noWrap/>
            <w:vAlign w:val="center"/>
            <w:hideMark/>
          </w:tcPr>
          <w:p w14:paraId="77501BBE"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44.3%</w:t>
            </w:r>
          </w:p>
        </w:tc>
        <w:tc>
          <w:tcPr>
            <w:tcW w:w="876" w:type="dxa"/>
            <w:tcBorders>
              <w:top w:val="nil"/>
              <w:left w:val="nil"/>
              <w:bottom w:val="single" w:sz="4" w:space="0" w:color="auto"/>
              <w:right w:val="single" w:sz="8" w:space="0" w:color="auto"/>
            </w:tcBorders>
            <w:shd w:val="clear" w:color="000000" w:fill="AEAAAA"/>
            <w:noWrap/>
            <w:vAlign w:val="center"/>
            <w:hideMark/>
          </w:tcPr>
          <w:p w14:paraId="57453604"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44.3%</w:t>
            </w:r>
          </w:p>
        </w:tc>
        <w:tc>
          <w:tcPr>
            <w:tcW w:w="900" w:type="dxa"/>
            <w:tcBorders>
              <w:top w:val="nil"/>
              <w:left w:val="single" w:sz="4" w:space="0" w:color="auto"/>
              <w:bottom w:val="single" w:sz="4" w:space="0" w:color="auto"/>
              <w:right w:val="single" w:sz="8" w:space="0" w:color="auto"/>
            </w:tcBorders>
            <w:shd w:val="clear" w:color="000000" w:fill="AEAAAA"/>
            <w:noWrap/>
            <w:vAlign w:val="center"/>
            <w:hideMark/>
          </w:tcPr>
          <w:p w14:paraId="15362A2C"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47.8%</w:t>
            </w:r>
          </w:p>
        </w:tc>
        <w:tc>
          <w:tcPr>
            <w:tcW w:w="900" w:type="dxa"/>
            <w:tcBorders>
              <w:top w:val="nil"/>
              <w:left w:val="single" w:sz="4" w:space="0" w:color="auto"/>
              <w:bottom w:val="single" w:sz="4" w:space="0" w:color="auto"/>
              <w:right w:val="single" w:sz="8" w:space="0" w:color="auto"/>
            </w:tcBorders>
            <w:shd w:val="clear" w:color="auto" w:fill="auto"/>
            <w:noWrap/>
            <w:vAlign w:val="center"/>
            <w:hideMark/>
          </w:tcPr>
          <w:p w14:paraId="59FC90FB"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r>
      <w:tr w:rsidR="00C76504" w:rsidRPr="002D07B8" w14:paraId="635D5551" w14:textId="77777777" w:rsidTr="009132A7">
        <w:trPr>
          <w:trHeight w:val="310"/>
        </w:trPr>
        <w:tc>
          <w:tcPr>
            <w:tcW w:w="1890" w:type="dxa"/>
            <w:tcBorders>
              <w:top w:val="nil"/>
              <w:left w:val="single" w:sz="8" w:space="0" w:color="auto"/>
              <w:bottom w:val="single" w:sz="4" w:space="0" w:color="auto"/>
              <w:right w:val="single" w:sz="8" w:space="0" w:color="auto"/>
            </w:tcBorders>
            <w:shd w:val="clear" w:color="auto" w:fill="auto"/>
            <w:noWrap/>
            <w:hideMark/>
          </w:tcPr>
          <w:p w14:paraId="09872D63" w14:textId="2A67FF04" w:rsidR="00C76504" w:rsidRPr="002D07B8" w:rsidRDefault="00C76504" w:rsidP="00C76504">
            <w:pPr>
              <w:rPr>
                <w:rFonts w:asciiTheme="minorHAnsi" w:hAnsiTheme="minorHAnsi" w:cstheme="minorHAnsi"/>
                <w:color w:val="000000"/>
                <w:szCs w:val="22"/>
              </w:rPr>
            </w:pPr>
            <w:r w:rsidRPr="002D07B8">
              <w:rPr>
                <w:rFonts w:asciiTheme="minorHAnsi" w:hAnsiTheme="minorHAnsi" w:cstheme="minorHAnsi"/>
                <w:b/>
              </w:rPr>
              <w:t>14 Capital Area</w:t>
            </w:r>
          </w:p>
        </w:tc>
        <w:tc>
          <w:tcPr>
            <w:tcW w:w="136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21E4E870"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57.50%</w:t>
            </w:r>
          </w:p>
        </w:tc>
        <w:tc>
          <w:tcPr>
            <w:tcW w:w="129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5B5D060"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54.36%</w:t>
            </w:r>
          </w:p>
        </w:tc>
        <w:tc>
          <w:tcPr>
            <w:tcW w:w="131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B07DBDA"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57.35%</w:t>
            </w:r>
          </w:p>
        </w:tc>
        <w:tc>
          <w:tcPr>
            <w:tcW w:w="1290" w:type="dxa"/>
            <w:tcBorders>
              <w:top w:val="nil"/>
              <w:left w:val="nil"/>
              <w:bottom w:val="single" w:sz="4" w:space="0" w:color="auto"/>
              <w:right w:val="single" w:sz="8" w:space="0" w:color="auto"/>
            </w:tcBorders>
            <w:shd w:val="clear" w:color="auto" w:fill="auto"/>
            <w:noWrap/>
            <w:vAlign w:val="center"/>
            <w:hideMark/>
          </w:tcPr>
          <w:p w14:paraId="478A0007"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48.10%</w:t>
            </w:r>
          </w:p>
        </w:tc>
        <w:tc>
          <w:tcPr>
            <w:tcW w:w="804" w:type="dxa"/>
            <w:tcBorders>
              <w:top w:val="nil"/>
              <w:left w:val="nil"/>
              <w:bottom w:val="single" w:sz="4" w:space="0" w:color="auto"/>
              <w:right w:val="single" w:sz="4" w:space="0" w:color="auto"/>
            </w:tcBorders>
            <w:shd w:val="clear" w:color="auto" w:fill="auto"/>
            <w:noWrap/>
            <w:vAlign w:val="center"/>
            <w:hideMark/>
          </w:tcPr>
          <w:p w14:paraId="142FF179"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c>
          <w:tcPr>
            <w:tcW w:w="876" w:type="dxa"/>
            <w:tcBorders>
              <w:top w:val="nil"/>
              <w:left w:val="nil"/>
              <w:bottom w:val="single" w:sz="4" w:space="0" w:color="auto"/>
              <w:right w:val="single" w:sz="8" w:space="0" w:color="auto"/>
            </w:tcBorders>
            <w:shd w:val="clear" w:color="auto" w:fill="auto"/>
            <w:noWrap/>
            <w:vAlign w:val="center"/>
            <w:hideMark/>
          </w:tcPr>
          <w:p w14:paraId="0E4F7C23"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c>
          <w:tcPr>
            <w:tcW w:w="900" w:type="dxa"/>
            <w:tcBorders>
              <w:top w:val="nil"/>
              <w:left w:val="single" w:sz="4" w:space="0" w:color="auto"/>
              <w:bottom w:val="single" w:sz="4" w:space="0" w:color="auto"/>
              <w:right w:val="single" w:sz="8" w:space="0" w:color="auto"/>
            </w:tcBorders>
            <w:shd w:val="clear" w:color="auto" w:fill="auto"/>
            <w:noWrap/>
            <w:vAlign w:val="center"/>
            <w:hideMark/>
          </w:tcPr>
          <w:p w14:paraId="1A5A01A4"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c>
          <w:tcPr>
            <w:tcW w:w="900" w:type="dxa"/>
            <w:tcBorders>
              <w:top w:val="nil"/>
              <w:left w:val="single" w:sz="4" w:space="0" w:color="auto"/>
              <w:bottom w:val="single" w:sz="4" w:space="0" w:color="auto"/>
              <w:right w:val="single" w:sz="8" w:space="0" w:color="auto"/>
            </w:tcBorders>
            <w:shd w:val="clear" w:color="auto" w:fill="auto"/>
            <w:noWrap/>
            <w:vAlign w:val="center"/>
            <w:hideMark/>
          </w:tcPr>
          <w:p w14:paraId="09FDA987"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r>
      <w:tr w:rsidR="00C76504" w:rsidRPr="002D07B8" w14:paraId="35F169C7" w14:textId="77777777" w:rsidTr="009132A7">
        <w:trPr>
          <w:trHeight w:val="310"/>
        </w:trPr>
        <w:tc>
          <w:tcPr>
            <w:tcW w:w="1890" w:type="dxa"/>
            <w:tcBorders>
              <w:top w:val="nil"/>
              <w:left w:val="single" w:sz="8" w:space="0" w:color="auto"/>
              <w:bottom w:val="single" w:sz="4" w:space="0" w:color="auto"/>
              <w:right w:val="single" w:sz="8" w:space="0" w:color="auto"/>
            </w:tcBorders>
            <w:shd w:val="clear" w:color="auto" w:fill="auto"/>
            <w:noWrap/>
            <w:hideMark/>
          </w:tcPr>
          <w:p w14:paraId="0E9EE3E3" w14:textId="3E81B4C0" w:rsidR="00C76504" w:rsidRPr="002D07B8" w:rsidRDefault="00C76504" w:rsidP="00C76504">
            <w:pPr>
              <w:rPr>
                <w:rFonts w:asciiTheme="minorHAnsi" w:hAnsiTheme="minorHAnsi" w:cstheme="minorHAnsi"/>
                <w:color w:val="000000"/>
                <w:szCs w:val="22"/>
              </w:rPr>
            </w:pPr>
            <w:r w:rsidRPr="002D07B8">
              <w:rPr>
                <w:rFonts w:asciiTheme="minorHAnsi" w:hAnsiTheme="minorHAnsi" w:cstheme="minorHAnsi"/>
                <w:b/>
              </w:rPr>
              <w:t>15 Rural Capital</w:t>
            </w:r>
          </w:p>
        </w:tc>
        <w:tc>
          <w:tcPr>
            <w:tcW w:w="136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0993EAE"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54.62%</w:t>
            </w:r>
          </w:p>
        </w:tc>
        <w:tc>
          <w:tcPr>
            <w:tcW w:w="129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2064A11"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58.58%</w:t>
            </w:r>
          </w:p>
        </w:tc>
        <w:tc>
          <w:tcPr>
            <w:tcW w:w="131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6543224"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56.47%</w:t>
            </w:r>
          </w:p>
        </w:tc>
        <w:tc>
          <w:tcPr>
            <w:tcW w:w="1290" w:type="dxa"/>
            <w:tcBorders>
              <w:top w:val="single" w:sz="4" w:space="0" w:color="auto"/>
              <w:left w:val="single" w:sz="4" w:space="0" w:color="auto"/>
              <w:bottom w:val="single" w:sz="4" w:space="0" w:color="auto"/>
              <w:right w:val="single" w:sz="8" w:space="0" w:color="auto"/>
            </w:tcBorders>
            <w:shd w:val="clear" w:color="000000" w:fill="A9D08E"/>
            <w:noWrap/>
            <w:vAlign w:val="center"/>
            <w:hideMark/>
          </w:tcPr>
          <w:p w14:paraId="37144464"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52.07%</w:t>
            </w:r>
          </w:p>
        </w:tc>
        <w:tc>
          <w:tcPr>
            <w:tcW w:w="804" w:type="dxa"/>
            <w:tcBorders>
              <w:top w:val="nil"/>
              <w:left w:val="nil"/>
              <w:bottom w:val="single" w:sz="4" w:space="0" w:color="auto"/>
              <w:right w:val="single" w:sz="4" w:space="0" w:color="auto"/>
            </w:tcBorders>
            <w:shd w:val="clear" w:color="auto" w:fill="auto"/>
            <w:noWrap/>
            <w:vAlign w:val="center"/>
            <w:hideMark/>
          </w:tcPr>
          <w:p w14:paraId="1F908017"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c>
          <w:tcPr>
            <w:tcW w:w="876" w:type="dxa"/>
            <w:tcBorders>
              <w:top w:val="nil"/>
              <w:left w:val="nil"/>
              <w:bottom w:val="single" w:sz="4" w:space="0" w:color="auto"/>
              <w:right w:val="single" w:sz="8" w:space="0" w:color="auto"/>
            </w:tcBorders>
            <w:shd w:val="clear" w:color="auto" w:fill="auto"/>
            <w:noWrap/>
            <w:vAlign w:val="center"/>
            <w:hideMark/>
          </w:tcPr>
          <w:p w14:paraId="058EC6BB"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c>
          <w:tcPr>
            <w:tcW w:w="900" w:type="dxa"/>
            <w:tcBorders>
              <w:top w:val="nil"/>
              <w:left w:val="single" w:sz="4" w:space="0" w:color="auto"/>
              <w:bottom w:val="single" w:sz="4" w:space="0" w:color="auto"/>
              <w:right w:val="single" w:sz="8" w:space="0" w:color="auto"/>
            </w:tcBorders>
            <w:shd w:val="clear" w:color="auto" w:fill="auto"/>
            <w:noWrap/>
            <w:vAlign w:val="center"/>
            <w:hideMark/>
          </w:tcPr>
          <w:p w14:paraId="516A9547"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c>
          <w:tcPr>
            <w:tcW w:w="900" w:type="dxa"/>
            <w:tcBorders>
              <w:top w:val="nil"/>
              <w:left w:val="single" w:sz="4" w:space="0" w:color="auto"/>
              <w:bottom w:val="single" w:sz="4" w:space="0" w:color="auto"/>
              <w:right w:val="single" w:sz="8" w:space="0" w:color="auto"/>
            </w:tcBorders>
            <w:shd w:val="clear" w:color="auto" w:fill="auto"/>
            <w:noWrap/>
            <w:vAlign w:val="center"/>
            <w:hideMark/>
          </w:tcPr>
          <w:p w14:paraId="00ED981E"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r>
      <w:tr w:rsidR="00C76504" w:rsidRPr="002D07B8" w14:paraId="3BBF2CB1" w14:textId="77777777" w:rsidTr="009132A7">
        <w:trPr>
          <w:trHeight w:val="310"/>
        </w:trPr>
        <w:tc>
          <w:tcPr>
            <w:tcW w:w="1890" w:type="dxa"/>
            <w:tcBorders>
              <w:top w:val="nil"/>
              <w:left w:val="single" w:sz="8" w:space="0" w:color="auto"/>
              <w:bottom w:val="single" w:sz="4" w:space="0" w:color="auto"/>
              <w:right w:val="single" w:sz="8" w:space="0" w:color="auto"/>
            </w:tcBorders>
            <w:shd w:val="clear" w:color="auto" w:fill="auto"/>
            <w:noWrap/>
            <w:hideMark/>
          </w:tcPr>
          <w:p w14:paraId="0973B796" w14:textId="4909845B" w:rsidR="00C76504" w:rsidRPr="002D07B8" w:rsidRDefault="00C76504" w:rsidP="00C76504">
            <w:pPr>
              <w:rPr>
                <w:rFonts w:asciiTheme="minorHAnsi" w:hAnsiTheme="minorHAnsi" w:cstheme="minorHAnsi"/>
                <w:color w:val="000000"/>
                <w:szCs w:val="22"/>
              </w:rPr>
            </w:pPr>
            <w:r w:rsidRPr="002D07B8">
              <w:rPr>
                <w:rFonts w:asciiTheme="minorHAnsi" w:hAnsiTheme="minorHAnsi" w:cstheme="minorHAnsi"/>
                <w:b/>
              </w:rPr>
              <w:t>16 Brazos Valley</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3756AE97"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37.28%</w:t>
            </w:r>
          </w:p>
        </w:tc>
        <w:tc>
          <w:tcPr>
            <w:tcW w:w="1290" w:type="dxa"/>
            <w:tcBorders>
              <w:top w:val="nil"/>
              <w:left w:val="nil"/>
              <w:bottom w:val="single" w:sz="4" w:space="0" w:color="auto"/>
              <w:right w:val="single" w:sz="4" w:space="0" w:color="auto"/>
            </w:tcBorders>
            <w:shd w:val="clear" w:color="auto" w:fill="auto"/>
            <w:noWrap/>
            <w:vAlign w:val="center"/>
            <w:hideMark/>
          </w:tcPr>
          <w:p w14:paraId="13749A12"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47.54%</w:t>
            </w:r>
          </w:p>
        </w:tc>
        <w:tc>
          <w:tcPr>
            <w:tcW w:w="1310" w:type="dxa"/>
            <w:tcBorders>
              <w:top w:val="nil"/>
              <w:left w:val="nil"/>
              <w:bottom w:val="single" w:sz="4" w:space="0" w:color="auto"/>
              <w:right w:val="single" w:sz="4" w:space="0" w:color="auto"/>
            </w:tcBorders>
            <w:shd w:val="clear" w:color="auto" w:fill="auto"/>
            <w:noWrap/>
            <w:vAlign w:val="center"/>
            <w:hideMark/>
          </w:tcPr>
          <w:p w14:paraId="7B475564"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48.64%</w:t>
            </w:r>
          </w:p>
        </w:tc>
        <w:tc>
          <w:tcPr>
            <w:tcW w:w="1290" w:type="dxa"/>
            <w:tcBorders>
              <w:top w:val="nil"/>
              <w:left w:val="nil"/>
              <w:bottom w:val="single" w:sz="4" w:space="0" w:color="auto"/>
              <w:right w:val="single" w:sz="8" w:space="0" w:color="auto"/>
            </w:tcBorders>
            <w:shd w:val="clear" w:color="auto" w:fill="auto"/>
            <w:noWrap/>
            <w:vAlign w:val="center"/>
            <w:hideMark/>
          </w:tcPr>
          <w:p w14:paraId="7AA3C7A6"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42.26%</w:t>
            </w:r>
          </w:p>
        </w:tc>
        <w:tc>
          <w:tcPr>
            <w:tcW w:w="804" w:type="dxa"/>
            <w:tcBorders>
              <w:top w:val="nil"/>
              <w:left w:val="nil"/>
              <w:bottom w:val="single" w:sz="4" w:space="0" w:color="auto"/>
              <w:right w:val="single" w:sz="4" w:space="0" w:color="auto"/>
            </w:tcBorders>
            <w:shd w:val="clear" w:color="000000" w:fill="FF9F9F"/>
            <w:noWrap/>
            <w:vAlign w:val="center"/>
            <w:hideMark/>
          </w:tcPr>
          <w:p w14:paraId="782F21EA" w14:textId="77777777" w:rsidR="00C76504" w:rsidRPr="002D07B8" w:rsidRDefault="00C76504" w:rsidP="009132A7">
            <w:pPr>
              <w:jc w:val="center"/>
              <w:rPr>
                <w:rFonts w:asciiTheme="minorHAnsi" w:hAnsiTheme="minorHAnsi" w:cstheme="minorHAnsi"/>
                <w:color w:val="000000"/>
                <w:szCs w:val="22"/>
                <w:u w:val="single"/>
              </w:rPr>
            </w:pPr>
            <w:r w:rsidRPr="002D07B8">
              <w:rPr>
                <w:rFonts w:asciiTheme="minorHAnsi" w:hAnsiTheme="minorHAnsi" w:cstheme="minorHAnsi"/>
                <w:color w:val="000000"/>
                <w:szCs w:val="22"/>
                <w:u w:val="single"/>
              </w:rPr>
              <w:t>41.6%</w:t>
            </w:r>
          </w:p>
        </w:tc>
        <w:tc>
          <w:tcPr>
            <w:tcW w:w="876" w:type="dxa"/>
            <w:tcBorders>
              <w:top w:val="nil"/>
              <w:left w:val="nil"/>
              <w:bottom w:val="single" w:sz="4" w:space="0" w:color="auto"/>
              <w:right w:val="single" w:sz="8" w:space="0" w:color="auto"/>
            </w:tcBorders>
            <w:shd w:val="clear" w:color="auto" w:fill="auto"/>
            <w:noWrap/>
            <w:vAlign w:val="center"/>
            <w:hideMark/>
          </w:tcPr>
          <w:p w14:paraId="4334FC87"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c>
          <w:tcPr>
            <w:tcW w:w="900" w:type="dxa"/>
            <w:tcBorders>
              <w:top w:val="nil"/>
              <w:left w:val="single" w:sz="4" w:space="0" w:color="auto"/>
              <w:bottom w:val="single" w:sz="4" w:space="0" w:color="auto"/>
              <w:right w:val="single" w:sz="8" w:space="0" w:color="auto"/>
            </w:tcBorders>
            <w:shd w:val="clear" w:color="auto" w:fill="auto"/>
            <w:noWrap/>
            <w:vAlign w:val="center"/>
            <w:hideMark/>
          </w:tcPr>
          <w:p w14:paraId="62C89DE2"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c>
          <w:tcPr>
            <w:tcW w:w="900" w:type="dxa"/>
            <w:tcBorders>
              <w:top w:val="nil"/>
              <w:left w:val="single" w:sz="4" w:space="0" w:color="auto"/>
              <w:bottom w:val="single" w:sz="4" w:space="0" w:color="auto"/>
              <w:right w:val="single" w:sz="8" w:space="0" w:color="auto"/>
            </w:tcBorders>
            <w:shd w:val="clear" w:color="auto" w:fill="auto"/>
            <w:noWrap/>
            <w:vAlign w:val="center"/>
            <w:hideMark/>
          </w:tcPr>
          <w:p w14:paraId="455DD4F2"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r>
      <w:tr w:rsidR="00C76504" w:rsidRPr="002D07B8" w14:paraId="27F318E5" w14:textId="77777777" w:rsidTr="009132A7">
        <w:trPr>
          <w:trHeight w:val="310"/>
        </w:trPr>
        <w:tc>
          <w:tcPr>
            <w:tcW w:w="1890" w:type="dxa"/>
            <w:tcBorders>
              <w:top w:val="nil"/>
              <w:left w:val="single" w:sz="8" w:space="0" w:color="auto"/>
              <w:bottom w:val="single" w:sz="4" w:space="0" w:color="auto"/>
              <w:right w:val="single" w:sz="8" w:space="0" w:color="auto"/>
            </w:tcBorders>
            <w:shd w:val="clear" w:color="auto" w:fill="auto"/>
            <w:noWrap/>
            <w:hideMark/>
          </w:tcPr>
          <w:p w14:paraId="302267E8" w14:textId="3B5CCDA9" w:rsidR="00C76504" w:rsidRPr="002D07B8" w:rsidRDefault="00C76504" w:rsidP="00C76504">
            <w:pPr>
              <w:rPr>
                <w:rFonts w:asciiTheme="minorHAnsi" w:hAnsiTheme="minorHAnsi" w:cstheme="minorHAnsi"/>
                <w:color w:val="000000"/>
                <w:szCs w:val="22"/>
              </w:rPr>
            </w:pPr>
            <w:r w:rsidRPr="002D07B8">
              <w:rPr>
                <w:rFonts w:asciiTheme="minorHAnsi" w:hAnsiTheme="minorHAnsi" w:cstheme="minorHAnsi"/>
                <w:b/>
              </w:rPr>
              <w:t>17 Deep East Texas</w:t>
            </w:r>
          </w:p>
        </w:tc>
        <w:tc>
          <w:tcPr>
            <w:tcW w:w="136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32F8EE72"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56.32%</w:t>
            </w:r>
          </w:p>
        </w:tc>
        <w:tc>
          <w:tcPr>
            <w:tcW w:w="129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2E069FA"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52.38%</w:t>
            </w:r>
          </w:p>
        </w:tc>
        <w:tc>
          <w:tcPr>
            <w:tcW w:w="1310" w:type="dxa"/>
            <w:tcBorders>
              <w:top w:val="nil"/>
              <w:left w:val="nil"/>
              <w:bottom w:val="single" w:sz="4" w:space="0" w:color="auto"/>
              <w:right w:val="single" w:sz="4" w:space="0" w:color="auto"/>
            </w:tcBorders>
            <w:shd w:val="clear" w:color="auto" w:fill="auto"/>
            <w:noWrap/>
            <w:vAlign w:val="center"/>
            <w:hideMark/>
          </w:tcPr>
          <w:p w14:paraId="464E5823"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40.57%</w:t>
            </w:r>
          </w:p>
        </w:tc>
        <w:tc>
          <w:tcPr>
            <w:tcW w:w="1290" w:type="dxa"/>
            <w:tcBorders>
              <w:top w:val="single" w:sz="4" w:space="0" w:color="auto"/>
              <w:left w:val="single" w:sz="4" w:space="0" w:color="auto"/>
              <w:bottom w:val="single" w:sz="4" w:space="0" w:color="auto"/>
              <w:right w:val="single" w:sz="8" w:space="0" w:color="auto"/>
            </w:tcBorders>
            <w:shd w:val="clear" w:color="000000" w:fill="A9D08E"/>
            <w:noWrap/>
            <w:vAlign w:val="center"/>
            <w:hideMark/>
          </w:tcPr>
          <w:p w14:paraId="46981905"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50.99%</w:t>
            </w:r>
          </w:p>
        </w:tc>
        <w:tc>
          <w:tcPr>
            <w:tcW w:w="804" w:type="dxa"/>
            <w:tcBorders>
              <w:top w:val="nil"/>
              <w:left w:val="nil"/>
              <w:bottom w:val="single" w:sz="4" w:space="0" w:color="auto"/>
              <w:right w:val="single" w:sz="4" w:space="0" w:color="auto"/>
            </w:tcBorders>
            <w:shd w:val="clear" w:color="auto" w:fill="auto"/>
            <w:noWrap/>
            <w:vAlign w:val="center"/>
            <w:hideMark/>
          </w:tcPr>
          <w:p w14:paraId="5404BAA5"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c>
          <w:tcPr>
            <w:tcW w:w="876" w:type="dxa"/>
            <w:tcBorders>
              <w:top w:val="single" w:sz="4" w:space="0" w:color="auto"/>
              <w:left w:val="single" w:sz="8" w:space="0" w:color="auto"/>
              <w:bottom w:val="single" w:sz="4" w:space="0" w:color="auto"/>
              <w:right w:val="single" w:sz="8" w:space="0" w:color="auto"/>
            </w:tcBorders>
            <w:shd w:val="clear" w:color="000000" w:fill="AEAAAA"/>
            <w:noWrap/>
            <w:vAlign w:val="center"/>
            <w:hideMark/>
          </w:tcPr>
          <w:p w14:paraId="54792003"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46.2%</w:t>
            </w:r>
          </w:p>
        </w:tc>
        <w:tc>
          <w:tcPr>
            <w:tcW w:w="900" w:type="dxa"/>
            <w:tcBorders>
              <w:top w:val="nil"/>
              <w:left w:val="single" w:sz="4" w:space="0" w:color="auto"/>
              <w:bottom w:val="single" w:sz="4" w:space="0" w:color="auto"/>
              <w:right w:val="single" w:sz="8" w:space="0" w:color="auto"/>
            </w:tcBorders>
            <w:shd w:val="clear" w:color="auto" w:fill="auto"/>
            <w:noWrap/>
            <w:vAlign w:val="center"/>
            <w:hideMark/>
          </w:tcPr>
          <w:p w14:paraId="45CDE549"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c>
          <w:tcPr>
            <w:tcW w:w="900" w:type="dxa"/>
            <w:tcBorders>
              <w:top w:val="nil"/>
              <w:left w:val="single" w:sz="4" w:space="0" w:color="auto"/>
              <w:bottom w:val="single" w:sz="4" w:space="0" w:color="auto"/>
              <w:right w:val="single" w:sz="8" w:space="0" w:color="auto"/>
            </w:tcBorders>
            <w:shd w:val="clear" w:color="auto" w:fill="auto"/>
            <w:noWrap/>
            <w:vAlign w:val="center"/>
            <w:hideMark/>
          </w:tcPr>
          <w:p w14:paraId="06E20554"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r>
      <w:tr w:rsidR="00C76504" w:rsidRPr="002D07B8" w14:paraId="45AEE918" w14:textId="77777777" w:rsidTr="009132A7">
        <w:trPr>
          <w:trHeight w:val="310"/>
        </w:trPr>
        <w:tc>
          <w:tcPr>
            <w:tcW w:w="1890" w:type="dxa"/>
            <w:tcBorders>
              <w:top w:val="nil"/>
              <w:left w:val="single" w:sz="8" w:space="0" w:color="auto"/>
              <w:bottom w:val="single" w:sz="4" w:space="0" w:color="auto"/>
              <w:right w:val="single" w:sz="8" w:space="0" w:color="auto"/>
            </w:tcBorders>
            <w:shd w:val="clear" w:color="auto" w:fill="auto"/>
            <w:noWrap/>
            <w:hideMark/>
          </w:tcPr>
          <w:p w14:paraId="340ED791" w14:textId="349EA00E" w:rsidR="00C76504" w:rsidRPr="002D07B8" w:rsidRDefault="00C76504" w:rsidP="00C76504">
            <w:pPr>
              <w:rPr>
                <w:rFonts w:asciiTheme="minorHAnsi" w:hAnsiTheme="minorHAnsi" w:cstheme="minorHAnsi"/>
                <w:color w:val="000000"/>
                <w:szCs w:val="22"/>
              </w:rPr>
            </w:pPr>
            <w:r w:rsidRPr="002D07B8">
              <w:rPr>
                <w:rFonts w:asciiTheme="minorHAnsi" w:hAnsiTheme="minorHAnsi" w:cstheme="minorHAnsi"/>
                <w:b/>
              </w:rPr>
              <w:t>18 Southeast Texas</w:t>
            </w:r>
          </w:p>
        </w:tc>
        <w:tc>
          <w:tcPr>
            <w:tcW w:w="136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3870AF5E"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51.72%</w:t>
            </w:r>
          </w:p>
        </w:tc>
        <w:tc>
          <w:tcPr>
            <w:tcW w:w="129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6046CE2"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50.04%</w:t>
            </w:r>
          </w:p>
        </w:tc>
        <w:tc>
          <w:tcPr>
            <w:tcW w:w="1310" w:type="dxa"/>
            <w:tcBorders>
              <w:top w:val="nil"/>
              <w:left w:val="nil"/>
              <w:bottom w:val="single" w:sz="4" w:space="0" w:color="auto"/>
              <w:right w:val="single" w:sz="4" w:space="0" w:color="auto"/>
            </w:tcBorders>
            <w:shd w:val="clear" w:color="auto" w:fill="auto"/>
            <w:noWrap/>
            <w:vAlign w:val="center"/>
            <w:hideMark/>
          </w:tcPr>
          <w:p w14:paraId="02D1FBBD"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44.81%</w:t>
            </w:r>
          </w:p>
        </w:tc>
        <w:tc>
          <w:tcPr>
            <w:tcW w:w="1290" w:type="dxa"/>
            <w:tcBorders>
              <w:top w:val="single" w:sz="4" w:space="0" w:color="auto"/>
              <w:left w:val="single" w:sz="4" w:space="0" w:color="auto"/>
              <w:bottom w:val="single" w:sz="4" w:space="0" w:color="auto"/>
              <w:right w:val="single" w:sz="8" w:space="0" w:color="auto"/>
            </w:tcBorders>
            <w:shd w:val="clear" w:color="000000" w:fill="A9D08E"/>
            <w:noWrap/>
            <w:vAlign w:val="center"/>
            <w:hideMark/>
          </w:tcPr>
          <w:p w14:paraId="4CB328C6"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52.50%</w:t>
            </w:r>
          </w:p>
        </w:tc>
        <w:tc>
          <w:tcPr>
            <w:tcW w:w="804" w:type="dxa"/>
            <w:tcBorders>
              <w:top w:val="nil"/>
              <w:left w:val="nil"/>
              <w:bottom w:val="single" w:sz="4" w:space="0" w:color="auto"/>
              <w:right w:val="single" w:sz="4" w:space="0" w:color="auto"/>
            </w:tcBorders>
            <w:shd w:val="clear" w:color="auto" w:fill="auto"/>
            <w:noWrap/>
            <w:vAlign w:val="center"/>
            <w:hideMark/>
          </w:tcPr>
          <w:p w14:paraId="103006BB"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c>
          <w:tcPr>
            <w:tcW w:w="876" w:type="dxa"/>
            <w:tcBorders>
              <w:top w:val="nil"/>
              <w:left w:val="single" w:sz="8" w:space="0" w:color="auto"/>
              <w:bottom w:val="single" w:sz="4" w:space="0" w:color="auto"/>
              <w:right w:val="single" w:sz="8" w:space="0" w:color="auto"/>
            </w:tcBorders>
            <w:shd w:val="clear" w:color="000000" w:fill="AEAAAA"/>
            <w:noWrap/>
            <w:vAlign w:val="center"/>
            <w:hideMark/>
          </w:tcPr>
          <w:p w14:paraId="1D7EF366"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46.5%</w:t>
            </w:r>
          </w:p>
        </w:tc>
        <w:tc>
          <w:tcPr>
            <w:tcW w:w="900" w:type="dxa"/>
            <w:tcBorders>
              <w:top w:val="nil"/>
              <w:left w:val="single" w:sz="4" w:space="0" w:color="auto"/>
              <w:bottom w:val="single" w:sz="4" w:space="0" w:color="auto"/>
              <w:right w:val="single" w:sz="8" w:space="0" w:color="auto"/>
            </w:tcBorders>
            <w:shd w:val="clear" w:color="auto" w:fill="auto"/>
            <w:noWrap/>
            <w:vAlign w:val="center"/>
            <w:hideMark/>
          </w:tcPr>
          <w:p w14:paraId="2A4C6420"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c>
          <w:tcPr>
            <w:tcW w:w="900" w:type="dxa"/>
            <w:tcBorders>
              <w:top w:val="nil"/>
              <w:left w:val="single" w:sz="4" w:space="0" w:color="auto"/>
              <w:bottom w:val="single" w:sz="4" w:space="0" w:color="auto"/>
              <w:right w:val="single" w:sz="8" w:space="0" w:color="auto"/>
            </w:tcBorders>
            <w:shd w:val="clear" w:color="auto" w:fill="auto"/>
            <w:noWrap/>
            <w:vAlign w:val="center"/>
            <w:hideMark/>
          </w:tcPr>
          <w:p w14:paraId="4FA9F1D2"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r>
      <w:tr w:rsidR="00C76504" w:rsidRPr="002D07B8" w14:paraId="66070098" w14:textId="77777777" w:rsidTr="009132A7">
        <w:trPr>
          <w:trHeight w:val="310"/>
        </w:trPr>
        <w:tc>
          <w:tcPr>
            <w:tcW w:w="1890" w:type="dxa"/>
            <w:tcBorders>
              <w:top w:val="nil"/>
              <w:left w:val="single" w:sz="8" w:space="0" w:color="auto"/>
              <w:bottom w:val="single" w:sz="4" w:space="0" w:color="auto"/>
              <w:right w:val="single" w:sz="8" w:space="0" w:color="auto"/>
            </w:tcBorders>
            <w:shd w:val="clear" w:color="auto" w:fill="auto"/>
            <w:noWrap/>
            <w:hideMark/>
          </w:tcPr>
          <w:p w14:paraId="62311575" w14:textId="7504D675" w:rsidR="00C76504" w:rsidRPr="002D07B8" w:rsidRDefault="00C76504" w:rsidP="00C76504">
            <w:pPr>
              <w:rPr>
                <w:rFonts w:asciiTheme="minorHAnsi" w:hAnsiTheme="minorHAnsi" w:cstheme="minorHAnsi"/>
                <w:color w:val="000000"/>
                <w:szCs w:val="22"/>
              </w:rPr>
            </w:pPr>
            <w:r w:rsidRPr="002D07B8">
              <w:rPr>
                <w:rFonts w:asciiTheme="minorHAnsi" w:hAnsiTheme="minorHAnsi" w:cstheme="minorHAnsi"/>
                <w:b/>
              </w:rPr>
              <w:t>19 Golden Crescent</w:t>
            </w:r>
          </w:p>
        </w:tc>
        <w:tc>
          <w:tcPr>
            <w:tcW w:w="136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0111E3F"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71.39%</w:t>
            </w:r>
          </w:p>
        </w:tc>
        <w:tc>
          <w:tcPr>
            <w:tcW w:w="129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BC20A36"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63.83%</w:t>
            </w:r>
          </w:p>
        </w:tc>
        <w:tc>
          <w:tcPr>
            <w:tcW w:w="131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E0EA3B7"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67.68%</w:t>
            </w:r>
          </w:p>
        </w:tc>
        <w:tc>
          <w:tcPr>
            <w:tcW w:w="1290" w:type="dxa"/>
            <w:tcBorders>
              <w:top w:val="single" w:sz="4" w:space="0" w:color="auto"/>
              <w:left w:val="single" w:sz="4" w:space="0" w:color="auto"/>
              <w:bottom w:val="single" w:sz="4" w:space="0" w:color="auto"/>
              <w:right w:val="single" w:sz="8" w:space="0" w:color="auto"/>
            </w:tcBorders>
            <w:shd w:val="clear" w:color="000000" w:fill="A9D08E"/>
            <w:noWrap/>
            <w:vAlign w:val="center"/>
            <w:hideMark/>
          </w:tcPr>
          <w:p w14:paraId="72AB851C"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64.60%</w:t>
            </w:r>
          </w:p>
        </w:tc>
        <w:tc>
          <w:tcPr>
            <w:tcW w:w="804" w:type="dxa"/>
            <w:tcBorders>
              <w:top w:val="nil"/>
              <w:left w:val="nil"/>
              <w:bottom w:val="single" w:sz="4" w:space="0" w:color="auto"/>
              <w:right w:val="single" w:sz="4" w:space="0" w:color="auto"/>
            </w:tcBorders>
            <w:shd w:val="clear" w:color="auto" w:fill="auto"/>
            <w:noWrap/>
            <w:vAlign w:val="center"/>
            <w:hideMark/>
          </w:tcPr>
          <w:p w14:paraId="391E7703"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c>
          <w:tcPr>
            <w:tcW w:w="876" w:type="dxa"/>
            <w:tcBorders>
              <w:top w:val="single" w:sz="4" w:space="0" w:color="auto"/>
              <w:left w:val="nil"/>
              <w:bottom w:val="single" w:sz="4" w:space="0" w:color="auto"/>
              <w:right w:val="single" w:sz="8" w:space="0" w:color="auto"/>
            </w:tcBorders>
            <w:shd w:val="clear" w:color="auto" w:fill="auto"/>
            <w:noWrap/>
            <w:vAlign w:val="center"/>
            <w:hideMark/>
          </w:tcPr>
          <w:p w14:paraId="60C88109"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c>
          <w:tcPr>
            <w:tcW w:w="900" w:type="dxa"/>
            <w:tcBorders>
              <w:top w:val="nil"/>
              <w:left w:val="single" w:sz="4" w:space="0" w:color="auto"/>
              <w:bottom w:val="single" w:sz="4" w:space="0" w:color="auto"/>
              <w:right w:val="single" w:sz="8" w:space="0" w:color="auto"/>
            </w:tcBorders>
            <w:shd w:val="clear" w:color="auto" w:fill="auto"/>
            <w:noWrap/>
            <w:vAlign w:val="center"/>
            <w:hideMark/>
          </w:tcPr>
          <w:p w14:paraId="070B1309"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c>
          <w:tcPr>
            <w:tcW w:w="900" w:type="dxa"/>
            <w:tcBorders>
              <w:top w:val="nil"/>
              <w:left w:val="single" w:sz="4" w:space="0" w:color="auto"/>
              <w:bottom w:val="single" w:sz="4" w:space="0" w:color="auto"/>
              <w:right w:val="single" w:sz="8" w:space="0" w:color="auto"/>
            </w:tcBorders>
            <w:shd w:val="clear" w:color="auto" w:fill="auto"/>
            <w:noWrap/>
            <w:vAlign w:val="center"/>
            <w:hideMark/>
          </w:tcPr>
          <w:p w14:paraId="4EE5EECD"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r>
      <w:tr w:rsidR="00C76504" w:rsidRPr="002D07B8" w14:paraId="3C40D404" w14:textId="77777777" w:rsidTr="009132A7">
        <w:trPr>
          <w:trHeight w:val="310"/>
        </w:trPr>
        <w:tc>
          <w:tcPr>
            <w:tcW w:w="1890" w:type="dxa"/>
            <w:tcBorders>
              <w:top w:val="nil"/>
              <w:left w:val="single" w:sz="8" w:space="0" w:color="auto"/>
              <w:bottom w:val="single" w:sz="4" w:space="0" w:color="auto"/>
              <w:right w:val="single" w:sz="8" w:space="0" w:color="auto"/>
            </w:tcBorders>
            <w:shd w:val="clear" w:color="auto" w:fill="auto"/>
            <w:noWrap/>
            <w:hideMark/>
          </w:tcPr>
          <w:p w14:paraId="35AEA40E" w14:textId="15EF50E8" w:rsidR="00C76504" w:rsidRPr="002D07B8" w:rsidRDefault="00C76504" w:rsidP="00C76504">
            <w:pPr>
              <w:rPr>
                <w:rFonts w:asciiTheme="minorHAnsi" w:hAnsiTheme="minorHAnsi" w:cstheme="minorHAnsi"/>
                <w:color w:val="000000"/>
                <w:szCs w:val="22"/>
              </w:rPr>
            </w:pPr>
            <w:r w:rsidRPr="002D07B8">
              <w:rPr>
                <w:rFonts w:asciiTheme="minorHAnsi" w:hAnsiTheme="minorHAnsi" w:cstheme="minorHAnsi"/>
                <w:b/>
              </w:rPr>
              <w:t>20 Alamo Area</w:t>
            </w:r>
          </w:p>
        </w:tc>
        <w:tc>
          <w:tcPr>
            <w:tcW w:w="136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7D888F4"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60.82%</w:t>
            </w:r>
          </w:p>
        </w:tc>
        <w:tc>
          <w:tcPr>
            <w:tcW w:w="129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90AA048"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63.13%</w:t>
            </w:r>
          </w:p>
        </w:tc>
        <w:tc>
          <w:tcPr>
            <w:tcW w:w="131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7B3A101"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62.31%</w:t>
            </w:r>
          </w:p>
        </w:tc>
        <w:tc>
          <w:tcPr>
            <w:tcW w:w="1290" w:type="dxa"/>
            <w:tcBorders>
              <w:top w:val="single" w:sz="4" w:space="0" w:color="auto"/>
              <w:left w:val="single" w:sz="4" w:space="0" w:color="auto"/>
              <w:bottom w:val="single" w:sz="4" w:space="0" w:color="auto"/>
              <w:right w:val="single" w:sz="8" w:space="0" w:color="auto"/>
            </w:tcBorders>
            <w:shd w:val="clear" w:color="000000" w:fill="A9D08E"/>
            <w:noWrap/>
            <w:vAlign w:val="center"/>
            <w:hideMark/>
          </w:tcPr>
          <w:p w14:paraId="51347BB4"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65.15%</w:t>
            </w:r>
          </w:p>
        </w:tc>
        <w:tc>
          <w:tcPr>
            <w:tcW w:w="804" w:type="dxa"/>
            <w:tcBorders>
              <w:top w:val="nil"/>
              <w:left w:val="nil"/>
              <w:bottom w:val="single" w:sz="4" w:space="0" w:color="auto"/>
              <w:right w:val="single" w:sz="4" w:space="0" w:color="auto"/>
            </w:tcBorders>
            <w:shd w:val="clear" w:color="auto" w:fill="auto"/>
            <w:noWrap/>
            <w:vAlign w:val="center"/>
            <w:hideMark/>
          </w:tcPr>
          <w:p w14:paraId="657A8826"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c>
          <w:tcPr>
            <w:tcW w:w="876" w:type="dxa"/>
            <w:tcBorders>
              <w:top w:val="nil"/>
              <w:left w:val="nil"/>
              <w:bottom w:val="single" w:sz="4" w:space="0" w:color="auto"/>
              <w:right w:val="single" w:sz="8" w:space="0" w:color="auto"/>
            </w:tcBorders>
            <w:shd w:val="clear" w:color="auto" w:fill="auto"/>
            <w:noWrap/>
            <w:vAlign w:val="center"/>
            <w:hideMark/>
          </w:tcPr>
          <w:p w14:paraId="28C5F8E4"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c>
          <w:tcPr>
            <w:tcW w:w="900" w:type="dxa"/>
            <w:tcBorders>
              <w:top w:val="nil"/>
              <w:left w:val="single" w:sz="4" w:space="0" w:color="auto"/>
              <w:bottom w:val="single" w:sz="4" w:space="0" w:color="auto"/>
              <w:right w:val="single" w:sz="8" w:space="0" w:color="auto"/>
            </w:tcBorders>
            <w:shd w:val="clear" w:color="auto" w:fill="auto"/>
            <w:noWrap/>
            <w:vAlign w:val="center"/>
            <w:hideMark/>
          </w:tcPr>
          <w:p w14:paraId="4DEA098F"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c>
          <w:tcPr>
            <w:tcW w:w="900" w:type="dxa"/>
            <w:tcBorders>
              <w:top w:val="nil"/>
              <w:left w:val="single" w:sz="4" w:space="0" w:color="auto"/>
              <w:bottom w:val="single" w:sz="4" w:space="0" w:color="auto"/>
              <w:right w:val="single" w:sz="8" w:space="0" w:color="auto"/>
            </w:tcBorders>
            <w:shd w:val="clear" w:color="auto" w:fill="auto"/>
            <w:noWrap/>
            <w:vAlign w:val="center"/>
            <w:hideMark/>
          </w:tcPr>
          <w:p w14:paraId="267D9EC6"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r>
      <w:tr w:rsidR="00C76504" w:rsidRPr="002D07B8" w14:paraId="7872C6B0" w14:textId="77777777" w:rsidTr="009132A7">
        <w:trPr>
          <w:trHeight w:val="310"/>
        </w:trPr>
        <w:tc>
          <w:tcPr>
            <w:tcW w:w="1890" w:type="dxa"/>
            <w:tcBorders>
              <w:top w:val="nil"/>
              <w:left w:val="single" w:sz="8" w:space="0" w:color="auto"/>
              <w:bottom w:val="single" w:sz="4" w:space="0" w:color="auto"/>
              <w:right w:val="single" w:sz="8" w:space="0" w:color="auto"/>
            </w:tcBorders>
            <w:shd w:val="clear" w:color="auto" w:fill="auto"/>
            <w:noWrap/>
            <w:hideMark/>
          </w:tcPr>
          <w:p w14:paraId="1E127F3D" w14:textId="1F35C192" w:rsidR="00C76504" w:rsidRPr="002D07B8" w:rsidRDefault="00C76504" w:rsidP="00C76504">
            <w:pPr>
              <w:rPr>
                <w:rFonts w:asciiTheme="minorHAnsi" w:hAnsiTheme="minorHAnsi" w:cstheme="minorHAnsi"/>
                <w:color w:val="000000"/>
                <w:szCs w:val="22"/>
              </w:rPr>
            </w:pPr>
            <w:r w:rsidRPr="002D07B8">
              <w:rPr>
                <w:rFonts w:asciiTheme="minorHAnsi" w:hAnsiTheme="minorHAnsi" w:cstheme="minorHAnsi"/>
                <w:b/>
              </w:rPr>
              <w:t>21 South Texas</w:t>
            </w:r>
          </w:p>
        </w:tc>
        <w:tc>
          <w:tcPr>
            <w:tcW w:w="136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6A7FC36"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51.76%</w:t>
            </w:r>
          </w:p>
        </w:tc>
        <w:tc>
          <w:tcPr>
            <w:tcW w:w="129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35836E2C"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55.41%</w:t>
            </w:r>
          </w:p>
        </w:tc>
        <w:tc>
          <w:tcPr>
            <w:tcW w:w="131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E265D90"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52.70%</w:t>
            </w:r>
          </w:p>
        </w:tc>
        <w:tc>
          <w:tcPr>
            <w:tcW w:w="1290" w:type="dxa"/>
            <w:tcBorders>
              <w:top w:val="single" w:sz="4" w:space="0" w:color="auto"/>
              <w:left w:val="single" w:sz="4" w:space="0" w:color="auto"/>
              <w:bottom w:val="single" w:sz="4" w:space="0" w:color="auto"/>
              <w:right w:val="single" w:sz="8" w:space="0" w:color="auto"/>
            </w:tcBorders>
            <w:shd w:val="clear" w:color="000000" w:fill="A9D08E"/>
            <w:noWrap/>
            <w:vAlign w:val="center"/>
            <w:hideMark/>
          </w:tcPr>
          <w:p w14:paraId="70E00D0A"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57.53%</w:t>
            </w:r>
          </w:p>
        </w:tc>
        <w:tc>
          <w:tcPr>
            <w:tcW w:w="804" w:type="dxa"/>
            <w:tcBorders>
              <w:top w:val="nil"/>
              <w:left w:val="nil"/>
              <w:bottom w:val="single" w:sz="4" w:space="0" w:color="auto"/>
              <w:right w:val="single" w:sz="4" w:space="0" w:color="auto"/>
            </w:tcBorders>
            <w:shd w:val="clear" w:color="auto" w:fill="auto"/>
            <w:noWrap/>
            <w:vAlign w:val="center"/>
            <w:hideMark/>
          </w:tcPr>
          <w:p w14:paraId="5E612D85"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c>
          <w:tcPr>
            <w:tcW w:w="876" w:type="dxa"/>
            <w:tcBorders>
              <w:top w:val="nil"/>
              <w:left w:val="nil"/>
              <w:bottom w:val="single" w:sz="4" w:space="0" w:color="auto"/>
              <w:right w:val="single" w:sz="8" w:space="0" w:color="auto"/>
            </w:tcBorders>
            <w:shd w:val="clear" w:color="auto" w:fill="auto"/>
            <w:noWrap/>
            <w:vAlign w:val="center"/>
            <w:hideMark/>
          </w:tcPr>
          <w:p w14:paraId="511C2EF1"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c>
          <w:tcPr>
            <w:tcW w:w="900" w:type="dxa"/>
            <w:tcBorders>
              <w:top w:val="nil"/>
              <w:left w:val="single" w:sz="4" w:space="0" w:color="auto"/>
              <w:bottom w:val="single" w:sz="4" w:space="0" w:color="auto"/>
              <w:right w:val="single" w:sz="8" w:space="0" w:color="auto"/>
            </w:tcBorders>
            <w:shd w:val="clear" w:color="auto" w:fill="auto"/>
            <w:noWrap/>
            <w:vAlign w:val="center"/>
            <w:hideMark/>
          </w:tcPr>
          <w:p w14:paraId="4141B568"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c>
          <w:tcPr>
            <w:tcW w:w="900" w:type="dxa"/>
            <w:tcBorders>
              <w:top w:val="nil"/>
              <w:left w:val="single" w:sz="4" w:space="0" w:color="auto"/>
              <w:bottom w:val="single" w:sz="4" w:space="0" w:color="auto"/>
              <w:right w:val="single" w:sz="8" w:space="0" w:color="auto"/>
            </w:tcBorders>
            <w:shd w:val="clear" w:color="auto" w:fill="auto"/>
            <w:noWrap/>
            <w:vAlign w:val="center"/>
            <w:hideMark/>
          </w:tcPr>
          <w:p w14:paraId="10D9392A"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r>
      <w:tr w:rsidR="00C76504" w:rsidRPr="002D07B8" w14:paraId="2FA13DC8" w14:textId="77777777" w:rsidTr="009132A7">
        <w:trPr>
          <w:trHeight w:val="310"/>
        </w:trPr>
        <w:tc>
          <w:tcPr>
            <w:tcW w:w="1890" w:type="dxa"/>
            <w:tcBorders>
              <w:top w:val="nil"/>
              <w:left w:val="single" w:sz="8" w:space="0" w:color="auto"/>
              <w:bottom w:val="single" w:sz="4" w:space="0" w:color="auto"/>
              <w:right w:val="single" w:sz="8" w:space="0" w:color="auto"/>
            </w:tcBorders>
            <w:shd w:val="clear" w:color="auto" w:fill="auto"/>
            <w:noWrap/>
            <w:hideMark/>
          </w:tcPr>
          <w:p w14:paraId="663D443F" w14:textId="4C6D57AE" w:rsidR="00C76504" w:rsidRPr="002D07B8" w:rsidRDefault="00C76504" w:rsidP="00C76504">
            <w:pPr>
              <w:rPr>
                <w:rFonts w:asciiTheme="minorHAnsi" w:hAnsiTheme="minorHAnsi" w:cstheme="minorHAnsi"/>
                <w:color w:val="000000"/>
                <w:szCs w:val="22"/>
              </w:rPr>
            </w:pPr>
            <w:r w:rsidRPr="002D07B8">
              <w:rPr>
                <w:rFonts w:asciiTheme="minorHAnsi" w:hAnsiTheme="minorHAnsi" w:cstheme="minorHAnsi"/>
                <w:b/>
              </w:rPr>
              <w:t>22 Coastal Bend</w:t>
            </w:r>
          </w:p>
        </w:tc>
        <w:tc>
          <w:tcPr>
            <w:tcW w:w="136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7701DE5"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56.33%</w:t>
            </w:r>
          </w:p>
        </w:tc>
        <w:tc>
          <w:tcPr>
            <w:tcW w:w="129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337C172"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51.46%</w:t>
            </w:r>
          </w:p>
        </w:tc>
        <w:tc>
          <w:tcPr>
            <w:tcW w:w="131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D04F16F"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53.80%</w:t>
            </w:r>
          </w:p>
        </w:tc>
        <w:tc>
          <w:tcPr>
            <w:tcW w:w="1290" w:type="dxa"/>
            <w:tcBorders>
              <w:top w:val="single" w:sz="4" w:space="0" w:color="auto"/>
              <w:left w:val="single" w:sz="4" w:space="0" w:color="auto"/>
              <w:bottom w:val="single" w:sz="4" w:space="0" w:color="auto"/>
              <w:right w:val="single" w:sz="8" w:space="0" w:color="auto"/>
            </w:tcBorders>
            <w:shd w:val="clear" w:color="000000" w:fill="A9D08E"/>
            <w:noWrap/>
            <w:vAlign w:val="center"/>
            <w:hideMark/>
          </w:tcPr>
          <w:p w14:paraId="11AED997"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60.84%</w:t>
            </w:r>
          </w:p>
        </w:tc>
        <w:tc>
          <w:tcPr>
            <w:tcW w:w="804" w:type="dxa"/>
            <w:tcBorders>
              <w:top w:val="nil"/>
              <w:left w:val="nil"/>
              <w:bottom w:val="single" w:sz="4" w:space="0" w:color="auto"/>
              <w:right w:val="single" w:sz="4" w:space="0" w:color="auto"/>
            </w:tcBorders>
            <w:shd w:val="clear" w:color="auto" w:fill="auto"/>
            <w:noWrap/>
            <w:vAlign w:val="center"/>
            <w:hideMark/>
          </w:tcPr>
          <w:p w14:paraId="7BDE2B0B"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c>
          <w:tcPr>
            <w:tcW w:w="876" w:type="dxa"/>
            <w:tcBorders>
              <w:top w:val="nil"/>
              <w:left w:val="nil"/>
              <w:bottom w:val="single" w:sz="4" w:space="0" w:color="auto"/>
              <w:right w:val="single" w:sz="8" w:space="0" w:color="auto"/>
            </w:tcBorders>
            <w:shd w:val="clear" w:color="auto" w:fill="auto"/>
            <w:noWrap/>
            <w:vAlign w:val="center"/>
            <w:hideMark/>
          </w:tcPr>
          <w:p w14:paraId="1526349B"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c>
          <w:tcPr>
            <w:tcW w:w="900" w:type="dxa"/>
            <w:tcBorders>
              <w:top w:val="nil"/>
              <w:left w:val="single" w:sz="4" w:space="0" w:color="auto"/>
              <w:bottom w:val="single" w:sz="4" w:space="0" w:color="auto"/>
              <w:right w:val="single" w:sz="8" w:space="0" w:color="auto"/>
            </w:tcBorders>
            <w:shd w:val="clear" w:color="auto" w:fill="auto"/>
            <w:noWrap/>
            <w:vAlign w:val="center"/>
            <w:hideMark/>
          </w:tcPr>
          <w:p w14:paraId="75BCD3E1"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c>
          <w:tcPr>
            <w:tcW w:w="900" w:type="dxa"/>
            <w:tcBorders>
              <w:top w:val="nil"/>
              <w:left w:val="single" w:sz="4" w:space="0" w:color="auto"/>
              <w:bottom w:val="single" w:sz="4" w:space="0" w:color="auto"/>
              <w:right w:val="single" w:sz="8" w:space="0" w:color="auto"/>
            </w:tcBorders>
            <w:shd w:val="clear" w:color="auto" w:fill="auto"/>
            <w:noWrap/>
            <w:vAlign w:val="center"/>
            <w:hideMark/>
          </w:tcPr>
          <w:p w14:paraId="68195A11"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r>
      <w:tr w:rsidR="00C76504" w:rsidRPr="002D07B8" w14:paraId="1AF92B93" w14:textId="77777777" w:rsidTr="009132A7">
        <w:trPr>
          <w:trHeight w:val="310"/>
        </w:trPr>
        <w:tc>
          <w:tcPr>
            <w:tcW w:w="1890" w:type="dxa"/>
            <w:tcBorders>
              <w:top w:val="nil"/>
              <w:left w:val="single" w:sz="8" w:space="0" w:color="auto"/>
              <w:bottom w:val="single" w:sz="4" w:space="0" w:color="auto"/>
              <w:right w:val="single" w:sz="8" w:space="0" w:color="auto"/>
            </w:tcBorders>
            <w:shd w:val="clear" w:color="auto" w:fill="auto"/>
            <w:noWrap/>
            <w:hideMark/>
          </w:tcPr>
          <w:p w14:paraId="57CBE1F2" w14:textId="636F6CA7" w:rsidR="00C76504" w:rsidRPr="002D07B8" w:rsidRDefault="00C76504" w:rsidP="00C76504">
            <w:pPr>
              <w:rPr>
                <w:rFonts w:asciiTheme="minorHAnsi" w:hAnsiTheme="minorHAnsi" w:cstheme="minorHAnsi"/>
                <w:color w:val="000000"/>
                <w:szCs w:val="22"/>
              </w:rPr>
            </w:pPr>
            <w:r w:rsidRPr="002D07B8">
              <w:rPr>
                <w:rFonts w:asciiTheme="minorHAnsi" w:hAnsiTheme="minorHAnsi" w:cstheme="minorHAnsi"/>
                <w:b/>
              </w:rPr>
              <w:t>23 Lower Rio Grande</w:t>
            </w:r>
          </w:p>
        </w:tc>
        <w:tc>
          <w:tcPr>
            <w:tcW w:w="136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3A7D4E9"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67.27%</w:t>
            </w:r>
          </w:p>
        </w:tc>
        <w:tc>
          <w:tcPr>
            <w:tcW w:w="129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89FB9E0"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62.91%</w:t>
            </w:r>
          </w:p>
        </w:tc>
        <w:tc>
          <w:tcPr>
            <w:tcW w:w="131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2AA87F0"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64.78%</w:t>
            </w:r>
          </w:p>
        </w:tc>
        <w:tc>
          <w:tcPr>
            <w:tcW w:w="1290" w:type="dxa"/>
            <w:tcBorders>
              <w:top w:val="single" w:sz="4" w:space="0" w:color="auto"/>
              <w:left w:val="single" w:sz="4" w:space="0" w:color="auto"/>
              <w:bottom w:val="single" w:sz="4" w:space="0" w:color="auto"/>
              <w:right w:val="single" w:sz="8" w:space="0" w:color="auto"/>
            </w:tcBorders>
            <w:shd w:val="clear" w:color="000000" w:fill="A9D08E"/>
            <w:noWrap/>
            <w:vAlign w:val="center"/>
            <w:hideMark/>
          </w:tcPr>
          <w:p w14:paraId="232DD98E"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58.13%</w:t>
            </w:r>
          </w:p>
        </w:tc>
        <w:tc>
          <w:tcPr>
            <w:tcW w:w="804" w:type="dxa"/>
            <w:tcBorders>
              <w:top w:val="nil"/>
              <w:left w:val="nil"/>
              <w:bottom w:val="single" w:sz="4" w:space="0" w:color="auto"/>
              <w:right w:val="single" w:sz="4" w:space="0" w:color="auto"/>
            </w:tcBorders>
            <w:shd w:val="clear" w:color="auto" w:fill="auto"/>
            <w:noWrap/>
            <w:vAlign w:val="center"/>
            <w:hideMark/>
          </w:tcPr>
          <w:p w14:paraId="30FFEE7C"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c>
          <w:tcPr>
            <w:tcW w:w="876" w:type="dxa"/>
            <w:tcBorders>
              <w:top w:val="nil"/>
              <w:left w:val="nil"/>
              <w:bottom w:val="single" w:sz="4" w:space="0" w:color="auto"/>
              <w:right w:val="single" w:sz="8" w:space="0" w:color="auto"/>
            </w:tcBorders>
            <w:shd w:val="clear" w:color="auto" w:fill="auto"/>
            <w:noWrap/>
            <w:vAlign w:val="center"/>
            <w:hideMark/>
          </w:tcPr>
          <w:p w14:paraId="656CD2FA"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c>
          <w:tcPr>
            <w:tcW w:w="900" w:type="dxa"/>
            <w:tcBorders>
              <w:top w:val="nil"/>
              <w:left w:val="single" w:sz="4" w:space="0" w:color="auto"/>
              <w:bottom w:val="single" w:sz="4" w:space="0" w:color="auto"/>
              <w:right w:val="single" w:sz="8" w:space="0" w:color="auto"/>
            </w:tcBorders>
            <w:shd w:val="clear" w:color="auto" w:fill="auto"/>
            <w:noWrap/>
            <w:vAlign w:val="center"/>
            <w:hideMark/>
          </w:tcPr>
          <w:p w14:paraId="1AE6A90C"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c>
          <w:tcPr>
            <w:tcW w:w="900" w:type="dxa"/>
            <w:tcBorders>
              <w:top w:val="nil"/>
              <w:left w:val="single" w:sz="4" w:space="0" w:color="auto"/>
              <w:bottom w:val="single" w:sz="4" w:space="0" w:color="auto"/>
              <w:right w:val="single" w:sz="8" w:space="0" w:color="auto"/>
            </w:tcBorders>
            <w:shd w:val="clear" w:color="auto" w:fill="auto"/>
            <w:noWrap/>
            <w:vAlign w:val="center"/>
            <w:hideMark/>
          </w:tcPr>
          <w:p w14:paraId="1DEFFE3D"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r>
      <w:tr w:rsidR="00C76504" w:rsidRPr="002D07B8" w14:paraId="4C0FF11C" w14:textId="77777777" w:rsidTr="009132A7">
        <w:trPr>
          <w:trHeight w:val="310"/>
        </w:trPr>
        <w:tc>
          <w:tcPr>
            <w:tcW w:w="1890" w:type="dxa"/>
            <w:tcBorders>
              <w:top w:val="nil"/>
              <w:left w:val="single" w:sz="8" w:space="0" w:color="auto"/>
              <w:bottom w:val="single" w:sz="4" w:space="0" w:color="auto"/>
              <w:right w:val="single" w:sz="8" w:space="0" w:color="auto"/>
            </w:tcBorders>
            <w:shd w:val="clear" w:color="auto" w:fill="auto"/>
            <w:noWrap/>
            <w:hideMark/>
          </w:tcPr>
          <w:p w14:paraId="64096FD5" w14:textId="01856B74" w:rsidR="00C76504" w:rsidRPr="002D07B8" w:rsidRDefault="00C76504" w:rsidP="00C76504">
            <w:pPr>
              <w:rPr>
                <w:rFonts w:asciiTheme="minorHAnsi" w:hAnsiTheme="minorHAnsi" w:cstheme="minorHAnsi"/>
                <w:color w:val="000000"/>
                <w:szCs w:val="22"/>
              </w:rPr>
            </w:pPr>
            <w:r w:rsidRPr="002D07B8">
              <w:rPr>
                <w:rFonts w:asciiTheme="minorHAnsi" w:hAnsiTheme="minorHAnsi" w:cstheme="minorHAnsi"/>
                <w:b/>
              </w:rPr>
              <w:t>24 Cameron County</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59141884"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47.35%</w:t>
            </w:r>
          </w:p>
        </w:tc>
        <w:tc>
          <w:tcPr>
            <w:tcW w:w="129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2FD6D7F"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51.59%</w:t>
            </w:r>
          </w:p>
        </w:tc>
        <w:tc>
          <w:tcPr>
            <w:tcW w:w="1310" w:type="dxa"/>
            <w:tcBorders>
              <w:top w:val="nil"/>
              <w:left w:val="nil"/>
              <w:bottom w:val="single" w:sz="4" w:space="0" w:color="auto"/>
              <w:right w:val="single" w:sz="4" w:space="0" w:color="auto"/>
            </w:tcBorders>
            <w:shd w:val="clear" w:color="auto" w:fill="auto"/>
            <w:noWrap/>
            <w:vAlign w:val="center"/>
            <w:hideMark/>
          </w:tcPr>
          <w:p w14:paraId="7F5E9067"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48.22%</w:t>
            </w:r>
          </w:p>
        </w:tc>
        <w:tc>
          <w:tcPr>
            <w:tcW w:w="1290" w:type="dxa"/>
            <w:tcBorders>
              <w:top w:val="nil"/>
              <w:left w:val="nil"/>
              <w:bottom w:val="single" w:sz="4" w:space="0" w:color="auto"/>
              <w:right w:val="single" w:sz="8" w:space="0" w:color="auto"/>
            </w:tcBorders>
            <w:shd w:val="clear" w:color="auto" w:fill="auto"/>
            <w:noWrap/>
            <w:vAlign w:val="center"/>
            <w:hideMark/>
          </w:tcPr>
          <w:p w14:paraId="69D6B594"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49.66%</w:t>
            </w:r>
          </w:p>
        </w:tc>
        <w:tc>
          <w:tcPr>
            <w:tcW w:w="804" w:type="dxa"/>
            <w:tcBorders>
              <w:top w:val="nil"/>
              <w:left w:val="nil"/>
              <w:bottom w:val="single" w:sz="4" w:space="0" w:color="auto"/>
              <w:right w:val="single" w:sz="4" w:space="0" w:color="auto"/>
            </w:tcBorders>
            <w:shd w:val="clear" w:color="auto" w:fill="auto"/>
            <w:noWrap/>
            <w:vAlign w:val="center"/>
            <w:hideMark/>
          </w:tcPr>
          <w:p w14:paraId="6D00D9D6"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c>
          <w:tcPr>
            <w:tcW w:w="876" w:type="dxa"/>
            <w:tcBorders>
              <w:top w:val="nil"/>
              <w:left w:val="nil"/>
              <w:bottom w:val="single" w:sz="4" w:space="0" w:color="auto"/>
              <w:right w:val="single" w:sz="8" w:space="0" w:color="auto"/>
            </w:tcBorders>
            <w:shd w:val="clear" w:color="auto" w:fill="auto"/>
            <w:noWrap/>
            <w:vAlign w:val="center"/>
            <w:hideMark/>
          </w:tcPr>
          <w:p w14:paraId="54B1D63C"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c>
          <w:tcPr>
            <w:tcW w:w="900" w:type="dxa"/>
            <w:tcBorders>
              <w:top w:val="nil"/>
              <w:left w:val="single" w:sz="4" w:space="0" w:color="auto"/>
              <w:bottom w:val="single" w:sz="4" w:space="0" w:color="auto"/>
              <w:right w:val="single" w:sz="8" w:space="0" w:color="auto"/>
            </w:tcBorders>
            <w:shd w:val="clear" w:color="auto" w:fill="auto"/>
            <w:noWrap/>
            <w:vAlign w:val="center"/>
            <w:hideMark/>
          </w:tcPr>
          <w:p w14:paraId="4574A06D"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c>
          <w:tcPr>
            <w:tcW w:w="900" w:type="dxa"/>
            <w:tcBorders>
              <w:top w:val="nil"/>
              <w:left w:val="single" w:sz="4" w:space="0" w:color="auto"/>
              <w:bottom w:val="single" w:sz="4" w:space="0" w:color="auto"/>
              <w:right w:val="single" w:sz="8" w:space="0" w:color="auto"/>
            </w:tcBorders>
            <w:shd w:val="clear" w:color="auto" w:fill="auto"/>
            <w:noWrap/>
            <w:vAlign w:val="center"/>
            <w:hideMark/>
          </w:tcPr>
          <w:p w14:paraId="263B4D44"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r>
      <w:tr w:rsidR="00C76504" w:rsidRPr="002D07B8" w14:paraId="6B51DC10" w14:textId="77777777" w:rsidTr="009132A7">
        <w:trPr>
          <w:trHeight w:val="310"/>
        </w:trPr>
        <w:tc>
          <w:tcPr>
            <w:tcW w:w="1890" w:type="dxa"/>
            <w:tcBorders>
              <w:top w:val="nil"/>
              <w:left w:val="single" w:sz="8" w:space="0" w:color="auto"/>
              <w:bottom w:val="single" w:sz="4" w:space="0" w:color="auto"/>
              <w:right w:val="single" w:sz="8" w:space="0" w:color="auto"/>
            </w:tcBorders>
            <w:shd w:val="clear" w:color="auto" w:fill="auto"/>
            <w:noWrap/>
            <w:hideMark/>
          </w:tcPr>
          <w:p w14:paraId="1AA19CFC" w14:textId="71E1EF3A" w:rsidR="00C76504" w:rsidRPr="002D07B8" w:rsidRDefault="00C76504" w:rsidP="00C76504">
            <w:pPr>
              <w:rPr>
                <w:rFonts w:asciiTheme="minorHAnsi" w:hAnsiTheme="minorHAnsi" w:cstheme="minorHAnsi"/>
                <w:color w:val="000000"/>
                <w:szCs w:val="22"/>
              </w:rPr>
            </w:pPr>
            <w:r w:rsidRPr="002D07B8">
              <w:rPr>
                <w:rFonts w:asciiTheme="minorHAnsi" w:hAnsiTheme="minorHAnsi" w:cstheme="minorHAnsi"/>
                <w:b/>
              </w:rPr>
              <w:t>25 Texoma</w:t>
            </w:r>
          </w:p>
        </w:tc>
        <w:tc>
          <w:tcPr>
            <w:tcW w:w="136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51032E8"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53.47%</w:t>
            </w:r>
          </w:p>
        </w:tc>
        <w:tc>
          <w:tcPr>
            <w:tcW w:w="129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97DD370"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67.66%</w:t>
            </w:r>
          </w:p>
        </w:tc>
        <w:tc>
          <w:tcPr>
            <w:tcW w:w="131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B252B69"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66.71%</w:t>
            </w:r>
          </w:p>
        </w:tc>
        <w:tc>
          <w:tcPr>
            <w:tcW w:w="1290" w:type="dxa"/>
            <w:tcBorders>
              <w:top w:val="single" w:sz="4" w:space="0" w:color="auto"/>
              <w:left w:val="single" w:sz="4" w:space="0" w:color="auto"/>
              <w:bottom w:val="single" w:sz="4" w:space="0" w:color="auto"/>
              <w:right w:val="single" w:sz="8" w:space="0" w:color="auto"/>
            </w:tcBorders>
            <w:shd w:val="clear" w:color="000000" w:fill="A9D08E"/>
            <w:noWrap/>
            <w:vAlign w:val="center"/>
            <w:hideMark/>
          </w:tcPr>
          <w:p w14:paraId="2BFF05B5"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58.04%</w:t>
            </w:r>
          </w:p>
        </w:tc>
        <w:tc>
          <w:tcPr>
            <w:tcW w:w="804" w:type="dxa"/>
            <w:tcBorders>
              <w:top w:val="nil"/>
              <w:left w:val="nil"/>
              <w:bottom w:val="single" w:sz="4" w:space="0" w:color="auto"/>
              <w:right w:val="single" w:sz="4" w:space="0" w:color="auto"/>
            </w:tcBorders>
            <w:shd w:val="clear" w:color="auto" w:fill="auto"/>
            <w:noWrap/>
            <w:vAlign w:val="center"/>
            <w:hideMark/>
          </w:tcPr>
          <w:p w14:paraId="718AAAD2"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c>
          <w:tcPr>
            <w:tcW w:w="876" w:type="dxa"/>
            <w:tcBorders>
              <w:top w:val="nil"/>
              <w:left w:val="nil"/>
              <w:bottom w:val="single" w:sz="4" w:space="0" w:color="auto"/>
              <w:right w:val="single" w:sz="8" w:space="0" w:color="auto"/>
            </w:tcBorders>
            <w:shd w:val="clear" w:color="auto" w:fill="auto"/>
            <w:noWrap/>
            <w:vAlign w:val="center"/>
            <w:hideMark/>
          </w:tcPr>
          <w:p w14:paraId="6FC831B9"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c>
          <w:tcPr>
            <w:tcW w:w="900" w:type="dxa"/>
            <w:tcBorders>
              <w:top w:val="nil"/>
              <w:left w:val="single" w:sz="4" w:space="0" w:color="auto"/>
              <w:bottom w:val="single" w:sz="4" w:space="0" w:color="auto"/>
              <w:right w:val="single" w:sz="8" w:space="0" w:color="auto"/>
            </w:tcBorders>
            <w:shd w:val="clear" w:color="auto" w:fill="auto"/>
            <w:noWrap/>
            <w:vAlign w:val="center"/>
            <w:hideMark/>
          </w:tcPr>
          <w:p w14:paraId="6E2874B9"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c>
          <w:tcPr>
            <w:tcW w:w="900" w:type="dxa"/>
            <w:tcBorders>
              <w:top w:val="nil"/>
              <w:left w:val="single" w:sz="4" w:space="0" w:color="auto"/>
              <w:bottom w:val="single" w:sz="4" w:space="0" w:color="auto"/>
              <w:right w:val="single" w:sz="8" w:space="0" w:color="auto"/>
            </w:tcBorders>
            <w:shd w:val="clear" w:color="auto" w:fill="auto"/>
            <w:noWrap/>
            <w:vAlign w:val="center"/>
            <w:hideMark/>
          </w:tcPr>
          <w:p w14:paraId="2112DA6A"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r>
      <w:tr w:rsidR="00C76504" w:rsidRPr="002D07B8" w14:paraId="24F4BDC8" w14:textId="77777777" w:rsidTr="009132A7">
        <w:trPr>
          <w:trHeight w:val="310"/>
        </w:trPr>
        <w:tc>
          <w:tcPr>
            <w:tcW w:w="1890" w:type="dxa"/>
            <w:tcBorders>
              <w:top w:val="nil"/>
              <w:left w:val="single" w:sz="8" w:space="0" w:color="auto"/>
              <w:bottom w:val="single" w:sz="4" w:space="0" w:color="auto"/>
              <w:right w:val="single" w:sz="8" w:space="0" w:color="auto"/>
            </w:tcBorders>
            <w:shd w:val="clear" w:color="auto" w:fill="auto"/>
            <w:noWrap/>
            <w:hideMark/>
          </w:tcPr>
          <w:p w14:paraId="3E743D8F" w14:textId="2F8FABC9" w:rsidR="00C76504" w:rsidRPr="002D07B8" w:rsidRDefault="00C76504" w:rsidP="00C76504">
            <w:pPr>
              <w:rPr>
                <w:rFonts w:asciiTheme="minorHAnsi" w:hAnsiTheme="minorHAnsi" w:cstheme="minorHAnsi"/>
                <w:color w:val="000000"/>
                <w:szCs w:val="22"/>
              </w:rPr>
            </w:pPr>
            <w:r w:rsidRPr="002D07B8">
              <w:rPr>
                <w:rFonts w:asciiTheme="minorHAnsi" w:hAnsiTheme="minorHAnsi" w:cstheme="minorHAnsi"/>
                <w:b/>
              </w:rPr>
              <w:t>26 Central Texas</w:t>
            </w:r>
          </w:p>
        </w:tc>
        <w:tc>
          <w:tcPr>
            <w:tcW w:w="136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C6A7896"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60.75%</w:t>
            </w:r>
          </w:p>
        </w:tc>
        <w:tc>
          <w:tcPr>
            <w:tcW w:w="129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BA0B99A"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56.33%</w:t>
            </w:r>
          </w:p>
        </w:tc>
        <w:tc>
          <w:tcPr>
            <w:tcW w:w="131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FFD421C"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60.95%</w:t>
            </w:r>
          </w:p>
        </w:tc>
        <w:tc>
          <w:tcPr>
            <w:tcW w:w="1290" w:type="dxa"/>
            <w:tcBorders>
              <w:top w:val="single" w:sz="4" w:space="0" w:color="auto"/>
              <w:left w:val="single" w:sz="4" w:space="0" w:color="auto"/>
              <w:bottom w:val="single" w:sz="4" w:space="0" w:color="auto"/>
              <w:right w:val="single" w:sz="8" w:space="0" w:color="auto"/>
            </w:tcBorders>
            <w:shd w:val="clear" w:color="000000" w:fill="A9D08E"/>
            <w:noWrap/>
            <w:vAlign w:val="center"/>
            <w:hideMark/>
          </w:tcPr>
          <w:p w14:paraId="01DDD4B6"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60.40%</w:t>
            </w:r>
          </w:p>
        </w:tc>
        <w:tc>
          <w:tcPr>
            <w:tcW w:w="804" w:type="dxa"/>
            <w:tcBorders>
              <w:top w:val="nil"/>
              <w:left w:val="nil"/>
              <w:bottom w:val="single" w:sz="4" w:space="0" w:color="auto"/>
              <w:right w:val="single" w:sz="4" w:space="0" w:color="auto"/>
            </w:tcBorders>
            <w:shd w:val="clear" w:color="auto" w:fill="auto"/>
            <w:noWrap/>
            <w:vAlign w:val="center"/>
            <w:hideMark/>
          </w:tcPr>
          <w:p w14:paraId="363607DC"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c>
          <w:tcPr>
            <w:tcW w:w="876" w:type="dxa"/>
            <w:tcBorders>
              <w:top w:val="nil"/>
              <w:left w:val="nil"/>
              <w:bottom w:val="single" w:sz="4" w:space="0" w:color="auto"/>
              <w:right w:val="single" w:sz="8" w:space="0" w:color="auto"/>
            </w:tcBorders>
            <w:shd w:val="clear" w:color="auto" w:fill="auto"/>
            <w:noWrap/>
            <w:vAlign w:val="center"/>
            <w:hideMark/>
          </w:tcPr>
          <w:p w14:paraId="51D8502D"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c>
          <w:tcPr>
            <w:tcW w:w="900" w:type="dxa"/>
            <w:tcBorders>
              <w:top w:val="nil"/>
              <w:left w:val="single" w:sz="4" w:space="0" w:color="auto"/>
              <w:bottom w:val="single" w:sz="4" w:space="0" w:color="auto"/>
              <w:right w:val="single" w:sz="8" w:space="0" w:color="auto"/>
            </w:tcBorders>
            <w:shd w:val="clear" w:color="auto" w:fill="auto"/>
            <w:noWrap/>
            <w:vAlign w:val="center"/>
            <w:hideMark/>
          </w:tcPr>
          <w:p w14:paraId="7288A33D"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c>
          <w:tcPr>
            <w:tcW w:w="900" w:type="dxa"/>
            <w:tcBorders>
              <w:top w:val="nil"/>
              <w:left w:val="single" w:sz="4" w:space="0" w:color="auto"/>
              <w:bottom w:val="single" w:sz="4" w:space="0" w:color="auto"/>
              <w:right w:val="single" w:sz="8" w:space="0" w:color="auto"/>
            </w:tcBorders>
            <w:shd w:val="clear" w:color="auto" w:fill="auto"/>
            <w:noWrap/>
            <w:vAlign w:val="center"/>
            <w:hideMark/>
          </w:tcPr>
          <w:p w14:paraId="7EEB53A4"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r>
      <w:tr w:rsidR="00C76504" w:rsidRPr="002D07B8" w14:paraId="74F17396" w14:textId="77777777" w:rsidTr="009132A7">
        <w:trPr>
          <w:trHeight w:val="310"/>
        </w:trPr>
        <w:tc>
          <w:tcPr>
            <w:tcW w:w="1890" w:type="dxa"/>
            <w:tcBorders>
              <w:top w:val="nil"/>
              <w:left w:val="single" w:sz="8" w:space="0" w:color="auto"/>
              <w:bottom w:val="single" w:sz="4" w:space="0" w:color="auto"/>
              <w:right w:val="single" w:sz="8" w:space="0" w:color="auto"/>
            </w:tcBorders>
            <w:shd w:val="clear" w:color="auto" w:fill="auto"/>
            <w:noWrap/>
            <w:hideMark/>
          </w:tcPr>
          <w:p w14:paraId="5C21573B" w14:textId="58138B30" w:rsidR="00C76504" w:rsidRPr="002D07B8" w:rsidRDefault="00C76504" w:rsidP="00C76504">
            <w:pPr>
              <w:rPr>
                <w:rFonts w:asciiTheme="minorHAnsi" w:hAnsiTheme="minorHAnsi" w:cstheme="minorHAnsi"/>
                <w:color w:val="000000"/>
                <w:szCs w:val="22"/>
              </w:rPr>
            </w:pPr>
            <w:r w:rsidRPr="002D07B8">
              <w:rPr>
                <w:rFonts w:asciiTheme="minorHAnsi" w:hAnsiTheme="minorHAnsi" w:cstheme="minorHAnsi"/>
                <w:b/>
              </w:rPr>
              <w:t>27 Middle Rio Grande</w:t>
            </w:r>
          </w:p>
        </w:tc>
        <w:tc>
          <w:tcPr>
            <w:tcW w:w="136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61C4768"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50.22%</w:t>
            </w:r>
          </w:p>
        </w:tc>
        <w:tc>
          <w:tcPr>
            <w:tcW w:w="129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5EC1383"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54.06%</w:t>
            </w:r>
          </w:p>
        </w:tc>
        <w:tc>
          <w:tcPr>
            <w:tcW w:w="131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CB53AF1"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54.12%</w:t>
            </w:r>
          </w:p>
        </w:tc>
        <w:tc>
          <w:tcPr>
            <w:tcW w:w="1290" w:type="dxa"/>
            <w:tcBorders>
              <w:top w:val="single" w:sz="4" w:space="0" w:color="auto"/>
              <w:left w:val="single" w:sz="4" w:space="0" w:color="auto"/>
              <w:bottom w:val="single" w:sz="4" w:space="0" w:color="auto"/>
              <w:right w:val="single" w:sz="8" w:space="0" w:color="auto"/>
            </w:tcBorders>
            <w:shd w:val="clear" w:color="000000" w:fill="A9D08E"/>
            <w:noWrap/>
            <w:vAlign w:val="center"/>
            <w:hideMark/>
          </w:tcPr>
          <w:p w14:paraId="5FA30BC9"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52.69%</w:t>
            </w:r>
          </w:p>
        </w:tc>
        <w:tc>
          <w:tcPr>
            <w:tcW w:w="804" w:type="dxa"/>
            <w:tcBorders>
              <w:top w:val="nil"/>
              <w:left w:val="nil"/>
              <w:bottom w:val="single" w:sz="4" w:space="0" w:color="auto"/>
              <w:right w:val="single" w:sz="4" w:space="0" w:color="auto"/>
            </w:tcBorders>
            <w:shd w:val="clear" w:color="auto" w:fill="auto"/>
            <w:noWrap/>
            <w:vAlign w:val="center"/>
            <w:hideMark/>
          </w:tcPr>
          <w:p w14:paraId="0D080EDD"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c>
          <w:tcPr>
            <w:tcW w:w="876" w:type="dxa"/>
            <w:tcBorders>
              <w:top w:val="nil"/>
              <w:left w:val="nil"/>
              <w:bottom w:val="single" w:sz="4" w:space="0" w:color="auto"/>
              <w:right w:val="single" w:sz="8" w:space="0" w:color="auto"/>
            </w:tcBorders>
            <w:shd w:val="clear" w:color="auto" w:fill="auto"/>
            <w:noWrap/>
            <w:vAlign w:val="center"/>
            <w:hideMark/>
          </w:tcPr>
          <w:p w14:paraId="092EFCE5"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c>
          <w:tcPr>
            <w:tcW w:w="900" w:type="dxa"/>
            <w:tcBorders>
              <w:top w:val="nil"/>
              <w:left w:val="single" w:sz="4" w:space="0" w:color="auto"/>
              <w:bottom w:val="single" w:sz="4" w:space="0" w:color="auto"/>
              <w:right w:val="single" w:sz="8" w:space="0" w:color="auto"/>
            </w:tcBorders>
            <w:shd w:val="clear" w:color="auto" w:fill="auto"/>
            <w:noWrap/>
            <w:vAlign w:val="center"/>
            <w:hideMark/>
          </w:tcPr>
          <w:p w14:paraId="6AA8910A"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c>
          <w:tcPr>
            <w:tcW w:w="900" w:type="dxa"/>
            <w:tcBorders>
              <w:top w:val="nil"/>
              <w:left w:val="single" w:sz="4" w:space="0" w:color="auto"/>
              <w:bottom w:val="single" w:sz="4" w:space="0" w:color="auto"/>
              <w:right w:val="single" w:sz="8" w:space="0" w:color="auto"/>
            </w:tcBorders>
            <w:shd w:val="clear" w:color="auto" w:fill="auto"/>
            <w:noWrap/>
            <w:vAlign w:val="center"/>
            <w:hideMark/>
          </w:tcPr>
          <w:p w14:paraId="5FD12125"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r>
      <w:tr w:rsidR="00C76504" w:rsidRPr="002D07B8" w14:paraId="0970D583" w14:textId="77777777" w:rsidTr="009132A7">
        <w:trPr>
          <w:trHeight w:val="320"/>
        </w:trPr>
        <w:tc>
          <w:tcPr>
            <w:tcW w:w="1890" w:type="dxa"/>
            <w:tcBorders>
              <w:top w:val="nil"/>
              <w:left w:val="single" w:sz="8" w:space="0" w:color="auto"/>
              <w:bottom w:val="nil"/>
              <w:right w:val="single" w:sz="8" w:space="0" w:color="auto"/>
            </w:tcBorders>
            <w:shd w:val="clear" w:color="auto" w:fill="auto"/>
            <w:noWrap/>
            <w:hideMark/>
          </w:tcPr>
          <w:p w14:paraId="6DEC37F4" w14:textId="37A7988F" w:rsidR="00C76504" w:rsidRPr="002D07B8" w:rsidRDefault="00C76504" w:rsidP="00C76504">
            <w:pPr>
              <w:rPr>
                <w:rFonts w:asciiTheme="minorHAnsi" w:hAnsiTheme="minorHAnsi" w:cstheme="minorHAnsi"/>
                <w:color w:val="000000"/>
                <w:szCs w:val="22"/>
              </w:rPr>
            </w:pPr>
            <w:r w:rsidRPr="002D07B8">
              <w:rPr>
                <w:rFonts w:asciiTheme="minorHAnsi" w:hAnsiTheme="minorHAnsi" w:cstheme="minorHAnsi"/>
                <w:b/>
              </w:rPr>
              <w:t>28 Gulf Coast</w:t>
            </w:r>
          </w:p>
        </w:tc>
        <w:tc>
          <w:tcPr>
            <w:tcW w:w="1360" w:type="dxa"/>
            <w:tcBorders>
              <w:top w:val="nil"/>
              <w:left w:val="single" w:sz="4" w:space="0" w:color="auto"/>
              <w:bottom w:val="nil"/>
              <w:right w:val="single" w:sz="4" w:space="0" w:color="auto"/>
            </w:tcBorders>
            <w:shd w:val="clear" w:color="auto" w:fill="auto"/>
            <w:noWrap/>
            <w:vAlign w:val="center"/>
            <w:hideMark/>
          </w:tcPr>
          <w:p w14:paraId="1A2B6C3A"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47.07%</w:t>
            </w:r>
          </w:p>
        </w:tc>
        <w:tc>
          <w:tcPr>
            <w:tcW w:w="1290" w:type="dxa"/>
            <w:tcBorders>
              <w:top w:val="nil"/>
              <w:left w:val="nil"/>
              <w:bottom w:val="nil"/>
              <w:right w:val="single" w:sz="4" w:space="0" w:color="auto"/>
            </w:tcBorders>
            <w:shd w:val="clear" w:color="auto" w:fill="auto"/>
            <w:noWrap/>
            <w:vAlign w:val="center"/>
            <w:hideMark/>
          </w:tcPr>
          <w:p w14:paraId="0EE3A5CB"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49.85%</w:t>
            </w:r>
          </w:p>
        </w:tc>
        <w:tc>
          <w:tcPr>
            <w:tcW w:w="1310" w:type="dxa"/>
            <w:tcBorders>
              <w:top w:val="nil"/>
              <w:left w:val="nil"/>
              <w:bottom w:val="nil"/>
              <w:right w:val="single" w:sz="4" w:space="0" w:color="auto"/>
            </w:tcBorders>
            <w:shd w:val="clear" w:color="auto" w:fill="auto"/>
            <w:noWrap/>
            <w:vAlign w:val="center"/>
            <w:hideMark/>
          </w:tcPr>
          <w:p w14:paraId="4E5C237A"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43.35%</w:t>
            </w:r>
          </w:p>
        </w:tc>
        <w:tc>
          <w:tcPr>
            <w:tcW w:w="1290" w:type="dxa"/>
            <w:tcBorders>
              <w:top w:val="single" w:sz="4" w:space="0" w:color="auto"/>
              <w:left w:val="single" w:sz="4" w:space="0" w:color="auto"/>
              <w:bottom w:val="nil"/>
              <w:right w:val="single" w:sz="8" w:space="0" w:color="auto"/>
            </w:tcBorders>
            <w:shd w:val="clear" w:color="000000" w:fill="A9D08E"/>
            <w:noWrap/>
            <w:vAlign w:val="center"/>
            <w:hideMark/>
          </w:tcPr>
          <w:p w14:paraId="3FC9EB24"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50.42%</w:t>
            </w:r>
          </w:p>
        </w:tc>
        <w:tc>
          <w:tcPr>
            <w:tcW w:w="804" w:type="dxa"/>
            <w:tcBorders>
              <w:top w:val="nil"/>
              <w:left w:val="nil"/>
              <w:bottom w:val="single" w:sz="8" w:space="0" w:color="auto"/>
              <w:right w:val="nil"/>
            </w:tcBorders>
            <w:shd w:val="clear" w:color="auto" w:fill="auto"/>
            <w:noWrap/>
            <w:vAlign w:val="center"/>
            <w:hideMark/>
          </w:tcPr>
          <w:p w14:paraId="404EAC87"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c>
          <w:tcPr>
            <w:tcW w:w="876" w:type="dxa"/>
            <w:tcBorders>
              <w:top w:val="nil"/>
              <w:left w:val="nil"/>
              <w:bottom w:val="single" w:sz="8" w:space="0" w:color="auto"/>
              <w:right w:val="single" w:sz="8" w:space="0" w:color="auto"/>
            </w:tcBorders>
            <w:shd w:val="clear" w:color="000000" w:fill="AEAAAA"/>
            <w:noWrap/>
            <w:vAlign w:val="center"/>
            <w:hideMark/>
          </w:tcPr>
          <w:p w14:paraId="253D98D4"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46.2%</w:t>
            </w:r>
          </w:p>
        </w:tc>
        <w:tc>
          <w:tcPr>
            <w:tcW w:w="900" w:type="dxa"/>
            <w:tcBorders>
              <w:top w:val="nil"/>
              <w:left w:val="single" w:sz="4" w:space="0" w:color="auto"/>
              <w:bottom w:val="nil"/>
              <w:right w:val="single" w:sz="8" w:space="0" w:color="auto"/>
            </w:tcBorders>
            <w:shd w:val="clear" w:color="auto" w:fill="auto"/>
            <w:noWrap/>
            <w:vAlign w:val="center"/>
            <w:hideMark/>
          </w:tcPr>
          <w:p w14:paraId="471CB211"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c>
          <w:tcPr>
            <w:tcW w:w="900" w:type="dxa"/>
            <w:tcBorders>
              <w:top w:val="nil"/>
              <w:left w:val="single" w:sz="4" w:space="0" w:color="auto"/>
              <w:bottom w:val="nil"/>
              <w:right w:val="single" w:sz="8" w:space="0" w:color="auto"/>
            </w:tcBorders>
            <w:shd w:val="clear" w:color="auto" w:fill="auto"/>
            <w:noWrap/>
            <w:vAlign w:val="center"/>
            <w:hideMark/>
          </w:tcPr>
          <w:p w14:paraId="32E800BB"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r>
      <w:tr w:rsidR="00C76504" w:rsidRPr="002D07B8" w14:paraId="3BB3CD19" w14:textId="77777777" w:rsidTr="009132A7">
        <w:trPr>
          <w:trHeight w:val="320"/>
        </w:trPr>
        <w:tc>
          <w:tcPr>
            <w:tcW w:w="18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BBB252" w14:textId="5F0652E9" w:rsidR="00C76504" w:rsidRPr="002D07B8" w:rsidRDefault="00C76504" w:rsidP="00C76504">
            <w:pPr>
              <w:rPr>
                <w:rFonts w:asciiTheme="minorHAnsi" w:hAnsiTheme="minorHAnsi" w:cstheme="minorHAnsi"/>
                <w:color w:val="000000"/>
                <w:szCs w:val="22"/>
              </w:rPr>
            </w:pPr>
            <w:r w:rsidRPr="002D07B8">
              <w:rPr>
                <w:rFonts w:asciiTheme="minorHAnsi" w:hAnsiTheme="minorHAnsi" w:cstheme="minorHAnsi"/>
                <w:b/>
                <w:color w:val="000000"/>
                <w:szCs w:val="22"/>
              </w:rPr>
              <w:t>29 System</w:t>
            </w:r>
          </w:p>
        </w:tc>
        <w:tc>
          <w:tcPr>
            <w:tcW w:w="1360" w:type="dxa"/>
            <w:tcBorders>
              <w:top w:val="single" w:sz="8" w:space="0" w:color="auto"/>
              <w:left w:val="single" w:sz="4" w:space="0" w:color="auto"/>
              <w:bottom w:val="single" w:sz="8" w:space="0" w:color="auto"/>
              <w:right w:val="single" w:sz="4" w:space="0" w:color="auto"/>
            </w:tcBorders>
            <w:shd w:val="clear" w:color="000000" w:fill="A9D08E"/>
            <w:noWrap/>
            <w:vAlign w:val="center"/>
            <w:hideMark/>
          </w:tcPr>
          <w:p w14:paraId="63B4C250"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51.40%</w:t>
            </w:r>
          </w:p>
        </w:tc>
        <w:tc>
          <w:tcPr>
            <w:tcW w:w="1290" w:type="dxa"/>
            <w:tcBorders>
              <w:top w:val="single" w:sz="8" w:space="0" w:color="auto"/>
              <w:left w:val="single" w:sz="4" w:space="0" w:color="auto"/>
              <w:bottom w:val="single" w:sz="8" w:space="0" w:color="auto"/>
              <w:right w:val="single" w:sz="4" w:space="0" w:color="auto"/>
            </w:tcBorders>
            <w:shd w:val="clear" w:color="000000" w:fill="A9D08E"/>
            <w:noWrap/>
            <w:vAlign w:val="center"/>
            <w:hideMark/>
          </w:tcPr>
          <w:p w14:paraId="288F5EB1"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52.98%</w:t>
            </w:r>
          </w:p>
        </w:tc>
        <w:tc>
          <w:tcPr>
            <w:tcW w:w="1310" w:type="dxa"/>
            <w:tcBorders>
              <w:top w:val="single" w:sz="8" w:space="0" w:color="auto"/>
              <w:left w:val="single" w:sz="4" w:space="0" w:color="auto"/>
              <w:bottom w:val="single" w:sz="8" w:space="0" w:color="auto"/>
              <w:right w:val="single" w:sz="4" w:space="0" w:color="auto"/>
            </w:tcBorders>
            <w:shd w:val="clear" w:color="000000" w:fill="A9D08E"/>
            <w:noWrap/>
            <w:vAlign w:val="center"/>
            <w:hideMark/>
          </w:tcPr>
          <w:p w14:paraId="1F3067CC"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51.48%</w:t>
            </w:r>
          </w:p>
        </w:tc>
        <w:tc>
          <w:tcPr>
            <w:tcW w:w="1290" w:type="dxa"/>
            <w:tcBorders>
              <w:top w:val="single" w:sz="8" w:space="0" w:color="auto"/>
              <w:left w:val="single" w:sz="4" w:space="0" w:color="auto"/>
              <w:bottom w:val="single" w:sz="8" w:space="0" w:color="auto"/>
              <w:right w:val="single" w:sz="8" w:space="0" w:color="auto"/>
            </w:tcBorders>
            <w:shd w:val="clear" w:color="000000" w:fill="A9D08E"/>
            <w:noWrap/>
            <w:vAlign w:val="center"/>
            <w:hideMark/>
          </w:tcPr>
          <w:p w14:paraId="1F0AB921"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53.35%</w:t>
            </w:r>
          </w:p>
        </w:tc>
        <w:tc>
          <w:tcPr>
            <w:tcW w:w="804" w:type="dxa"/>
            <w:tcBorders>
              <w:top w:val="nil"/>
              <w:left w:val="nil"/>
              <w:bottom w:val="single" w:sz="8" w:space="0" w:color="auto"/>
              <w:right w:val="single" w:sz="4" w:space="0" w:color="auto"/>
            </w:tcBorders>
            <w:shd w:val="clear" w:color="auto" w:fill="auto"/>
            <w:noWrap/>
            <w:vAlign w:val="center"/>
            <w:hideMark/>
          </w:tcPr>
          <w:p w14:paraId="796CED6B"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c>
          <w:tcPr>
            <w:tcW w:w="876" w:type="dxa"/>
            <w:tcBorders>
              <w:top w:val="nil"/>
              <w:left w:val="nil"/>
              <w:bottom w:val="single" w:sz="8" w:space="0" w:color="auto"/>
              <w:right w:val="single" w:sz="8" w:space="0" w:color="auto"/>
            </w:tcBorders>
            <w:shd w:val="clear" w:color="auto" w:fill="auto"/>
            <w:noWrap/>
            <w:vAlign w:val="center"/>
            <w:hideMark/>
          </w:tcPr>
          <w:p w14:paraId="62DD182E"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c>
          <w:tcPr>
            <w:tcW w:w="90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56F595B8"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c>
          <w:tcPr>
            <w:tcW w:w="90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267D9B19" w14:textId="77777777" w:rsidR="00C76504" w:rsidRPr="002D07B8" w:rsidRDefault="00C76504" w:rsidP="009132A7">
            <w:pPr>
              <w:jc w:val="center"/>
              <w:rPr>
                <w:rFonts w:asciiTheme="minorHAnsi" w:hAnsiTheme="minorHAnsi" w:cstheme="minorHAnsi"/>
                <w:color w:val="000000"/>
                <w:szCs w:val="22"/>
              </w:rPr>
            </w:pPr>
            <w:r w:rsidRPr="002D07B8">
              <w:rPr>
                <w:rFonts w:asciiTheme="minorHAnsi" w:hAnsiTheme="minorHAnsi" w:cstheme="minorHAnsi"/>
                <w:color w:val="000000"/>
                <w:szCs w:val="22"/>
              </w:rPr>
              <w:t>50.0%</w:t>
            </w:r>
          </w:p>
        </w:tc>
      </w:tr>
    </w:tbl>
    <w:p w14:paraId="42989913" w14:textId="65050000" w:rsidR="00F270AF" w:rsidRPr="002D07B8" w:rsidRDefault="00F270AF" w:rsidP="00F270AF">
      <w:pPr>
        <w:rPr>
          <w:rFonts w:asciiTheme="minorHAnsi" w:hAnsiTheme="minorHAnsi" w:cstheme="minorHAnsi"/>
        </w:rPr>
      </w:pPr>
    </w:p>
    <w:tbl>
      <w:tblPr>
        <w:tblW w:w="7440" w:type="dxa"/>
        <w:jc w:val="center"/>
        <w:tblLook w:val="04A0" w:firstRow="1" w:lastRow="0" w:firstColumn="1" w:lastColumn="0" w:noHBand="0" w:noVBand="1"/>
      </w:tblPr>
      <w:tblGrid>
        <w:gridCol w:w="2000"/>
        <w:gridCol w:w="1360"/>
        <w:gridCol w:w="1360"/>
        <w:gridCol w:w="1360"/>
        <w:gridCol w:w="1360"/>
      </w:tblGrid>
      <w:tr w:rsidR="00C76504" w:rsidRPr="002D07B8" w14:paraId="5723237F" w14:textId="77777777" w:rsidTr="00C76504">
        <w:trPr>
          <w:trHeight w:val="290"/>
          <w:jc w:val="center"/>
        </w:trPr>
        <w:tc>
          <w:tcPr>
            <w:tcW w:w="20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CFB61B5" w14:textId="77777777" w:rsidR="00C76504" w:rsidRPr="002D07B8" w:rsidRDefault="00C76504" w:rsidP="00C76504">
            <w:pPr>
              <w:jc w:val="center"/>
              <w:rPr>
                <w:rFonts w:asciiTheme="minorHAnsi" w:hAnsiTheme="minorHAnsi" w:cstheme="minorHAnsi"/>
                <w:b/>
                <w:bCs/>
                <w:color w:val="000000"/>
                <w:szCs w:val="22"/>
              </w:rPr>
            </w:pPr>
            <w:r w:rsidRPr="002D07B8">
              <w:rPr>
                <w:rFonts w:asciiTheme="minorHAnsi" w:hAnsiTheme="minorHAnsi" w:cstheme="minorHAnsi"/>
                <w:b/>
                <w:bCs/>
                <w:color w:val="000000"/>
                <w:szCs w:val="22"/>
              </w:rPr>
              <w:t>Targets</w:t>
            </w:r>
          </w:p>
        </w:tc>
        <w:tc>
          <w:tcPr>
            <w:tcW w:w="1360" w:type="dxa"/>
            <w:tcBorders>
              <w:top w:val="single" w:sz="8" w:space="0" w:color="auto"/>
              <w:left w:val="nil"/>
              <w:bottom w:val="single" w:sz="4" w:space="0" w:color="auto"/>
              <w:right w:val="single" w:sz="4" w:space="0" w:color="auto"/>
            </w:tcBorders>
            <w:shd w:val="clear" w:color="auto" w:fill="auto"/>
            <w:noWrap/>
            <w:vAlign w:val="bottom"/>
            <w:hideMark/>
          </w:tcPr>
          <w:p w14:paraId="02E055B1" w14:textId="77777777" w:rsidR="00C76504" w:rsidRPr="002D07B8" w:rsidRDefault="00C76504" w:rsidP="00C76504">
            <w:pPr>
              <w:jc w:val="center"/>
              <w:rPr>
                <w:rFonts w:asciiTheme="minorHAnsi" w:hAnsiTheme="minorHAnsi" w:cstheme="minorHAnsi"/>
                <w:b/>
                <w:bCs/>
                <w:color w:val="000000"/>
                <w:szCs w:val="22"/>
              </w:rPr>
            </w:pPr>
            <w:r w:rsidRPr="002D07B8">
              <w:rPr>
                <w:rFonts w:asciiTheme="minorHAnsi" w:hAnsiTheme="minorHAnsi" w:cstheme="minorHAnsi"/>
                <w:b/>
                <w:bCs/>
                <w:color w:val="000000"/>
                <w:szCs w:val="22"/>
              </w:rPr>
              <w:t>BCY17</w:t>
            </w:r>
          </w:p>
        </w:tc>
        <w:tc>
          <w:tcPr>
            <w:tcW w:w="1360" w:type="dxa"/>
            <w:tcBorders>
              <w:top w:val="single" w:sz="8" w:space="0" w:color="auto"/>
              <w:left w:val="nil"/>
              <w:bottom w:val="single" w:sz="4" w:space="0" w:color="auto"/>
              <w:right w:val="single" w:sz="4" w:space="0" w:color="auto"/>
            </w:tcBorders>
            <w:shd w:val="clear" w:color="auto" w:fill="auto"/>
            <w:noWrap/>
            <w:vAlign w:val="bottom"/>
            <w:hideMark/>
          </w:tcPr>
          <w:p w14:paraId="7344215E" w14:textId="77777777" w:rsidR="00C76504" w:rsidRPr="002D07B8" w:rsidRDefault="00C76504" w:rsidP="00C76504">
            <w:pPr>
              <w:jc w:val="center"/>
              <w:rPr>
                <w:rFonts w:asciiTheme="minorHAnsi" w:hAnsiTheme="minorHAnsi" w:cstheme="minorHAnsi"/>
                <w:b/>
                <w:bCs/>
                <w:color w:val="000000"/>
                <w:szCs w:val="22"/>
              </w:rPr>
            </w:pPr>
            <w:r w:rsidRPr="002D07B8">
              <w:rPr>
                <w:rFonts w:asciiTheme="minorHAnsi" w:hAnsiTheme="minorHAnsi" w:cstheme="minorHAnsi"/>
                <w:b/>
                <w:bCs/>
                <w:color w:val="000000"/>
                <w:szCs w:val="22"/>
              </w:rPr>
              <w:t>BCY18</w:t>
            </w:r>
          </w:p>
        </w:tc>
        <w:tc>
          <w:tcPr>
            <w:tcW w:w="1360" w:type="dxa"/>
            <w:tcBorders>
              <w:top w:val="single" w:sz="8" w:space="0" w:color="auto"/>
              <w:left w:val="nil"/>
              <w:bottom w:val="single" w:sz="4" w:space="0" w:color="auto"/>
              <w:right w:val="single" w:sz="4" w:space="0" w:color="auto"/>
            </w:tcBorders>
            <w:shd w:val="clear" w:color="auto" w:fill="auto"/>
            <w:noWrap/>
            <w:vAlign w:val="bottom"/>
            <w:hideMark/>
          </w:tcPr>
          <w:p w14:paraId="17C10A97" w14:textId="77777777" w:rsidR="00C76504" w:rsidRPr="002D07B8" w:rsidRDefault="00C76504" w:rsidP="00C76504">
            <w:pPr>
              <w:jc w:val="center"/>
              <w:rPr>
                <w:rFonts w:asciiTheme="minorHAnsi" w:hAnsiTheme="minorHAnsi" w:cstheme="minorHAnsi"/>
                <w:b/>
                <w:bCs/>
                <w:color w:val="000000"/>
                <w:szCs w:val="22"/>
              </w:rPr>
            </w:pPr>
            <w:r w:rsidRPr="002D07B8">
              <w:rPr>
                <w:rFonts w:asciiTheme="minorHAnsi" w:hAnsiTheme="minorHAnsi" w:cstheme="minorHAnsi"/>
                <w:b/>
                <w:bCs/>
                <w:color w:val="000000"/>
                <w:szCs w:val="22"/>
              </w:rPr>
              <w:t>BCY19</w:t>
            </w:r>
          </w:p>
        </w:tc>
        <w:tc>
          <w:tcPr>
            <w:tcW w:w="1360" w:type="dxa"/>
            <w:tcBorders>
              <w:top w:val="single" w:sz="8" w:space="0" w:color="auto"/>
              <w:left w:val="nil"/>
              <w:bottom w:val="single" w:sz="4" w:space="0" w:color="auto"/>
              <w:right w:val="single" w:sz="8" w:space="0" w:color="auto"/>
            </w:tcBorders>
            <w:shd w:val="clear" w:color="auto" w:fill="auto"/>
            <w:noWrap/>
            <w:vAlign w:val="bottom"/>
            <w:hideMark/>
          </w:tcPr>
          <w:p w14:paraId="63BFFB93" w14:textId="77777777" w:rsidR="00C76504" w:rsidRPr="002D07B8" w:rsidRDefault="00C76504" w:rsidP="00C76504">
            <w:pPr>
              <w:jc w:val="center"/>
              <w:rPr>
                <w:rFonts w:asciiTheme="minorHAnsi" w:hAnsiTheme="minorHAnsi" w:cstheme="minorHAnsi"/>
                <w:b/>
                <w:bCs/>
                <w:color w:val="000000"/>
                <w:szCs w:val="22"/>
              </w:rPr>
            </w:pPr>
            <w:r w:rsidRPr="002D07B8">
              <w:rPr>
                <w:rFonts w:asciiTheme="minorHAnsi" w:hAnsiTheme="minorHAnsi" w:cstheme="minorHAnsi"/>
                <w:b/>
                <w:bCs/>
                <w:color w:val="000000"/>
                <w:szCs w:val="22"/>
              </w:rPr>
              <w:t>BCY20</w:t>
            </w:r>
          </w:p>
        </w:tc>
      </w:tr>
      <w:tr w:rsidR="00C76504" w:rsidRPr="002D07B8" w14:paraId="1A15867B" w14:textId="77777777" w:rsidTr="00C76504">
        <w:trPr>
          <w:trHeight w:val="290"/>
          <w:jc w:val="center"/>
        </w:trPr>
        <w:tc>
          <w:tcPr>
            <w:tcW w:w="2000" w:type="dxa"/>
            <w:tcBorders>
              <w:top w:val="nil"/>
              <w:left w:val="single" w:sz="8" w:space="0" w:color="auto"/>
              <w:bottom w:val="single" w:sz="4" w:space="0" w:color="auto"/>
              <w:right w:val="single" w:sz="4" w:space="0" w:color="auto"/>
            </w:tcBorders>
            <w:shd w:val="clear" w:color="auto" w:fill="auto"/>
            <w:noWrap/>
            <w:vAlign w:val="center"/>
            <w:hideMark/>
          </w:tcPr>
          <w:p w14:paraId="7A15AAF5" w14:textId="77777777" w:rsidR="00C76504" w:rsidRPr="002D07B8" w:rsidRDefault="00C76504" w:rsidP="00C76504">
            <w:pPr>
              <w:rPr>
                <w:rFonts w:asciiTheme="minorHAnsi" w:hAnsiTheme="minorHAnsi" w:cstheme="minorHAnsi"/>
                <w:color w:val="000000"/>
                <w:szCs w:val="22"/>
              </w:rPr>
            </w:pPr>
            <w:r w:rsidRPr="002D07B8">
              <w:rPr>
                <w:rFonts w:asciiTheme="minorHAnsi" w:hAnsiTheme="minorHAnsi" w:cstheme="minorHAnsi"/>
                <w:color w:val="000000"/>
                <w:szCs w:val="22"/>
              </w:rPr>
              <w:t>Min (40%)</w:t>
            </w:r>
          </w:p>
        </w:tc>
        <w:tc>
          <w:tcPr>
            <w:tcW w:w="1360" w:type="dxa"/>
            <w:tcBorders>
              <w:top w:val="nil"/>
              <w:left w:val="nil"/>
              <w:bottom w:val="single" w:sz="4" w:space="0" w:color="auto"/>
              <w:right w:val="single" w:sz="4" w:space="0" w:color="auto"/>
            </w:tcBorders>
            <w:shd w:val="clear" w:color="000000" w:fill="FF9F9F"/>
            <w:noWrap/>
            <w:vAlign w:val="bottom"/>
            <w:hideMark/>
          </w:tcPr>
          <w:p w14:paraId="2C4C6175" w14:textId="77777777" w:rsidR="00C76504" w:rsidRPr="002D07B8" w:rsidRDefault="00C76504" w:rsidP="00C76504">
            <w:pPr>
              <w:jc w:val="center"/>
              <w:rPr>
                <w:rFonts w:asciiTheme="minorHAnsi" w:hAnsiTheme="minorHAnsi" w:cstheme="minorHAnsi"/>
                <w:color w:val="000000"/>
                <w:szCs w:val="22"/>
                <w:u w:val="single"/>
              </w:rPr>
            </w:pPr>
            <w:r w:rsidRPr="002D07B8">
              <w:rPr>
                <w:rFonts w:asciiTheme="minorHAnsi" w:hAnsiTheme="minorHAnsi" w:cstheme="minorHAnsi"/>
                <w:color w:val="000000"/>
                <w:szCs w:val="22"/>
                <w:u w:val="single"/>
              </w:rPr>
              <w:t>1</w:t>
            </w:r>
          </w:p>
        </w:tc>
        <w:tc>
          <w:tcPr>
            <w:tcW w:w="1360" w:type="dxa"/>
            <w:tcBorders>
              <w:top w:val="nil"/>
              <w:left w:val="nil"/>
              <w:bottom w:val="single" w:sz="4" w:space="0" w:color="auto"/>
              <w:right w:val="single" w:sz="4" w:space="0" w:color="auto"/>
            </w:tcBorders>
            <w:shd w:val="clear" w:color="000000" w:fill="FF9F9F"/>
            <w:noWrap/>
            <w:vAlign w:val="bottom"/>
            <w:hideMark/>
          </w:tcPr>
          <w:p w14:paraId="09438113" w14:textId="77777777" w:rsidR="00C76504" w:rsidRPr="002D07B8" w:rsidRDefault="00C76504" w:rsidP="00C76504">
            <w:pPr>
              <w:jc w:val="center"/>
              <w:rPr>
                <w:rFonts w:asciiTheme="minorHAnsi" w:hAnsiTheme="minorHAnsi" w:cstheme="minorHAnsi"/>
                <w:color w:val="000000"/>
                <w:szCs w:val="22"/>
                <w:u w:val="single"/>
              </w:rPr>
            </w:pPr>
            <w:r w:rsidRPr="002D07B8">
              <w:rPr>
                <w:rFonts w:asciiTheme="minorHAnsi" w:hAnsiTheme="minorHAnsi" w:cstheme="minorHAnsi"/>
                <w:color w:val="000000"/>
                <w:szCs w:val="22"/>
                <w:u w:val="single"/>
              </w:rPr>
              <w:t>0</w:t>
            </w:r>
          </w:p>
        </w:tc>
        <w:tc>
          <w:tcPr>
            <w:tcW w:w="1360" w:type="dxa"/>
            <w:tcBorders>
              <w:top w:val="nil"/>
              <w:left w:val="nil"/>
              <w:bottom w:val="single" w:sz="4" w:space="0" w:color="auto"/>
              <w:right w:val="single" w:sz="4" w:space="0" w:color="auto"/>
            </w:tcBorders>
            <w:shd w:val="clear" w:color="000000" w:fill="FF9F9F"/>
            <w:noWrap/>
            <w:vAlign w:val="bottom"/>
            <w:hideMark/>
          </w:tcPr>
          <w:p w14:paraId="7DBB78E3" w14:textId="77777777" w:rsidR="00C76504" w:rsidRPr="002D07B8" w:rsidRDefault="00C76504" w:rsidP="00C76504">
            <w:pPr>
              <w:jc w:val="center"/>
              <w:rPr>
                <w:rFonts w:asciiTheme="minorHAnsi" w:hAnsiTheme="minorHAnsi" w:cstheme="minorHAnsi"/>
                <w:color w:val="000000"/>
                <w:szCs w:val="22"/>
                <w:u w:val="single"/>
              </w:rPr>
            </w:pPr>
            <w:r w:rsidRPr="002D07B8">
              <w:rPr>
                <w:rFonts w:asciiTheme="minorHAnsi" w:hAnsiTheme="minorHAnsi" w:cstheme="minorHAnsi"/>
                <w:color w:val="000000"/>
                <w:szCs w:val="22"/>
                <w:u w:val="single"/>
              </w:rPr>
              <w:t>0</w:t>
            </w:r>
          </w:p>
        </w:tc>
        <w:tc>
          <w:tcPr>
            <w:tcW w:w="1360" w:type="dxa"/>
            <w:tcBorders>
              <w:top w:val="nil"/>
              <w:left w:val="nil"/>
              <w:bottom w:val="single" w:sz="4" w:space="0" w:color="auto"/>
              <w:right w:val="single" w:sz="8" w:space="0" w:color="auto"/>
            </w:tcBorders>
            <w:shd w:val="clear" w:color="000000" w:fill="FF9F9F"/>
            <w:noWrap/>
            <w:vAlign w:val="bottom"/>
            <w:hideMark/>
          </w:tcPr>
          <w:p w14:paraId="1C198524" w14:textId="77777777" w:rsidR="00C76504" w:rsidRPr="002D07B8" w:rsidRDefault="00C76504" w:rsidP="00C76504">
            <w:pPr>
              <w:jc w:val="center"/>
              <w:rPr>
                <w:rFonts w:asciiTheme="minorHAnsi" w:hAnsiTheme="minorHAnsi" w:cstheme="minorHAnsi"/>
                <w:color w:val="000000"/>
                <w:szCs w:val="22"/>
                <w:u w:val="single"/>
              </w:rPr>
            </w:pPr>
            <w:r w:rsidRPr="002D07B8">
              <w:rPr>
                <w:rFonts w:asciiTheme="minorHAnsi" w:hAnsiTheme="minorHAnsi" w:cstheme="minorHAnsi"/>
                <w:color w:val="000000"/>
                <w:szCs w:val="22"/>
                <w:u w:val="single"/>
              </w:rPr>
              <w:t>0</w:t>
            </w:r>
          </w:p>
        </w:tc>
      </w:tr>
      <w:tr w:rsidR="00C76504" w:rsidRPr="002D07B8" w14:paraId="0E4A4685" w14:textId="77777777" w:rsidTr="00C76504">
        <w:trPr>
          <w:trHeight w:val="300"/>
          <w:jc w:val="center"/>
        </w:trPr>
        <w:tc>
          <w:tcPr>
            <w:tcW w:w="2000" w:type="dxa"/>
            <w:tcBorders>
              <w:top w:val="nil"/>
              <w:left w:val="single" w:sz="8" w:space="0" w:color="auto"/>
              <w:bottom w:val="single" w:sz="8" w:space="0" w:color="auto"/>
              <w:right w:val="single" w:sz="4" w:space="0" w:color="auto"/>
            </w:tcBorders>
            <w:shd w:val="clear" w:color="auto" w:fill="auto"/>
            <w:noWrap/>
            <w:vAlign w:val="center"/>
            <w:hideMark/>
          </w:tcPr>
          <w:p w14:paraId="46D4CC57" w14:textId="77777777" w:rsidR="00C76504" w:rsidRPr="002D07B8" w:rsidRDefault="00C76504" w:rsidP="00C76504">
            <w:pPr>
              <w:rPr>
                <w:rFonts w:asciiTheme="minorHAnsi" w:hAnsiTheme="minorHAnsi" w:cstheme="minorHAnsi"/>
                <w:color w:val="000000"/>
                <w:szCs w:val="22"/>
              </w:rPr>
            </w:pPr>
            <w:r w:rsidRPr="002D07B8">
              <w:rPr>
                <w:rFonts w:asciiTheme="minorHAnsi" w:hAnsiTheme="minorHAnsi" w:cstheme="minorHAnsi"/>
                <w:color w:val="000000"/>
                <w:szCs w:val="22"/>
              </w:rPr>
              <w:t>Max (50%)</w:t>
            </w:r>
          </w:p>
        </w:tc>
        <w:tc>
          <w:tcPr>
            <w:tcW w:w="1360" w:type="dxa"/>
            <w:tcBorders>
              <w:top w:val="nil"/>
              <w:left w:val="nil"/>
              <w:bottom w:val="single" w:sz="8" w:space="0" w:color="auto"/>
              <w:right w:val="single" w:sz="4" w:space="0" w:color="auto"/>
            </w:tcBorders>
            <w:shd w:val="clear" w:color="auto" w:fill="auto"/>
            <w:noWrap/>
            <w:vAlign w:val="bottom"/>
            <w:hideMark/>
          </w:tcPr>
          <w:p w14:paraId="6CAFED29" w14:textId="77777777" w:rsidR="00C76504" w:rsidRPr="002D07B8" w:rsidRDefault="00C76504" w:rsidP="00C76504">
            <w:pPr>
              <w:jc w:val="center"/>
              <w:rPr>
                <w:rFonts w:asciiTheme="minorHAnsi" w:hAnsiTheme="minorHAnsi" w:cstheme="minorHAnsi"/>
                <w:color w:val="000000"/>
                <w:szCs w:val="22"/>
              </w:rPr>
            </w:pPr>
            <w:r w:rsidRPr="002D07B8">
              <w:rPr>
                <w:rFonts w:asciiTheme="minorHAnsi" w:hAnsiTheme="minorHAnsi" w:cstheme="minorHAnsi"/>
                <w:color w:val="000000"/>
                <w:szCs w:val="22"/>
              </w:rPr>
              <w:t>23</w:t>
            </w:r>
          </w:p>
        </w:tc>
        <w:tc>
          <w:tcPr>
            <w:tcW w:w="1360" w:type="dxa"/>
            <w:tcBorders>
              <w:top w:val="nil"/>
              <w:left w:val="nil"/>
              <w:bottom w:val="single" w:sz="8" w:space="0" w:color="auto"/>
              <w:right w:val="single" w:sz="4" w:space="0" w:color="auto"/>
            </w:tcBorders>
            <w:shd w:val="clear" w:color="auto" w:fill="auto"/>
            <w:noWrap/>
            <w:vAlign w:val="bottom"/>
            <w:hideMark/>
          </w:tcPr>
          <w:p w14:paraId="342A29A4" w14:textId="77777777" w:rsidR="00C76504" w:rsidRPr="002D07B8" w:rsidRDefault="00C76504" w:rsidP="00C76504">
            <w:pPr>
              <w:jc w:val="center"/>
              <w:rPr>
                <w:rFonts w:asciiTheme="minorHAnsi" w:hAnsiTheme="minorHAnsi" w:cstheme="minorHAnsi"/>
                <w:color w:val="000000"/>
                <w:szCs w:val="22"/>
              </w:rPr>
            </w:pPr>
            <w:r w:rsidRPr="002D07B8">
              <w:rPr>
                <w:rFonts w:asciiTheme="minorHAnsi" w:hAnsiTheme="minorHAnsi" w:cstheme="minorHAnsi"/>
                <w:color w:val="000000"/>
                <w:szCs w:val="22"/>
              </w:rPr>
              <w:t>23</w:t>
            </w:r>
          </w:p>
        </w:tc>
        <w:tc>
          <w:tcPr>
            <w:tcW w:w="1360" w:type="dxa"/>
            <w:tcBorders>
              <w:top w:val="nil"/>
              <w:left w:val="nil"/>
              <w:bottom w:val="single" w:sz="8" w:space="0" w:color="auto"/>
              <w:right w:val="single" w:sz="4" w:space="0" w:color="auto"/>
            </w:tcBorders>
            <w:shd w:val="clear" w:color="auto" w:fill="auto"/>
            <w:noWrap/>
            <w:vAlign w:val="bottom"/>
            <w:hideMark/>
          </w:tcPr>
          <w:p w14:paraId="508C5A36" w14:textId="77777777" w:rsidR="00C76504" w:rsidRPr="002D07B8" w:rsidRDefault="00C76504" w:rsidP="00C76504">
            <w:pPr>
              <w:jc w:val="center"/>
              <w:rPr>
                <w:rFonts w:asciiTheme="minorHAnsi" w:hAnsiTheme="minorHAnsi" w:cstheme="minorHAnsi"/>
                <w:color w:val="000000"/>
                <w:szCs w:val="22"/>
              </w:rPr>
            </w:pPr>
            <w:r w:rsidRPr="002D07B8">
              <w:rPr>
                <w:rFonts w:asciiTheme="minorHAnsi" w:hAnsiTheme="minorHAnsi" w:cstheme="minorHAnsi"/>
                <w:color w:val="000000"/>
                <w:szCs w:val="22"/>
              </w:rPr>
              <w:t>27</w:t>
            </w:r>
          </w:p>
        </w:tc>
        <w:tc>
          <w:tcPr>
            <w:tcW w:w="1360" w:type="dxa"/>
            <w:tcBorders>
              <w:top w:val="nil"/>
              <w:left w:val="nil"/>
              <w:bottom w:val="single" w:sz="8" w:space="0" w:color="auto"/>
              <w:right w:val="single" w:sz="8" w:space="0" w:color="auto"/>
            </w:tcBorders>
            <w:shd w:val="clear" w:color="auto" w:fill="auto"/>
            <w:noWrap/>
            <w:vAlign w:val="bottom"/>
            <w:hideMark/>
          </w:tcPr>
          <w:p w14:paraId="336D9718" w14:textId="77777777" w:rsidR="00C76504" w:rsidRPr="002D07B8" w:rsidRDefault="00C76504" w:rsidP="00C76504">
            <w:pPr>
              <w:jc w:val="center"/>
              <w:rPr>
                <w:rFonts w:asciiTheme="minorHAnsi" w:hAnsiTheme="minorHAnsi" w:cstheme="minorHAnsi"/>
                <w:color w:val="000000"/>
                <w:szCs w:val="22"/>
              </w:rPr>
            </w:pPr>
            <w:r w:rsidRPr="002D07B8">
              <w:rPr>
                <w:rFonts w:asciiTheme="minorHAnsi" w:hAnsiTheme="minorHAnsi" w:cstheme="minorHAnsi"/>
                <w:color w:val="000000"/>
                <w:szCs w:val="22"/>
              </w:rPr>
              <w:t>28</w:t>
            </w:r>
          </w:p>
        </w:tc>
      </w:tr>
    </w:tbl>
    <w:p w14:paraId="42989923" w14:textId="77777777" w:rsidR="00B16F9C" w:rsidRPr="002D07B8" w:rsidRDefault="00B16F9C" w:rsidP="00FA4BD9">
      <w:pPr>
        <w:rPr>
          <w:rFonts w:asciiTheme="minorHAnsi" w:hAnsiTheme="minorHAnsi" w:cstheme="minorHAnsi"/>
          <w:szCs w:val="22"/>
        </w:rPr>
        <w:sectPr w:rsidR="00B16F9C" w:rsidRPr="002D07B8" w:rsidSect="00062546">
          <w:pgSz w:w="12240" w:h="15840" w:code="1"/>
          <w:pgMar w:top="720" w:right="720" w:bottom="720" w:left="1008" w:header="720" w:footer="720" w:gutter="0"/>
          <w:lnNumType w:countBy="1"/>
          <w:cols w:space="720"/>
          <w:docGrid w:linePitch="360"/>
        </w:sectPr>
      </w:pPr>
    </w:p>
    <w:p w14:paraId="42989A8E" w14:textId="1294E0A2" w:rsidR="00E813A3" w:rsidRPr="002D07B8" w:rsidRDefault="00CC3037" w:rsidP="00FA4BD9">
      <w:pPr>
        <w:pStyle w:val="Title"/>
        <w:suppressLineNumbers/>
        <w:rPr>
          <w:rFonts w:asciiTheme="minorHAnsi" w:hAnsiTheme="minorHAnsi" w:cstheme="minorHAnsi"/>
          <w:color w:val="FF0000"/>
        </w:rPr>
      </w:pPr>
      <w:r w:rsidRPr="002D07B8">
        <w:rPr>
          <w:rFonts w:asciiTheme="minorHAnsi" w:hAnsiTheme="minorHAnsi" w:cstheme="minorHAnsi"/>
        </w:rPr>
        <w:t>Initial BCY</w:t>
      </w:r>
      <w:r w:rsidR="001376A0" w:rsidRPr="002D07B8">
        <w:rPr>
          <w:rFonts w:asciiTheme="minorHAnsi" w:hAnsiTheme="minorHAnsi" w:cstheme="minorHAnsi"/>
        </w:rPr>
        <w:t>20</w:t>
      </w:r>
      <w:r w:rsidRPr="002D07B8">
        <w:rPr>
          <w:rFonts w:asciiTheme="minorHAnsi" w:hAnsiTheme="minorHAnsi" w:cstheme="minorHAnsi"/>
        </w:rPr>
        <w:t xml:space="preserve"> Targets for # of Employers Receiving Workforce Assistance produced with the Target </w:t>
      </w:r>
      <w:r w:rsidRPr="002D07B8">
        <w:rPr>
          <w:rFonts w:asciiTheme="minorHAnsi" w:hAnsiTheme="minorHAnsi" w:cstheme="minorHAnsi"/>
          <w:color w:val="FF0000"/>
        </w:rPr>
        <w:t>Methodology</w:t>
      </w:r>
    </w:p>
    <w:tbl>
      <w:tblPr>
        <w:tblW w:w="14061" w:type="dxa"/>
        <w:tblInd w:w="-113" w:type="dxa"/>
        <w:tblLook w:val="04A0" w:firstRow="1" w:lastRow="0" w:firstColumn="1" w:lastColumn="0" w:noHBand="0" w:noVBand="1"/>
        <w:tblDescription w:val="Initial BCY19 Targets for # of Employers Receiving Workforce Assistance produced with the New Target Methodology"/>
      </w:tblPr>
      <w:tblGrid>
        <w:gridCol w:w="2474"/>
        <w:gridCol w:w="1480"/>
        <w:gridCol w:w="1756"/>
        <w:gridCol w:w="1463"/>
        <w:gridCol w:w="1283"/>
        <w:gridCol w:w="1283"/>
        <w:gridCol w:w="1486"/>
        <w:gridCol w:w="1553"/>
        <w:gridCol w:w="1283"/>
      </w:tblGrid>
      <w:tr w:rsidR="00970F86" w:rsidRPr="002D07B8" w14:paraId="42989A98" w14:textId="77777777" w:rsidTr="00970F86">
        <w:trPr>
          <w:trHeight w:val="910"/>
        </w:trPr>
        <w:tc>
          <w:tcPr>
            <w:tcW w:w="247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2989A8F" w14:textId="77777777" w:rsidR="00970F86" w:rsidRPr="002D07B8" w:rsidRDefault="00970F86" w:rsidP="00970F86">
            <w:pPr>
              <w:jc w:val="center"/>
              <w:rPr>
                <w:rFonts w:asciiTheme="minorHAnsi" w:hAnsiTheme="minorHAnsi" w:cstheme="minorHAnsi"/>
                <w:b/>
                <w:bCs/>
                <w:color w:val="000000"/>
                <w:szCs w:val="22"/>
              </w:rPr>
            </w:pPr>
            <w:bookmarkStart w:id="5" w:name="Title_11_Init_BCY19_Target_Num_Empl_WFA"/>
            <w:bookmarkEnd w:id="5"/>
            <w:r w:rsidRPr="002D07B8">
              <w:rPr>
                <w:rFonts w:asciiTheme="minorHAnsi" w:hAnsiTheme="minorHAnsi" w:cstheme="minorHAnsi"/>
                <w:b/>
                <w:bCs/>
                <w:color w:val="000000"/>
                <w:szCs w:val="22"/>
              </w:rPr>
              <w:t>Board</w:t>
            </w:r>
          </w:p>
        </w:tc>
        <w:tc>
          <w:tcPr>
            <w:tcW w:w="1480" w:type="dxa"/>
            <w:tcBorders>
              <w:top w:val="single" w:sz="4" w:space="0" w:color="auto"/>
              <w:left w:val="nil"/>
              <w:bottom w:val="nil"/>
              <w:right w:val="single" w:sz="4" w:space="0" w:color="auto"/>
            </w:tcBorders>
            <w:shd w:val="clear" w:color="000000" w:fill="F2F2F2"/>
            <w:vAlign w:val="center"/>
            <w:hideMark/>
          </w:tcPr>
          <w:p w14:paraId="42989A90" w14:textId="77777777" w:rsidR="00970F86" w:rsidRPr="002D07B8" w:rsidRDefault="00970F86" w:rsidP="00CC3037">
            <w:pPr>
              <w:jc w:val="center"/>
              <w:rPr>
                <w:rFonts w:asciiTheme="minorHAnsi" w:hAnsiTheme="minorHAnsi" w:cstheme="minorHAnsi"/>
                <w:b/>
                <w:bCs/>
                <w:color w:val="000000"/>
                <w:szCs w:val="22"/>
              </w:rPr>
            </w:pPr>
            <w:r w:rsidRPr="002D07B8">
              <w:rPr>
                <w:rFonts w:asciiTheme="minorHAnsi" w:hAnsiTheme="minorHAnsi" w:cstheme="minorHAnsi"/>
                <w:b/>
                <w:bCs/>
                <w:color w:val="000000"/>
                <w:szCs w:val="22"/>
              </w:rPr>
              <w:t># Served by TWC Only:  July-June</w:t>
            </w:r>
          </w:p>
        </w:tc>
        <w:tc>
          <w:tcPr>
            <w:tcW w:w="1756" w:type="dxa"/>
            <w:tcBorders>
              <w:top w:val="single" w:sz="4" w:space="0" w:color="auto"/>
              <w:left w:val="nil"/>
              <w:bottom w:val="single" w:sz="4" w:space="0" w:color="auto"/>
              <w:right w:val="single" w:sz="4" w:space="0" w:color="auto"/>
            </w:tcBorders>
            <w:shd w:val="clear" w:color="000000" w:fill="F2F2F2"/>
            <w:vAlign w:val="center"/>
            <w:hideMark/>
          </w:tcPr>
          <w:p w14:paraId="42989A91" w14:textId="340493DD" w:rsidR="00970F86" w:rsidRPr="002D07B8" w:rsidRDefault="00970F86" w:rsidP="00CC3037">
            <w:pPr>
              <w:jc w:val="center"/>
              <w:rPr>
                <w:rFonts w:asciiTheme="minorHAnsi" w:hAnsiTheme="minorHAnsi" w:cstheme="minorHAnsi"/>
                <w:b/>
                <w:bCs/>
                <w:szCs w:val="22"/>
              </w:rPr>
            </w:pPr>
            <w:r w:rsidRPr="002D07B8">
              <w:rPr>
                <w:rFonts w:asciiTheme="minorHAnsi" w:hAnsiTheme="minorHAnsi" w:cstheme="minorHAnsi"/>
                <w:b/>
                <w:bCs/>
                <w:szCs w:val="22"/>
              </w:rPr>
              <w:t># of Employers BCY</w:t>
            </w:r>
            <w:r w:rsidR="001A25F5" w:rsidRPr="002D07B8">
              <w:rPr>
                <w:rFonts w:asciiTheme="minorHAnsi" w:hAnsiTheme="minorHAnsi" w:cstheme="minorHAnsi"/>
                <w:b/>
                <w:bCs/>
                <w:szCs w:val="22"/>
              </w:rPr>
              <w:t>19</w:t>
            </w:r>
          </w:p>
        </w:tc>
        <w:tc>
          <w:tcPr>
            <w:tcW w:w="146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2989A92" w14:textId="1E14C15E" w:rsidR="00970F86" w:rsidRPr="002D07B8" w:rsidRDefault="00970F86" w:rsidP="00CC3037">
            <w:pPr>
              <w:jc w:val="center"/>
              <w:rPr>
                <w:rFonts w:asciiTheme="minorHAnsi" w:hAnsiTheme="minorHAnsi" w:cstheme="minorHAnsi"/>
                <w:b/>
                <w:bCs/>
                <w:szCs w:val="22"/>
              </w:rPr>
            </w:pPr>
            <w:r w:rsidRPr="002D07B8">
              <w:rPr>
                <w:rFonts w:asciiTheme="minorHAnsi" w:hAnsiTheme="minorHAnsi" w:cstheme="minorHAnsi"/>
                <w:b/>
                <w:bCs/>
                <w:szCs w:val="22"/>
              </w:rPr>
              <w:t># of Employers BCY</w:t>
            </w:r>
            <w:r w:rsidR="001A25F5" w:rsidRPr="002D07B8">
              <w:rPr>
                <w:rFonts w:asciiTheme="minorHAnsi" w:hAnsiTheme="minorHAnsi" w:cstheme="minorHAnsi"/>
                <w:b/>
                <w:bCs/>
                <w:szCs w:val="22"/>
              </w:rPr>
              <w:t>20</w:t>
            </w:r>
          </w:p>
        </w:tc>
        <w:tc>
          <w:tcPr>
            <w:tcW w:w="1283" w:type="dxa"/>
            <w:tcBorders>
              <w:top w:val="single" w:sz="4" w:space="0" w:color="auto"/>
              <w:left w:val="nil"/>
              <w:bottom w:val="single" w:sz="4" w:space="0" w:color="auto"/>
              <w:right w:val="single" w:sz="4" w:space="0" w:color="auto"/>
            </w:tcBorders>
            <w:shd w:val="clear" w:color="000000" w:fill="F2F2F2"/>
            <w:vAlign w:val="center"/>
            <w:hideMark/>
          </w:tcPr>
          <w:p w14:paraId="42989A93" w14:textId="77777777" w:rsidR="00970F86" w:rsidRPr="002D07B8" w:rsidRDefault="00970F86" w:rsidP="00CC3037">
            <w:pPr>
              <w:jc w:val="center"/>
              <w:rPr>
                <w:rFonts w:asciiTheme="minorHAnsi" w:hAnsiTheme="minorHAnsi" w:cstheme="minorHAnsi"/>
                <w:b/>
                <w:bCs/>
                <w:color w:val="000000"/>
                <w:szCs w:val="22"/>
              </w:rPr>
            </w:pPr>
            <w:r w:rsidRPr="002D07B8">
              <w:rPr>
                <w:rFonts w:asciiTheme="minorHAnsi" w:hAnsiTheme="minorHAnsi" w:cstheme="minorHAnsi"/>
                <w:b/>
                <w:bCs/>
                <w:color w:val="000000"/>
                <w:szCs w:val="22"/>
              </w:rPr>
              <w:t>% Change in Employers</w:t>
            </w:r>
          </w:p>
        </w:tc>
        <w:tc>
          <w:tcPr>
            <w:tcW w:w="1283" w:type="dxa"/>
            <w:tcBorders>
              <w:top w:val="single" w:sz="4" w:space="0" w:color="auto"/>
              <w:left w:val="nil"/>
              <w:bottom w:val="single" w:sz="4" w:space="0" w:color="auto"/>
              <w:right w:val="single" w:sz="4" w:space="0" w:color="auto"/>
            </w:tcBorders>
            <w:shd w:val="clear" w:color="000000" w:fill="F2F2F2"/>
            <w:vAlign w:val="center"/>
            <w:hideMark/>
          </w:tcPr>
          <w:p w14:paraId="42989A94" w14:textId="1C4CE350" w:rsidR="00970F86" w:rsidRPr="002D07B8" w:rsidRDefault="00970F86" w:rsidP="00CC3037">
            <w:pPr>
              <w:jc w:val="center"/>
              <w:rPr>
                <w:rFonts w:asciiTheme="minorHAnsi" w:hAnsiTheme="minorHAnsi" w:cstheme="minorHAnsi"/>
                <w:b/>
                <w:bCs/>
                <w:color w:val="000000"/>
                <w:szCs w:val="22"/>
              </w:rPr>
            </w:pPr>
            <w:r w:rsidRPr="002D07B8">
              <w:rPr>
                <w:rFonts w:asciiTheme="minorHAnsi" w:hAnsiTheme="minorHAnsi" w:cstheme="minorHAnsi"/>
                <w:b/>
                <w:bCs/>
                <w:color w:val="000000"/>
                <w:szCs w:val="22"/>
              </w:rPr>
              <w:t>BCY</w:t>
            </w:r>
            <w:r w:rsidR="001A25F5" w:rsidRPr="002D07B8">
              <w:rPr>
                <w:rFonts w:asciiTheme="minorHAnsi" w:hAnsiTheme="minorHAnsi" w:cstheme="minorHAnsi"/>
                <w:b/>
                <w:bCs/>
                <w:color w:val="000000"/>
                <w:szCs w:val="22"/>
              </w:rPr>
              <w:t>20</w:t>
            </w:r>
            <w:r w:rsidRPr="002D07B8">
              <w:rPr>
                <w:rFonts w:asciiTheme="minorHAnsi" w:hAnsiTheme="minorHAnsi" w:cstheme="minorHAnsi"/>
                <w:b/>
                <w:bCs/>
                <w:color w:val="000000"/>
                <w:szCs w:val="22"/>
              </w:rPr>
              <w:t xml:space="preserve"> Local Target</w:t>
            </w:r>
          </w:p>
        </w:tc>
        <w:tc>
          <w:tcPr>
            <w:tcW w:w="1486" w:type="dxa"/>
            <w:tcBorders>
              <w:top w:val="single" w:sz="4" w:space="0" w:color="auto"/>
              <w:left w:val="nil"/>
              <w:bottom w:val="single" w:sz="4" w:space="0" w:color="auto"/>
              <w:right w:val="single" w:sz="4" w:space="0" w:color="auto"/>
            </w:tcBorders>
            <w:shd w:val="clear" w:color="000000" w:fill="F2F2F2"/>
            <w:vAlign w:val="center"/>
            <w:hideMark/>
          </w:tcPr>
          <w:p w14:paraId="42989A95" w14:textId="7A23CFC8" w:rsidR="00970F86" w:rsidRPr="002D07B8" w:rsidRDefault="00970F86" w:rsidP="00CC3037">
            <w:pPr>
              <w:jc w:val="center"/>
              <w:rPr>
                <w:rFonts w:asciiTheme="minorHAnsi" w:hAnsiTheme="minorHAnsi" w:cstheme="minorHAnsi"/>
                <w:b/>
                <w:bCs/>
                <w:color w:val="000000"/>
                <w:szCs w:val="22"/>
              </w:rPr>
            </w:pPr>
            <w:r w:rsidRPr="002D07B8">
              <w:rPr>
                <w:rFonts w:asciiTheme="minorHAnsi" w:hAnsiTheme="minorHAnsi" w:cstheme="minorHAnsi"/>
                <w:b/>
                <w:bCs/>
                <w:color w:val="000000"/>
                <w:szCs w:val="22"/>
              </w:rPr>
              <w:t>BCY</w:t>
            </w:r>
            <w:r w:rsidR="001A25F5" w:rsidRPr="002D07B8">
              <w:rPr>
                <w:rFonts w:asciiTheme="minorHAnsi" w:hAnsiTheme="minorHAnsi" w:cstheme="minorHAnsi"/>
                <w:b/>
                <w:bCs/>
                <w:color w:val="000000"/>
                <w:szCs w:val="22"/>
              </w:rPr>
              <w:t>20</w:t>
            </w:r>
            <w:r w:rsidRPr="002D07B8">
              <w:rPr>
                <w:rFonts w:asciiTheme="minorHAnsi" w:hAnsiTheme="minorHAnsi" w:cstheme="minorHAnsi"/>
                <w:b/>
                <w:bCs/>
                <w:color w:val="000000"/>
                <w:szCs w:val="22"/>
              </w:rPr>
              <w:t xml:space="preserve"> TWC Target</w:t>
            </w:r>
          </w:p>
        </w:tc>
        <w:tc>
          <w:tcPr>
            <w:tcW w:w="1553" w:type="dxa"/>
            <w:tcBorders>
              <w:top w:val="single" w:sz="4" w:space="0" w:color="auto"/>
              <w:left w:val="nil"/>
              <w:bottom w:val="single" w:sz="4" w:space="0" w:color="auto"/>
              <w:right w:val="single" w:sz="4" w:space="0" w:color="auto"/>
            </w:tcBorders>
            <w:shd w:val="clear" w:color="000000" w:fill="F2F2F2"/>
            <w:vAlign w:val="center"/>
            <w:hideMark/>
          </w:tcPr>
          <w:p w14:paraId="42989A96" w14:textId="05B0FF59" w:rsidR="00970F86" w:rsidRPr="002D07B8" w:rsidRDefault="00970F86" w:rsidP="00CC3037">
            <w:pPr>
              <w:jc w:val="center"/>
              <w:rPr>
                <w:rFonts w:asciiTheme="minorHAnsi" w:hAnsiTheme="minorHAnsi" w:cstheme="minorHAnsi"/>
                <w:b/>
                <w:bCs/>
                <w:szCs w:val="22"/>
              </w:rPr>
            </w:pPr>
            <w:r w:rsidRPr="002D07B8">
              <w:rPr>
                <w:rFonts w:asciiTheme="minorHAnsi" w:hAnsiTheme="minorHAnsi" w:cstheme="minorHAnsi"/>
                <w:b/>
                <w:bCs/>
                <w:szCs w:val="22"/>
              </w:rPr>
              <w:t>BCY</w:t>
            </w:r>
            <w:r w:rsidR="001A25F5" w:rsidRPr="002D07B8">
              <w:rPr>
                <w:rFonts w:asciiTheme="minorHAnsi" w:hAnsiTheme="minorHAnsi" w:cstheme="minorHAnsi"/>
                <w:b/>
                <w:bCs/>
                <w:szCs w:val="22"/>
              </w:rPr>
              <w:t>20</w:t>
            </w:r>
            <w:r w:rsidRPr="002D07B8">
              <w:rPr>
                <w:rFonts w:asciiTheme="minorHAnsi" w:hAnsiTheme="minorHAnsi" w:cstheme="minorHAnsi"/>
                <w:b/>
                <w:bCs/>
                <w:szCs w:val="22"/>
              </w:rPr>
              <w:t xml:space="preserve"> Initial Total Target</w:t>
            </w:r>
          </w:p>
        </w:tc>
        <w:tc>
          <w:tcPr>
            <w:tcW w:w="1283" w:type="dxa"/>
            <w:tcBorders>
              <w:top w:val="single" w:sz="4" w:space="0" w:color="auto"/>
              <w:left w:val="nil"/>
              <w:bottom w:val="single" w:sz="4" w:space="0" w:color="auto"/>
              <w:right w:val="single" w:sz="4" w:space="0" w:color="auto"/>
            </w:tcBorders>
            <w:shd w:val="clear" w:color="000000" w:fill="F2F2F2"/>
            <w:vAlign w:val="center"/>
            <w:hideMark/>
          </w:tcPr>
          <w:p w14:paraId="42989A97" w14:textId="77777777" w:rsidR="00970F86" w:rsidRPr="002D07B8" w:rsidRDefault="00970F86" w:rsidP="00CC3037">
            <w:pPr>
              <w:jc w:val="center"/>
              <w:rPr>
                <w:rFonts w:asciiTheme="minorHAnsi" w:hAnsiTheme="minorHAnsi" w:cstheme="minorHAnsi"/>
                <w:b/>
                <w:bCs/>
                <w:color w:val="000000"/>
                <w:szCs w:val="22"/>
              </w:rPr>
            </w:pPr>
            <w:r w:rsidRPr="002D07B8">
              <w:rPr>
                <w:rFonts w:asciiTheme="minorHAnsi" w:hAnsiTheme="minorHAnsi" w:cstheme="minorHAnsi"/>
                <w:b/>
                <w:bCs/>
                <w:color w:val="000000"/>
                <w:szCs w:val="22"/>
              </w:rPr>
              <w:t>Change in Local/Total Target</w:t>
            </w:r>
          </w:p>
        </w:tc>
      </w:tr>
      <w:tr w:rsidR="001A25F5" w:rsidRPr="002D07B8" w14:paraId="42989AA2" w14:textId="77777777" w:rsidTr="00970F86">
        <w:trPr>
          <w:trHeight w:val="290"/>
        </w:trPr>
        <w:tc>
          <w:tcPr>
            <w:tcW w:w="2474" w:type="dxa"/>
            <w:tcBorders>
              <w:top w:val="nil"/>
              <w:left w:val="single" w:sz="4" w:space="0" w:color="auto"/>
              <w:bottom w:val="single" w:sz="4" w:space="0" w:color="auto"/>
              <w:right w:val="single" w:sz="4" w:space="0" w:color="auto"/>
            </w:tcBorders>
            <w:shd w:val="clear" w:color="auto" w:fill="auto"/>
            <w:vAlign w:val="center"/>
            <w:hideMark/>
          </w:tcPr>
          <w:p w14:paraId="42989A99" w14:textId="77777777" w:rsidR="001A25F5" w:rsidRPr="002D07B8" w:rsidRDefault="001A25F5" w:rsidP="001A25F5">
            <w:pPr>
              <w:rPr>
                <w:rFonts w:asciiTheme="minorHAnsi" w:hAnsiTheme="minorHAnsi" w:cstheme="minorHAnsi"/>
                <w:b/>
                <w:bCs/>
                <w:color w:val="000000"/>
                <w:szCs w:val="22"/>
              </w:rPr>
            </w:pPr>
            <w:r w:rsidRPr="002D07B8">
              <w:rPr>
                <w:rFonts w:asciiTheme="minorHAnsi" w:hAnsiTheme="minorHAnsi" w:cstheme="minorHAnsi"/>
                <w:b/>
                <w:bCs/>
                <w:color w:val="000000"/>
                <w:szCs w:val="22"/>
              </w:rPr>
              <w:t>1 Panhandle</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42989A9A" w14:textId="66602ADE"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486</w:t>
            </w:r>
          </w:p>
        </w:tc>
        <w:tc>
          <w:tcPr>
            <w:tcW w:w="1756" w:type="dxa"/>
            <w:tcBorders>
              <w:top w:val="nil"/>
              <w:left w:val="nil"/>
              <w:bottom w:val="single" w:sz="4" w:space="0" w:color="auto"/>
              <w:right w:val="single" w:sz="4" w:space="0" w:color="auto"/>
            </w:tcBorders>
            <w:shd w:val="clear" w:color="auto" w:fill="auto"/>
            <w:noWrap/>
            <w:vAlign w:val="bottom"/>
            <w:hideMark/>
          </w:tcPr>
          <w:p w14:paraId="42989A9B" w14:textId="0DF93D7E"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12,207</w:t>
            </w:r>
          </w:p>
        </w:tc>
        <w:tc>
          <w:tcPr>
            <w:tcW w:w="1463" w:type="dxa"/>
            <w:tcBorders>
              <w:top w:val="nil"/>
              <w:left w:val="nil"/>
              <w:bottom w:val="single" w:sz="4" w:space="0" w:color="auto"/>
              <w:right w:val="single" w:sz="4" w:space="0" w:color="auto"/>
            </w:tcBorders>
            <w:shd w:val="clear" w:color="auto" w:fill="auto"/>
            <w:noWrap/>
            <w:vAlign w:val="bottom"/>
            <w:hideMark/>
          </w:tcPr>
          <w:p w14:paraId="42989A9C" w14:textId="260810A9"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12,189</w:t>
            </w:r>
          </w:p>
        </w:tc>
        <w:tc>
          <w:tcPr>
            <w:tcW w:w="1283"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42989A9D" w14:textId="61EC424C"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-0.15%</w:t>
            </w:r>
          </w:p>
        </w:tc>
        <w:tc>
          <w:tcPr>
            <w:tcW w:w="1283" w:type="dxa"/>
            <w:tcBorders>
              <w:top w:val="nil"/>
              <w:left w:val="nil"/>
              <w:bottom w:val="single" w:sz="4" w:space="0" w:color="auto"/>
              <w:right w:val="single" w:sz="4" w:space="0" w:color="auto"/>
            </w:tcBorders>
            <w:shd w:val="clear" w:color="auto" w:fill="auto"/>
            <w:noWrap/>
            <w:vAlign w:val="bottom"/>
            <w:hideMark/>
          </w:tcPr>
          <w:p w14:paraId="42989A9E" w14:textId="1A143E5D"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1,762</w:t>
            </w:r>
          </w:p>
        </w:tc>
        <w:tc>
          <w:tcPr>
            <w:tcW w:w="1486" w:type="dxa"/>
            <w:tcBorders>
              <w:top w:val="nil"/>
              <w:left w:val="nil"/>
              <w:bottom w:val="single" w:sz="4" w:space="0" w:color="auto"/>
              <w:right w:val="single" w:sz="4" w:space="0" w:color="auto"/>
            </w:tcBorders>
            <w:shd w:val="clear" w:color="auto" w:fill="auto"/>
            <w:noWrap/>
            <w:vAlign w:val="bottom"/>
            <w:hideMark/>
          </w:tcPr>
          <w:p w14:paraId="42989A9F" w14:textId="192198AA"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486</w:t>
            </w:r>
          </w:p>
        </w:tc>
        <w:tc>
          <w:tcPr>
            <w:tcW w:w="1553" w:type="dxa"/>
            <w:tcBorders>
              <w:top w:val="nil"/>
              <w:left w:val="nil"/>
              <w:bottom w:val="single" w:sz="4" w:space="0" w:color="auto"/>
              <w:right w:val="single" w:sz="4" w:space="0" w:color="auto"/>
            </w:tcBorders>
            <w:shd w:val="clear" w:color="auto" w:fill="auto"/>
            <w:noWrap/>
            <w:vAlign w:val="bottom"/>
            <w:hideMark/>
          </w:tcPr>
          <w:p w14:paraId="42989AA0" w14:textId="15F2212D"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2,248</w:t>
            </w:r>
          </w:p>
        </w:tc>
        <w:tc>
          <w:tcPr>
            <w:tcW w:w="1283"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42989AA1" w14:textId="706FE6D7"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-3</w:t>
            </w:r>
          </w:p>
        </w:tc>
      </w:tr>
      <w:tr w:rsidR="001A25F5" w:rsidRPr="002D07B8" w14:paraId="42989AAC" w14:textId="77777777" w:rsidTr="00970F86">
        <w:trPr>
          <w:trHeight w:val="290"/>
        </w:trPr>
        <w:tc>
          <w:tcPr>
            <w:tcW w:w="2474" w:type="dxa"/>
            <w:tcBorders>
              <w:top w:val="nil"/>
              <w:left w:val="single" w:sz="4" w:space="0" w:color="auto"/>
              <w:bottom w:val="single" w:sz="4" w:space="0" w:color="auto"/>
              <w:right w:val="single" w:sz="4" w:space="0" w:color="auto"/>
            </w:tcBorders>
            <w:shd w:val="clear" w:color="auto" w:fill="auto"/>
            <w:vAlign w:val="center"/>
            <w:hideMark/>
          </w:tcPr>
          <w:p w14:paraId="42989AA3" w14:textId="77777777" w:rsidR="001A25F5" w:rsidRPr="002D07B8" w:rsidRDefault="001A25F5" w:rsidP="001A25F5">
            <w:pPr>
              <w:rPr>
                <w:rFonts w:asciiTheme="minorHAnsi" w:hAnsiTheme="minorHAnsi" w:cstheme="minorHAnsi"/>
                <w:b/>
                <w:bCs/>
                <w:color w:val="000000"/>
                <w:szCs w:val="22"/>
              </w:rPr>
            </w:pPr>
            <w:r w:rsidRPr="002D07B8">
              <w:rPr>
                <w:rFonts w:asciiTheme="minorHAnsi" w:hAnsiTheme="minorHAnsi" w:cstheme="minorHAnsi"/>
                <w:b/>
                <w:bCs/>
                <w:color w:val="000000"/>
                <w:szCs w:val="22"/>
              </w:rPr>
              <w:t>2 South Plains</w:t>
            </w:r>
          </w:p>
        </w:tc>
        <w:tc>
          <w:tcPr>
            <w:tcW w:w="1480" w:type="dxa"/>
            <w:tcBorders>
              <w:top w:val="nil"/>
              <w:left w:val="nil"/>
              <w:bottom w:val="single" w:sz="4" w:space="0" w:color="auto"/>
              <w:right w:val="single" w:sz="4" w:space="0" w:color="auto"/>
            </w:tcBorders>
            <w:shd w:val="clear" w:color="auto" w:fill="auto"/>
            <w:noWrap/>
            <w:vAlign w:val="bottom"/>
            <w:hideMark/>
          </w:tcPr>
          <w:p w14:paraId="42989AA4" w14:textId="2C26FCFD"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557</w:t>
            </w:r>
          </w:p>
        </w:tc>
        <w:tc>
          <w:tcPr>
            <w:tcW w:w="1756" w:type="dxa"/>
            <w:tcBorders>
              <w:top w:val="nil"/>
              <w:left w:val="nil"/>
              <w:bottom w:val="single" w:sz="4" w:space="0" w:color="auto"/>
              <w:right w:val="single" w:sz="4" w:space="0" w:color="auto"/>
            </w:tcBorders>
            <w:shd w:val="clear" w:color="auto" w:fill="auto"/>
            <w:noWrap/>
            <w:vAlign w:val="bottom"/>
            <w:hideMark/>
          </w:tcPr>
          <w:p w14:paraId="42989AA5" w14:textId="777FE09B"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11,622</w:t>
            </w:r>
          </w:p>
        </w:tc>
        <w:tc>
          <w:tcPr>
            <w:tcW w:w="1463" w:type="dxa"/>
            <w:tcBorders>
              <w:top w:val="nil"/>
              <w:left w:val="nil"/>
              <w:bottom w:val="single" w:sz="4" w:space="0" w:color="auto"/>
              <w:right w:val="single" w:sz="4" w:space="0" w:color="auto"/>
            </w:tcBorders>
            <w:shd w:val="clear" w:color="auto" w:fill="auto"/>
            <w:noWrap/>
            <w:vAlign w:val="bottom"/>
            <w:hideMark/>
          </w:tcPr>
          <w:p w14:paraId="42989AA6" w14:textId="33AC6556"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11,685</w:t>
            </w:r>
          </w:p>
        </w:tc>
        <w:tc>
          <w:tcPr>
            <w:tcW w:w="1283" w:type="dxa"/>
            <w:tcBorders>
              <w:top w:val="nil"/>
              <w:left w:val="nil"/>
              <w:bottom w:val="single" w:sz="4" w:space="0" w:color="auto"/>
              <w:right w:val="single" w:sz="4" w:space="0" w:color="auto"/>
            </w:tcBorders>
            <w:shd w:val="clear" w:color="auto" w:fill="auto"/>
            <w:noWrap/>
            <w:vAlign w:val="bottom"/>
            <w:hideMark/>
          </w:tcPr>
          <w:p w14:paraId="42989AA7" w14:textId="7A60E1EB"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0.54%</w:t>
            </w:r>
          </w:p>
        </w:tc>
        <w:tc>
          <w:tcPr>
            <w:tcW w:w="1283" w:type="dxa"/>
            <w:tcBorders>
              <w:top w:val="nil"/>
              <w:left w:val="nil"/>
              <w:bottom w:val="single" w:sz="4" w:space="0" w:color="auto"/>
              <w:right w:val="single" w:sz="4" w:space="0" w:color="auto"/>
            </w:tcBorders>
            <w:shd w:val="clear" w:color="auto" w:fill="auto"/>
            <w:noWrap/>
            <w:vAlign w:val="bottom"/>
            <w:hideMark/>
          </w:tcPr>
          <w:p w14:paraId="42989AA8" w14:textId="1C581BAC"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1,709</w:t>
            </w:r>
          </w:p>
        </w:tc>
        <w:tc>
          <w:tcPr>
            <w:tcW w:w="1486" w:type="dxa"/>
            <w:tcBorders>
              <w:top w:val="nil"/>
              <w:left w:val="nil"/>
              <w:bottom w:val="single" w:sz="4" w:space="0" w:color="auto"/>
              <w:right w:val="single" w:sz="4" w:space="0" w:color="auto"/>
            </w:tcBorders>
            <w:shd w:val="clear" w:color="auto" w:fill="auto"/>
            <w:noWrap/>
            <w:vAlign w:val="bottom"/>
            <w:hideMark/>
          </w:tcPr>
          <w:p w14:paraId="42989AA9" w14:textId="23403462"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557</w:t>
            </w:r>
          </w:p>
        </w:tc>
        <w:tc>
          <w:tcPr>
            <w:tcW w:w="1553" w:type="dxa"/>
            <w:tcBorders>
              <w:top w:val="nil"/>
              <w:left w:val="nil"/>
              <w:bottom w:val="single" w:sz="4" w:space="0" w:color="auto"/>
              <w:right w:val="single" w:sz="4" w:space="0" w:color="auto"/>
            </w:tcBorders>
            <w:shd w:val="clear" w:color="auto" w:fill="auto"/>
            <w:noWrap/>
            <w:vAlign w:val="bottom"/>
            <w:hideMark/>
          </w:tcPr>
          <w:p w14:paraId="42989AAA" w14:textId="65AC8E7C"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2,266</w:t>
            </w:r>
          </w:p>
        </w:tc>
        <w:tc>
          <w:tcPr>
            <w:tcW w:w="1283" w:type="dxa"/>
            <w:tcBorders>
              <w:top w:val="nil"/>
              <w:left w:val="nil"/>
              <w:bottom w:val="single" w:sz="4" w:space="0" w:color="auto"/>
              <w:right w:val="single" w:sz="4" w:space="0" w:color="auto"/>
            </w:tcBorders>
            <w:shd w:val="clear" w:color="auto" w:fill="auto"/>
            <w:noWrap/>
            <w:vAlign w:val="bottom"/>
            <w:hideMark/>
          </w:tcPr>
          <w:p w14:paraId="42989AAB" w14:textId="4FF693D2"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9</w:t>
            </w:r>
          </w:p>
        </w:tc>
      </w:tr>
      <w:tr w:rsidR="001A25F5" w:rsidRPr="002D07B8" w14:paraId="42989AB6" w14:textId="77777777" w:rsidTr="00970F86">
        <w:trPr>
          <w:trHeight w:val="290"/>
        </w:trPr>
        <w:tc>
          <w:tcPr>
            <w:tcW w:w="2474" w:type="dxa"/>
            <w:tcBorders>
              <w:top w:val="nil"/>
              <w:left w:val="single" w:sz="4" w:space="0" w:color="auto"/>
              <w:bottom w:val="single" w:sz="4" w:space="0" w:color="auto"/>
              <w:right w:val="single" w:sz="4" w:space="0" w:color="auto"/>
            </w:tcBorders>
            <w:shd w:val="clear" w:color="auto" w:fill="auto"/>
            <w:vAlign w:val="center"/>
            <w:hideMark/>
          </w:tcPr>
          <w:p w14:paraId="42989AAD" w14:textId="77777777" w:rsidR="001A25F5" w:rsidRPr="002D07B8" w:rsidRDefault="001A25F5" w:rsidP="001A25F5">
            <w:pPr>
              <w:rPr>
                <w:rFonts w:asciiTheme="minorHAnsi" w:hAnsiTheme="minorHAnsi" w:cstheme="minorHAnsi"/>
                <w:b/>
                <w:bCs/>
                <w:color w:val="000000"/>
                <w:szCs w:val="22"/>
              </w:rPr>
            </w:pPr>
            <w:r w:rsidRPr="002D07B8">
              <w:rPr>
                <w:rFonts w:asciiTheme="minorHAnsi" w:hAnsiTheme="minorHAnsi" w:cstheme="minorHAnsi"/>
                <w:b/>
                <w:bCs/>
                <w:color w:val="000000"/>
                <w:szCs w:val="22"/>
              </w:rPr>
              <w:t>3 North Texas</w:t>
            </w:r>
          </w:p>
        </w:tc>
        <w:tc>
          <w:tcPr>
            <w:tcW w:w="1480" w:type="dxa"/>
            <w:tcBorders>
              <w:top w:val="nil"/>
              <w:left w:val="nil"/>
              <w:bottom w:val="single" w:sz="4" w:space="0" w:color="auto"/>
              <w:right w:val="single" w:sz="4" w:space="0" w:color="auto"/>
            </w:tcBorders>
            <w:shd w:val="clear" w:color="auto" w:fill="auto"/>
            <w:noWrap/>
            <w:vAlign w:val="bottom"/>
            <w:hideMark/>
          </w:tcPr>
          <w:p w14:paraId="42989AAE" w14:textId="0DBA4133"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346</w:t>
            </w:r>
          </w:p>
        </w:tc>
        <w:tc>
          <w:tcPr>
            <w:tcW w:w="1756" w:type="dxa"/>
            <w:tcBorders>
              <w:top w:val="nil"/>
              <w:left w:val="nil"/>
              <w:bottom w:val="single" w:sz="4" w:space="0" w:color="auto"/>
              <w:right w:val="single" w:sz="4" w:space="0" w:color="auto"/>
            </w:tcBorders>
            <w:shd w:val="clear" w:color="auto" w:fill="auto"/>
            <w:noWrap/>
            <w:vAlign w:val="bottom"/>
            <w:hideMark/>
          </w:tcPr>
          <w:p w14:paraId="42989AAF" w14:textId="3F2DF3DD"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5,746</w:t>
            </w:r>
          </w:p>
        </w:tc>
        <w:tc>
          <w:tcPr>
            <w:tcW w:w="1463" w:type="dxa"/>
            <w:tcBorders>
              <w:top w:val="nil"/>
              <w:left w:val="nil"/>
              <w:bottom w:val="single" w:sz="4" w:space="0" w:color="auto"/>
              <w:right w:val="single" w:sz="4" w:space="0" w:color="auto"/>
            </w:tcBorders>
            <w:shd w:val="clear" w:color="auto" w:fill="auto"/>
            <w:noWrap/>
            <w:vAlign w:val="bottom"/>
            <w:hideMark/>
          </w:tcPr>
          <w:p w14:paraId="42989AB0" w14:textId="204954BC"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5,784</w:t>
            </w:r>
          </w:p>
        </w:tc>
        <w:tc>
          <w:tcPr>
            <w:tcW w:w="1283"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42989AB1" w14:textId="327AF730"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0.66%</w:t>
            </w:r>
          </w:p>
        </w:tc>
        <w:tc>
          <w:tcPr>
            <w:tcW w:w="1283" w:type="dxa"/>
            <w:tcBorders>
              <w:top w:val="nil"/>
              <w:left w:val="nil"/>
              <w:bottom w:val="single" w:sz="4" w:space="0" w:color="auto"/>
              <w:right w:val="single" w:sz="4" w:space="0" w:color="auto"/>
            </w:tcBorders>
            <w:shd w:val="clear" w:color="auto" w:fill="auto"/>
            <w:noWrap/>
            <w:vAlign w:val="bottom"/>
            <w:hideMark/>
          </w:tcPr>
          <w:p w14:paraId="42989AB2" w14:textId="1FB19A6A"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975</w:t>
            </w:r>
          </w:p>
        </w:tc>
        <w:tc>
          <w:tcPr>
            <w:tcW w:w="1486" w:type="dxa"/>
            <w:tcBorders>
              <w:top w:val="nil"/>
              <w:left w:val="nil"/>
              <w:bottom w:val="single" w:sz="4" w:space="0" w:color="auto"/>
              <w:right w:val="single" w:sz="4" w:space="0" w:color="auto"/>
            </w:tcBorders>
            <w:shd w:val="clear" w:color="auto" w:fill="auto"/>
            <w:noWrap/>
            <w:vAlign w:val="bottom"/>
            <w:hideMark/>
          </w:tcPr>
          <w:p w14:paraId="42989AB3" w14:textId="1C88812F"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346</w:t>
            </w:r>
          </w:p>
        </w:tc>
        <w:tc>
          <w:tcPr>
            <w:tcW w:w="1553" w:type="dxa"/>
            <w:tcBorders>
              <w:top w:val="nil"/>
              <w:left w:val="nil"/>
              <w:bottom w:val="single" w:sz="4" w:space="0" w:color="auto"/>
              <w:right w:val="single" w:sz="4" w:space="0" w:color="auto"/>
            </w:tcBorders>
            <w:shd w:val="clear" w:color="auto" w:fill="auto"/>
            <w:noWrap/>
            <w:vAlign w:val="bottom"/>
            <w:hideMark/>
          </w:tcPr>
          <w:p w14:paraId="42989AB4" w14:textId="4E22B3ED"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1,321</w:t>
            </w:r>
          </w:p>
        </w:tc>
        <w:tc>
          <w:tcPr>
            <w:tcW w:w="1283"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42989AB5" w14:textId="302F4341"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6</w:t>
            </w:r>
          </w:p>
        </w:tc>
      </w:tr>
      <w:tr w:rsidR="001A25F5" w:rsidRPr="002D07B8" w14:paraId="42989AC0" w14:textId="77777777" w:rsidTr="00970F86">
        <w:trPr>
          <w:trHeight w:val="290"/>
        </w:trPr>
        <w:tc>
          <w:tcPr>
            <w:tcW w:w="2474" w:type="dxa"/>
            <w:tcBorders>
              <w:top w:val="nil"/>
              <w:left w:val="single" w:sz="4" w:space="0" w:color="auto"/>
              <w:bottom w:val="single" w:sz="4" w:space="0" w:color="auto"/>
              <w:right w:val="single" w:sz="4" w:space="0" w:color="auto"/>
            </w:tcBorders>
            <w:shd w:val="clear" w:color="auto" w:fill="auto"/>
            <w:vAlign w:val="center"/>
            <w:hideMark/>
          </w:tcPr>
          <w:p w14:paraId="42989AB7" w14:textId="77777777" w:rsidR="001A25F5" w:rsidRPr="002D07B8" w:rsidRDefault="001A25F5" w:rsidP="001A25F5">
            <w:pPr>
              <w:rPr>
                <w:rFonts w:asciiTheme="minorHAnsi" w:hAnsiTheme="minorHAnsi" w:cstheme="minorHAnsi"/>
                <w:b/>
                <w:bCs/>
                <w:color w:val="000000"/>
                <w:szCs w:val="22"/>
              </w:rPr>
            </w:pPr>
            <w:r w:rsidRPr="002D07B8">
              <w:rPr>
                <w:rFonts w:asciiTheme="minorHAnsi" w:hAnsiTheme="minorHAnsi" w:cstheme="minorHAnsi"/>
                <w:b/>
                <w:bCs/>
                <w:color w:val="000000"/>
                <w:szCs w:val="22"/>
              </w:rPr>
              <w:t>4 North Central</w:t>
            </w:r>
          </w:p>
        </w:tc>
        <w:tc>
          <w:tcPr>
            <w:tcW w:w="1480" w:type="dxa"/>
            <w:tcBorders>
              <w:top w:val="nil"/>
              <w:left w:val="nil"/>
              <w:bottom w:val="single" w:sz="4" w:space="0" w:color="auto"/>
              <w:right w:val="single" w:sz="4" w:space="0" w:color="auto"/>
            </w:tcBorders>
            <w:shd w:val="clear" w:color="auto" w:fill="auto"/>
            <w:noWrap/>
            <w:vAlign w:val="bottom"/>
            <w:hideMark/>
          </w:tcPr>
          <w:p w14:paraId="42989AB8" w14:textId="01B1BC71"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1,804</w:t>
            </w:r>
          </w:p>
        </w:tc>
        <w:tc>
          <w:tcPr>
            <w:tcW w:w="1756" w:type="dxa"/>
            <w:tcBorders>
              <w:top w:val="nil"/>
              <w:left w:val="nil"/>
              <w:bottom w:val="single" w:sz="4" w:space="0" w:color="auto"/>
              <w:right w:val="single" w:sz="4" w:space="0" w:color="auto"/>
            </w:tcBorders>
            <w:shd w:val="clear" w:color="auto" w:fill="auto"/>
            <w:noWrap/>
            <w:vAlign w:val="bottom"/>
            <w:hideMark/>
          </w:tcPr>
          <w:p w14:paraId="42989AB9" w14:textId="282A66AC"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60,918</w:t>
            </w:r>
          </w:p>
        </w:tc>
        <w:tc>
          <w:tcPr>
            <w:tcW w:w="1463" w:type="dxa"/>
            <w:tcBorders>
              <w:top w:val="nil"/>
              <w:left w:val="nil"/>
              <w:bottom w:val="single" w:sz="4" w:space="0" w:color="auto"/>
              <w:right w:val="single" w:sz="4" w:space="0" w:color="auto"/>
            </w:tcBorders>
            <w:shd w:val="clear" w:color="auto" w:fill="auto"/>
            <w:noWrap/>
            <w:vAlign w:val="bottom"/>
            <w:hideMark/>
          </w:tcPr>
          <w:p w14:paraId="42989ABA" w14:textId="2151BC2B"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63,567</w:t>
            </w:r>
          </w:p>
        </w:tc>
        <w:tc>
          <w:tcPr>
            <w:tcW w:w="1283" w:type="dxa"/>
            <w:tcBorders>
              <w:top w:val="nil"/>
              <w:left w:val="nil"/>
              <w:bottom w:val="single" w:sz="4" w:space="0" w:color="auto"/>
              <w:right w:val="single" w:sz="4" w:space="0" w:color="auto"/>
            </w:tcBorders>
            <w:shd w:val="clear" w:color="auto" w:fill="auto"/>
            <w:noWrap/>
            <w:vAlign w:val="bottom"/>
            <w:hideMark/>
          </w:tcPr>
          <w:p w14:paraId="42989ABB" w14:textId="0E7E521E"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4.35%</w:t>
            </w:r>
          </w:p>
        </w:tc>
        <w:tc>
          <w:tcPr>
            <w:tcW w:w="1283" w:type="dxa"/>
            <w:tcBorders>
              <w:top w:val="nil"/>
              <w:left w:val="nil"/>
              <w:bottom w:val="single" w:sz="4" w:space="0" w:color="auto"/>
              <w:right w:val="single" w:sz="4" w:space="0" w:color="auto"/>
            </w:tcBorders>
            <w:shd w:val="clear" w:color="auto" w:fill="auto"/>
            <w:noWrap/>
            <w:vAlign w:val="bottom"/>
            <w:hideMark/>
          </w:tcPr>
          <w:p w14:paraId="42989ABC" w14:textId="51562B56"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7,750</w:t>
            </w:r>
          </w:p>
        </w:tc>
        <w:tc>
          <w:tcPr>
            <w:tcW w:w="1486" w:type="dxa"/>
            <w:tcBorders>
              <w:top w:val="nil"/>
              <w:left w:val="nil"/>
              <w:bottom w:val="single" w:sz="4" w:space="0" w:color="auto"/>
              <w:right w:val="single" w:sz="4" w:space="0" w:color="auto"/>
            </w:tcBorders>
            <w:shd w:val="clear" w:color="auto" w:fill="auto"/>
            <w:noWrap/>
            <w:vAlign w:val="bottom"/>
            <w:hideMark/>
          </w:tcPr>
          <w:p w14:paraId="42989ABD" w14:textId="57008ABA"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1,804</w:t>
            </w:r>
          </w:p>
        </w:tc>
        <w:tc>
          <w:tcPr>
            <w:tcW w:w="1553" w:type="dxa"/>
            <w:tcBorders>
              <w:top w:val="nil"/>
              <w:left w:val="nil"/>
              <w:bottom w:val="single" w:sz="4" w:space="0" w:color="auto"/>
              <w:right w:val="single" w:sz="4" w:space="0" w:color="auto"/>
            </w:tcBorders>
            <w:shd w:val="clear" w:color="auto" w:fill="auto"/>
            <w:noWrap/>
            <w:vAlign w:val="bottom"/>
            <w:hideMark/>
          </w:tcPr>
          <w:p w14:paraId="42989ABE" w14:textId="32FEF689"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9,554</w:t>
            </w:r>
          </w:p>
        </w:tc>
        <w:tc>
          <w:tcPr>
            <w:tcW w:w="1283" w:type="dxa"/>
            <w:tcBorders>
              <w:top w:val="nil"/>
              <w:left w:val="nil"/>
              <w:bottom w:val="single" w:sz="4" w:space="0" w:color="auto"/>
              <w:right w:val="single" w:sz="4" w:space="0" w:color="auto"/>
            </w:tcBorders>
            <w:shd w:val="clear" w:color="auto" w:fill="auto"/>
            <w:noWrap/>
            <w:vAlign w:val="bottom"/>
            <w:hideMark/>
          </w:tcPr>
          <w:p w14:paraId="42989ABF" w14:textId="3B9148AC"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323</w:t>
            </w:r>
          </w:p>
        </w:tc>
      </w:tr>
      <w:tr w:rsidR="001A25F5" w:rsidRPr="002D07B8" w14:paraId="42989ACA" w14:textId="77777777" w:rsidTr="00970F86">
        <w:trPr>
          <w:trHeight w:val="290"/>
        </w:trPr>
        <w:tc>
          <w:tcPr>
            <w:tcW w:w="2474" w:type="dxa"/>
            <w:tcBorders>
              <w:top w:val="nil"/>
              <w:left w:val="single" w:sz="4" w:space="0" w:color="auto"/>
              <w:bottom w:val="single" w:sz="4" w:space="0" w:color="auto"/>
              <w:right w:val="single" w:sz="4" w:space="0" w:color="auto"/>
            </w:tcBorders>
            <w:shd w:val="clear" w:color="auto" w:fill="auto"/>
            <w:vAlign w:val="center"/>
            <w:hideMark/>
          </w:tcPr>
          <w:p w14:paraId="42989AC1" w14:textId="77777777" w:rsidR="001A25F5" w:rsidRPr="002D07B8" w:rsidRDefault="001A25F5" w:rsidP="001A25F5">
            <w:pPr>
              <w:rPr>
                <w:rFonts w:asciiTheme="minorHAnsi" w:hAnsiTheme="minorHAnsi" w:cstheme="minorHAnsi"/>
                <w:b/>
                <w:bCs/>
                <w:color w:val="000000"/>
                <w:szCs w:val="22"/>
              </w:rPr>
            </w:pPr>
            <w:r w:rsidRPr="002D07B8">
              <w:rPr>
                <w:rFonts w:asciiTheme="minorHAnsi" w:hAnsiTheme="minorHAnsi" w:cstheme="minorHAnsi"/>
                <w:b/>
                <w:bCs/>
                <w:color w:val="000000"/>
                <w:szCs w:val="22"/>
              </w:rPr>
              <w:t>5 Tarrant County</w:t>
            </w:r>
          </w:p>
        </w:tc>
        <w:tc>
          <w:tcPr>
            <w:tcW w:w="1480" w:type="dxa"/>
            <w:tcBorders>
              <w:top w:val="nil"/>
              <w:left w:val="nil"/>
              <w:bottom w:val="single" w:sz="4" w:space="0" w:color="auto"/>
              <w:right w:val="single" w:sz="4" w:space="0" w:color="auto"/>
            </w:tcBorders>
            <w:shd w:val="clear" w:color="auto" w:fill="auto"/>
            <w:noWrap/>
            <w:vAlign w:val="bottom"/>
            <w:hideMark/>
          </w:tcPr>
          <w:p w14:paraId="42989AC2" w14:textId="70018D84"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1,654</w:t>
            </w:r>
          </w:p>
        </w:tc>
        <w:tc>
          <w:tcPr>
            <w:tcW w:w="1756" w:type="dxa"/>
            <w:tcBorders>
              <w:top w:val="nil"/>
              <w:left w:val="nil"/>
              <w:bottom w:val="single" w:sz="4" w:space="0" w:color="auto"/>
              <w:right w:val="single" w:sz="4" w:space="0" w:color="auto"/>
            </w:tcBorders>
            <w:shd w:val="clear" w:color="auto" w:fill="auto"/>
            <w:noWrap/>
            <w:vAlign w:val="bottom"/>
            <w:hideMark/>
          </w:tcPr>
          <w:p w14:paraId="42989AC3" w14:textId="1AE58556"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43,593</w:t>
            </w:r>
          </w:p>
        </w:tc>
        <w:tc>
          <w:tcPr>
            <w:tcW w:w="1463" w:type="dxa"/>
            <w:tcBorders>
              <w:top w:val="nil"/>
              <w:left w:val="nil"/>
              <w:bottom w:val="single" w:sz="4" w:space="0" w:color="auto"/>
              <w:right w:val="single" w:sz="4" w:space="0" w:color="auto"/>
            </w:tcBorders>
            <w:shd w:val="clear" w:color="auto" w:fill="auto"/>
            <w:noWrap/>
            <w:vAlign w:val="bottom"/>
            <w:hideMark/>
          </w:tcPr>
          <w:p w14:paraId="42989AC4" w14:textId="0CFBA590"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44,692</w:t>
            </w:r>
          </w:p>
        </w:tc>
        <w:tc>
          <w:tcPr>
            <w:tcW w:w="1283" w:type="dxa"/>
            <w:tcBorders>
              <w:top w:val="nil"/>
              <w:left w:val="nil"/>
              <w:bottom w:val="single" w:sz="4" w:space="0" w:color="auto"/>
              <w:right w:val="single" w:sz="4" w:space="0" w:color="auto"/>
            </w:tcBorders>
            <w:shd w:val="clear" w:color="auto" w:fill="auto"/>
            <w:noWrap/>
            <w:vAlign w:val="bottom"/>
            <w:hideMark/>
          </w:tcPr>
          <w:p w14:paraId="42989AC5" w14:textId="20F081AE"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2.52%</w:t>
            </w:r>
          </w:p>
        </w:tc>
        <w:tc>
          <w:tcPr>
            <w:tcW w:w="1283" w:type="dxa"/>
            <w:tcBorders>
              <w:top w:val="nil"/>
              <w:left w:val="nil"/>
              <w:bottom w:val="single" w:sz="4" w:space="0" w:color="auto"/>
              <w:right w:val="single" w:sz="4" w:space="0" w:color="auto"/>
            </w:tcBorders>
            <w:shd w:val="clear" w:color="auto" w:fill="auto"/>
            <w:noWrap/>
            <w:vAlign w:val="bottom"/>
            <w:hideMark/>
          </w:tcPr>
          <w:p w14:paraId="42989AC6" w14:textId="67540A58"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5,634</w:t>
            </w:r>
          </w:p>
        </w:tc>
        <w:tc>
          <w:tcPr>
            <w:tcW w:w="1486" w:type="dxa"/>
            <w:tcBorders>
              <w:top w:val="nil"/>
              <w:left w:val="nil"/>
              <w:bottom w:val="single" w:sz="4" w:space="0" w:color="auto"/>
              <w:right w:val="single" w:sz="4" w:space="0" w:color="auto"/>
            </w:tcBorders>
            <w:shd w:val="clear" w:color="auto" w:fill="auto"/>
            <w:noWrap/>
            <w:vAlign w:val="bottom"/>
            <w:hideMark/>
          </w:tcPr>
          <w:p w14:paraId="42989AC7" w14:textId="783A3D7B"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1,654</w:t>
            </w:r>
          </w:p>
        </w:tc>
        <w:tc>
          <w:tcPr>
            <w:tcW w:w="1553" w:type="dxa"/>
            <w:tcBorders>
              <w:top w:val="nil"/>
              <w:left w:val="nil"/>
              <w:bottom w:val="single" w:sz="4" w:space="0" w:color="auto"/>
              <w:right w:val="single" w:sz="4" w:space="0" w:color="auto"/>
            </w:tcBorders>
            <w:shd w:val="clear" w:color="auto" w:fill="auto"/>
            <w:noWrap/>
            <w:vAlign w:val="bottom"/>
            <w:hideMark/>
          </w:tcPr>
          <w:p w14:paraId="42989AC8" w14:textId="0890E721"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7,288</w:t>
            </w:r>
          </w:p>
        </w:tc>
        <w:tc>
          <w:tcPr>
            <w:tcW w:w="1283" w:type="dxa"/>
            <w:tcBorders>
              <w:top w:val="nil"/>
              <w:left w:val="nil"/>
              <w:bottom w:val="single" w:sz="4" w:space="0" w:color="auto"/>
              <w:right w:val="single" w:sz="4" w:space="0" w:color="auto"/>
            </w:tcBorders>
            <w:shd w:val="clear" w:color="auto" w:fill="auto"/>
            <w:noWrap/>
            <w:vAlign w:val="bottom"/>
            <w:hideMark/>
          </w:tcPr>
          <w:p w14:paraId="42989AC9" w14:textId="1B25449D"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139</w:t>
            </w:r>
          </w:p>
        </w:tc>
      </w:tr>
      <w:tr w:rsidR="001A25F5" w:rsidRPr="002D07B8" w14:paraId="42989AD4" w14:textId="77777777" w:rsidTr="00970F86">
        <w:trPr>
          <w:trHeight w:val="290"/>
        </w:trPr>
        <w:tc>
          <w:tcPr>
            <w:tcW w:w="2474" w:type="dxa"/>
            <w:tcBorders>
              <w:top w:val="nil"/>
              <w:left w:val="single" w:sz="4" w:space="0" w:color="auto"/>
              <w:bottom w:val="single" w:sz="4" w:space="0" w:color="auto"/>
              <w:right w:val="single" w:sz="4" w:space="0" w:color="auto"/>
            </w:tcBorders>
            <w:shd w:val="clear" w:color="auto" w:fill="auto"/>
            <w:vAlign w:val="center"/>
            <w:hideMark/>
          </w:tcPr>
          <w:p w14:paraId="42989ACB" w14:textId="77777777" w:rsidR="001A25F5" w:rsidRPr="002D07B8" w:rsidRDefault="001A25F5" w:rsidP="001A25F5">
            <w:pPr>
              <w:rPr>
                <w:rFonts w:asciiTheme="minorHAnsi" w:hAnsiTheme="minorHAnsi" w:cstheme="minorHAnsi"/>
                <w:b/>
                <w:bCs/>
                <w:color w:val="000000"/>
                <w:szCs w:val="22"/>
              </w:rPr>
            </w:pPr>
            <w:r w:rsidRPr="002D07B8">
              <w:rPr>
                <w:rFonts w:asciiTheme="minorHAnsi" w:hAnsiTheme="minorHAnsi" w:cstheme="minorHAnsi"/>
                <w:b/>
                <w:bCs/>
                <w:color w:val="000000"/>
                <w:szCs w:val="22"/>
              </w:rPr>
              <w:t>6 Dallas</w:t>
            </w:r>
          </w:p>
        </w:tc>
        <w:tc>
          <w:tcPr>
            <w:tcW w:w="1480" w:type="dxa"/>
            <w:tcBorders>
              <w:top w:val="nil"/>
              <w:left w:val="nil"/>
              <w:bottom w:val="single" w:sz="4" w:space="0" w:color="auto"/>
              <w:right w:val="single" w:sz="4" w:space="0" w:color="auto"/>
            </w:tcBorders>
            <w:shd w:val="clear" w:color="auto" w:fill="auto"/>
            <w:noWrap/>
            <w:vAlign w:val="bottom"/>
            <w:hideMark/>
          </w:tcPr>
          <w:p w14:paraId="42989ACC" w14:textId="6983D06E"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1,896</w:t>
            </w:r>
          </w:p>
        </w:tc>
        <w:tc>
          <w:tcPr>
            <w:tcW w:w="1756" w:type="dxa"/>
            <w:tcBorders>
              <w:top w:val="nil"/>
              <w:left w:val="nil"/>
              <w:bottom w:val="single" w:sz="4" w:space="0" w:color="auto"/>
              <w:right w:val="single" w:sz="4" w:space="0" w:color="auto"/>
            </w:tcBorders>
            <w:shd w:val="clear" w:color="auto" w:fill="auto"/>
            <w:noWrap/>
            <w:vAlign w:val="bottom"/>
            <w:hideMark/>
          </w:tcPr>
          <w:p w14:paraId="42989ACD" w14:textId="2A9C22D5"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76,445</w:t>
            </w:r>
          </w:p>
        </w:tc>
        <w:tc>
          <w:tcPr>
            <w:tcW w:w="1463" w:type="dxa"/>
            <w:tcBorders>
              <w:top w:val="nil"/>
              <w:left w:val="nil"/>
              <w:bottom w:val="single" w:sz="4" w:space="0" w:color="auto"/>
              <w:right w:val="single" w:sz="4" w:space="0" w:color="auto"/>
            </w:tcBorders>
            <w:shd w:val="clear" w:color="auto" w:fill="auto"/>
            <w:noWrap/>
            <w:vAlign w:val="bottom"/>
            <w:hideMark/>
          </w:tcPr>
          <w:p w14:paraId="42989ACE" w14:textId="3616D23A"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77,437</w:t>
            </w:r>
          </w:p>
        </w:tc>
        <w:tc>
          <w:tcPr>
            <w:tcW w:w="1283" w:type="dxa"/>
            <w:tcBorders>
              <w:top w:val="nil"/>
              <w:left w:val="nil"/>
              <w:bottom w:val="single" w:sz="4" w:space="0" w:color="auto"/>
              <w:right w:val="single" w:sz="4" w:space="0" w:color="auto"/>
            </w:tcBorders>
            <w:shd w:val="clear" w:color="auto" w:fill="auto"/>
            <w:noWrap/>
            <w:vAlign w:val="bottom"/>
            <w:hideMark/>
          </w:tcPr>
          <w:p w14:paraId="42989ACF" w14:textId="220C707C"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1.30%</w:t>
            </w:r>
          </w:p>
        </w:tc>
        <w:tc>
          <w:tcPr>
            <w:tcW w:w="1283" w:type="dxa"/>
            <w:tcBorders>
              <w:top w:val="nil"/>
              <w:left w:val="nil"/>
              <w:bottom w:val="single" w:sz="4" w:space="0" w:color="auto"/>
              <w:right w:val="single" w:sz="4" w:space="0" w:color="auto"/>
            </w:tcBorders>
            <w:shd w:val="clear" w:color="auto" w:fill="auto"/>
            <w:noWrap/>
            <w:vAlign w:val="bottom"/>
            <w:hideMark/>
          </w:tcPr>
          <w:p w14:paraId="42989AD0" w14:textId="170642CF"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9,855</w:t>
            </w:r>
          </w:p>
        </w:tc>
        <w:tc>
          <w:tcPr>
            <w:tcW w:w="1486" w:type="dxa"/>
            <w:tcBorders>
              <w:top w:val="nil"/>
              <w:left w:val="nil"/>
              <w:bottom w:val="single" w:sz="4" w:space="0" w:color="auto"/>
              <w:right w:val="single" w:sz="4" w:space="0" w:color="auto"/>
            </w:tcBorders>
            <w:shd w:val="clear" w:color="auto" w:fill="auto"/>
            <w:noWrap/>
            <w:vAlign w:val="bottom"/>
            <w:hideMark/>
          </w:tcPr>
          <w:p w14:paraId="42989AD1" w14:textId="689A8168"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1,896</w:t>
            </w:r>
          </w:p>
        </w:tc>
        <w:tc>
          <w:tcPr>
            <w:tcW w:w="1553" w:type="dxa"/>
            <w:tcBorders>
              <w:top w:val="nil"/>
              <w:left w:val="nil"/>
              <w:bottom w:val="single" w:sz="4" w:space="0" w:color="auto"/>
              <w:right w:val="single" w:sz="4" w:space="0" w:color="auto"/>
            </w:tcBorders>
            <w:shd w:val="clear" w:color="auto" w:fill="auto"/>
            <w:noWrap/>
            <w:vAlign w:val="bottom"/>
            <w:hideMark/>
          </w:tcPr>
          <w:p w14:paraId="42989AD2" w14:textId="1EF51C22"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11,751</w:t>
            </w:r>
          </w:p>
        </w:tc>
        <w:tc>
          <w:tcPr>
            <w:tcW w:w="1283" w:type="dxa"/>
            <w:tcBorders>
              <w:top w:val="nil"/>
              <w:left w:val="nil"/>
              <w:bottom w:val="single" w:sz="4" w:space="0" w:color="auto"/>
              <w:right w:val="single" w:sz="4" w:space="0" w:color="auto"/>
            </w:tcBorders>
            <w:shd w:val="clear" w:color="auto" w:fill="auto"/>
            <w:noWrap/>
            <w:vAlign w:val="bottom"/>
            <w:hideMark/>
          </w:tcPr>
          <w:p w14:paraId="42989AD3" w14:textId="403FCB05"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126</w:t>
            </w:r>
          </w:p>
        </w:tc>
      </w:tr>
      <w:tr w:rsidR="001A25F5" w:rsidRPr="002D07B8" w14:paraId="42989ADE" w14:textId="77777777" w:rsidTr="00970F86">
        <w:trPr>
          <w:trHeight w:val="290"/>
        </w:trPr>
        <w:tc>
          <w:tcPr>
            <w:tcW w:w="2474" w:type="dxa"/>
            <w:tcBorders>
              <w:top w:val="nil"/>
              <w:left w:val="single" w:sz="4" w:space="0" w:color="auto"/>
              <w:bottom w:val="single" w:sz="4" w:space="0" w:color="auto"/>
              <w:right w:val="single" w:sz="4" w:space="0" w:color="auto"/>
            </w:tcBorders>
            <w:shd w:val="clear" w:color="auto" w:fill="auto"/>
            <w:vAlign w:val="center"/>
            <w:hideMark/>
          </w:tcPr>
          <w:p w14:paraId="42989AD5" w14:textId="77777777" w:rsidR="001A25F5" w:rsidRPr="002D07B8" w:rsidRDefault="001A25F5" w:rsidP="001A25F5">
            <w:pPr>
              <w:rPr>
                <w:rFonts w:asciiTheme="minorHAnsi" w:hAnsiTheme="minorHAnsi" w:cstheme="minorHAnsi"/>
                <w:b/>
                <w:bCs/>
                <w:color w:val="000000"/>
                <w:szCs w:val="22"/>
              </w:rPr>
            </w:pPr>
            <w:r w:rsidRPr="002D07B8">
              <w:rPr>
                <w:rFonts w:asciiTheme="minorHAnsi" w:hAnsiTheme="minorHAnsi" w:cstheme="minorHAnsi"/>
                <w:b/>
                <w:bCs/>
                <w:color w:val="000000"/>
                <w:szCs w:val="22"/>
              </w:rPr>
              <w:t>7 North East Texas</w:t>
            </w:r>
          </w:p>
        </w:tc>
        <w:tc>
          <w:tcPr>
            <w:tcW w:w="1480" w:type="dxa"/>
            <w:tcBorders>
              <w:top w:val="nil"/>
              <w:left w:val="nil"/>
              <w:bottom w:val="single" w:sz="4" w:space="0" w:color="auto"/>
              <w:right w:val="single" w:sz="4" w:space="0" w:color="auto"/>
            </w:tcBorders>
            <w:shd w:val="clear" w:color="auto" w:fill="auto"/>
            <w:noWrap/>
            <w:vAlign w:val="bottom"/>
            <w:hideMark/>
          </w:tcPr>
          <w:p w14:paraId="42989AD6" w14:textId="73015F5D"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446</w:t>
            </w:r>
          </w:p>
        </w:tc>
        <w:tc>
          <w:tcPr>
            <w:tcW w:w="1756" w:type="dxa"/>
            <w:tcBorders>
              <w:top w:val="nil"/>
              <w:left w:val="nil"/>
              <w:bottom w:val="single" w:sz="4" w:space="0" w:color="auto"/>
              <w:right w:val="single" w:sz="4" w:space="0" w:color="auto"/>
            </w:tcBorders>
            <w:shd w:val="clear" w:color="auto" w:fill="auto"/>
            <w:noWrap/>
            <w:vAlign w:val="bottom"/>
            <w:hideMark/>
          </w:tcPr>
          <w:p w14:paraId="42989AD7" w14:textId="24BD3973"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6,535</w:t>
            </w:r>
          </w:p>
        </w:tc>
        <w:tc>
          <w:tcPr>
            <w:tcW w:w="1463" w:type="dxa"/>
            <w:tcBorders>
              <w:top w:val="nil"/>
              <w:left w:val="nil"/>
              <w:bottom w:val="single" w:sz="4" w:space="0" w:color="auto"/>
              <w:right w:val="single" w:sz="4" w:space="0" w:color="auto"/>
            </w:tcBorders>
            <w:shd w:val="clear" w:color="auto" w:fill="auto"/>
            <w:noWrap/>
            <w:vAlign w:val="bottom"/>
            <w:hideMark/>
          </w:tcPr>
          <w:p w14:paraId="42989AD8" w14:textId="79EEB995"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6,698</w:t>
            </w:r>
          </w:p>
        </w:tc>
        <w:tc>
          <w:tcPr>
            <w:tcW w:w="1283" w:type="dxa"/>
            <w:tcBorders>
              <w:top w:val="nil"/>
              <w:left w:val="nil"/>
              <w:bottom w:val="single" w:sz="4" w:space="0" w:color="auto"/>
              <w:right w:val="single" w:sz="4" w:space="0" w:color="auto"/>
            </w:tcBorders>
            <w:shd w:val="clear" w:color="auto" w:fill="auto"/>
            <w:noWrap/>
            <w:vAlign w:val="bottom"/>
            <w:hideMark/>
          </w:tcPr>
          <w:p w14:paraId="42989AD9" w14:textId="3706B814"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2.49%</w:t>
            </w:r>
          </w:p>
        </w:tc>
        <w:tc>
          <w:tcPr>
            <w:tcW w:w="1283" w:type="dxa"/>
            <w:tcBorders>
              <w:top w:val="nil"/>
              <w:left w:val="nil"/>
              <w:bottom w:val="single" w:sz="4" w:space="0" w:color="auto"/>
              <w:right w:val="single" w:sz="4" w:space="0" w:color="auto"/>
            </w:tcBorders>
            <w:shd w:val="clear" w:color="auto" w:fill="auto"/>
            <w:noWrap/>
            <w:vAlign w:val="bottom"/>
            <w:hideMark/>
          </w:tcPr>
          <w:p w14:paraId="42989ADA" w14:textId="3AB45B2A"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1,428</w:t>
            </w:r>
          </w:p>
        </w:tc>
        <w:tc>
          <w:tcPr>
            <w:tcW w:w="1486" w:type="dxa"/>
            <w:tcBorders>
              <w:top w:val="nil"/>
              <w:left w:val="nil"/>
              <w:bottom w:val="single" w:sz="4" w:space="0" w:color="auto"/>
              <w:right w:val="single" w:sz="4" w:space="0" w:color="auto"/>
            </w:tcBorders>
            <w:shd w:val="clear" w:color="auto" w:fill="auto"/>
            <w:noWrap/>
            <w:vAlign w:val="bottom"/>
            <w:hideMark/>
          </w:tcPr>
          <w:p w14:paraId="42989ADB" w14:textId="6B6A5EF8"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446</w:t>
            </w:r>
          </w:p>
        </w:tc>
        <w:tc>
          <w:tcPr>
            <w:tcW w:w="1553" w:type="dxa"/>
            <w:tcBorders>
              <w:top w:val="nil"/>
              <w:left w:val="nil"/>
              <w:bottom w:val="single" w:sz="4" w:space="0" w:color="auto"/>
              <w:right w:val="single" w:sz="4" w:space="0" w:color="auto"/>
            </w:tcBorders>
            <w:shd w:val="clear" w:color="auto" w:fill="auto"/>
            <w:noWrap/>
            <w:vAlign w:val="bottom"/>
            <w:hideMark/>
          </w:tcPr>
          <w:p w14:paraId="42989ADC" w14:textId="6B720838"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1,874</w:t>
            </w:r>
          </w:p>
        </w:tc>
        <w:tc>
          <w:tcPr>
            <w:tcW w:w="1283" w:type="dxa"/>
            <w:tcBorders>
              <w:top w:val="nil"/>
              <w:left w:val="nil"/>
              <w:bottom w:val="single" w:sz="4" w:space="0" w:color="auto"/>
              <w:right w:val="single" w:sz="4" w:space="0" w:color="auto"/>
            </w:tcBorders>
            <w:shd w:val="clear" w:color="auto" w:fill="auto"/>
            <w:noWrap/>
            <w:vAlign w:val="bottom"/>
            <w:hideMark/>
          </w:tcPr>
          <w:p w14:paraId="42989ADD" w14:textId="1EDF9A45"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35</w:t>
            </w:r>
          </w:p>
        </w:tc>
      </w:tr>
      <w:tr w:rsidR="001A25F5" w:rsidRPr="002D07B8" w14:paraId="42989AE8" w14:textId="77777777" w:rsidTr="00970F86">
        <w:trPr>
          <w:trHeight w:val="290"/>
        </w:trPr>
        <w:tc>
          <w:tcPr>
            <w:tcW w:w="2474" w:type="dxa"/>
            <w:tcBorders>
              <w:top w:val="nil"/>
              <w:left w:val="single" w:sz="4" w:space="0" w:color="auto"/>
              <w:bottom w:val="single" w:sz="4" w:space="0" w:color="auto"/>
              <w:right w:val="single" w:sz="4" w:space="0" w:color="auto"/>
            </w:tcBorders>
            <w:shd w:val="clear" w:color="auto" w:fill="auto"/>
            <w:vAlign w:val="center"/>
            <w:hideMark/>
          </w:tcPr>
          <w:p w14:paraId="42989ADF" w14:textId="77777777" w:rsidR="001A25F5" w:rsidRPr="002D07B8" w:rsidRDefault="001A25F5" w:rsidP="001A25F5">
            <w:pPr>
              <w:rPr>
                <w:rFonts w:asciiTheme="minorHAnsi" w:hAnsiTheme="minorHAnsi" w:cstheme="minorHAnsi"/>
                <w:b/>
                <w:bCs/>
                <w:color w:val="000000"/>
                <w:szCs w:val="22"/>
              </w:rPr>
            </w:pPr>
            <w:r w:rsidRPr="002D07B8">
              <w:rPr>
                <w:rFonts w:asciiTheme="minorHAnsi" w:hAnsiTheme="minorHAnsi" w:cstheme="minorHAnsi"/>
                <w:b/>
                <w:bCs/>
                <w:color w:val="000000"/>
                <w:szCs w:val="22"/>
              </w:rPr>
              <w:t>8 East Texas</w:t>
            </w:r>
          </w:p>
        </w:tc>
        <w:tc>
          <w:tcPr>
            <w:tcW w:w="1480" w:type="dxa"/>
            <w:tcBorders>
              <w:top w:val="nil"/>
              <w:left w:val="nil"/>
              <w:bottom w:val="single" w:sz="4" w:space="0" w:color="auto"/>
              <w:right w:val="single" w:sz="4" w:space="0" w:color="auto"/>
            </w:tcBorders>
            <w:shd w:val="clear" w:color="auto" w:fill="auto"/>
            <w:noWrap/>
            <w:vAlign w:val="bottom"/>
            <w:hideMark/>
          </w:tcPr>
          <w:p w14:paraId="42989AE0" w14:textId="18A8365E"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877</w:t>
            </w:r>
          </w:p>
        </w:tc>
        <w:tc>
          <w:tcPr>
            <w:tcW w:w="1756" w:type="dxa"/>
            <w:tcBorders>
              <w:top w:val="nil"/>
              <w:left w:val="nil"/>
              <w:bottom w:val="single" w:sz="4" w:space="0" w:color="auto"/>
              <w:right w:val="single" w:sz="4" w:space="0" w:color="auto"/>
            </w:tcBorders>
            <w:shd w:val="clear" w:color="auto" w:fill="auto"/>
            <w:noWrap/>
            <w:vAlign w:val="bottom"/>
            <w:hideMark/>
          </w:tcPr>
          <w:p w14:paraId="42989AE1" w14:textId="430834EA"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20,227</w:t>
            </w:r>
          </w:p>
        </w:tc>
        <w:tc>
          <w:tcPr>
            <w:tcW w:w="1463" w:type="dxa"/>
            <w:tcBorders>
              <w:top w:val="nil"/>
              <w:left w:val="nil"/>
              <w:bottom w:val="single" w:sz="4" w:space="0" w:color="auto"/>
              <w:right w:val="single" w:sz="4" w:space="0" w:color="auto"/>
            </w:tcBorders>
            <w:shd w:val="clear" w:color="auto" w:fill="auto"/>
            <w:noWrap/>
            <w:vAlign w:val="bottom"/>
            <w:hideMark/>
          </w:tcPr>
          <w:p w14:paraId="42989AE2" w14:textId="12320302"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20,419</w:t>
            </w:r>
          </w:p>
        </w:tc>
        <w:tc>
          <w:tcPr>
            <w:tcW w:w="1283" w:type="dxa"/>
            <w:tcBorders>
              <w:top w:val="nil"/>
              <w:left w:val="nil"/>
              <w:bottom w:val="single" w:sz="4" w:space="0" w:color="auto"/>
              <w:right w:val="single" w:sz="4" w:space="0" w:color="auto"/>
            </w:tcBorders>
            <w:shd w:val="clear" w:color="auto" w:fill="auto"/>
            <w:noWrap/>
            <w:vAlign w:val="bottom"/>
            <w:hideMark/>
          </w:tcPr>
          <w:p w14:paraId="42989AE3" w14:textId="53314A8E"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0.95%</w:t>
            </w:r>
          </w:p>
        </w:tc>
        <w:tc>
          <w:tcPr>
            <w:tcW w:w="1283" w:type="dxa"/>
            <w:tcBorders>
              <w:top w:val="nil"/>
              <w:left w:val="nil"/>
              <w:bottom w:val="single" w:sz="4" w:space="0" w:color="auto"/>
              <w:right w:val="single" w:sz="4" w:space="0" w:color="auto"/>
            </w:tcBorders>
            <w:shd w:val="clear" w:color="auto" w:fill="auto"/>
            <w:noWrap/>
            <w:vAlign w:val="bottom"/>
            <w:hideMark/>
          </w:tcPr>
          <w:p w14:paraId="42989AE4" w14:textId="7639562D"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2,838</w:t>
            </w:r>
          </w:p>
        </w:tc>
        <w:tc>
          <w:tcPr>
            <w:tcW w:w="1486" w:type="dxa"/>
            <w:tcBorders>
              <w:top w:val="nil"/>
              <w:left w:val="nil"/>
              <w:bottom w:val="single" w:sz="4" w:space="0" w:color="auto"/>
              <w:right w:val="single" w:sz="4" w:space="0" w:color="auto"/>
            </w:tcBorders>
            <w:shd w:val="clear" w:color="auto" w:fill="auto"/>
            <w:noWrap/>
            <w:vAlign w:val="bottom"/>
            <w:hideMark/>
          </w:tcPr>
          <w:p w14:paraId="42989AE5" w14:textId="2F3893AA"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877</w:t>
            </w:r>
          </w:p>
        </w:tc>
        <w:tc>
          <w:tcPr>
            <w:tcW w:w="1553" w:type="dxa"/>
            <w:tcBorders>
              <w:top w:val="nil"/>
              <w:left w:val="nil"/>
              <w:bottom w:val="single" w:sz="4" w:space="0" w:color="auto"/>
              <w:right w:val="single" w:sz="4" w:space="0" w:color="auto"/>
            </w:tcBorders>
            <w:shd w:val="clear" w:color="auto" w:fill="auto"/>
            <w:noWrap/>
            <w:vAlign w:val="bottom"/>
            <w:hideMark/>
          </w:tcPr>
          <w:p w14:paraId="42989AE6" w14:textId="29A29BCE"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3,715</w:t>
            </w:r>
          </w:p>
        </w:tc>
        <w:tc>
          <w:tcPr>
            <w:tcW w:w="1283" w:type="dxa"/>
            <w:tcBorders>
              <w:top w:val="nil"/>
              <w:left w:val="nil"/>
              <w:bottom w:val="single" w:sz="4" w:space="0" w:color="auto"/>
              <w:right w:val="single" w:sz="4" w:space="0" w:color="auto"/>
            </w:tcBorders>
            <w:shd w:val="clear" w:color="auto" w:fill="auto"/>
            <w:noWrap/>
            <w:vAlign w:val="bottom"/>
            <w:hideMark/>
          </w:tcPr>
          <w:p w14:paraId="42989AE7" w14:textId="559955E1"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27</w:t>
            </w:r>
          </w:p>
        </w:tc>
      </w:tr>
      <w:tr w:rsidR="001A25F5" w:rsidRPr="002D07B8" w14:paraId="42989AF2" w14:textId="77777777" w:rsidTr="00970F86">
        <w:trPr>
          <w:trHeight w:val="290"/>
        </w:trPr>
        <w:tc>
          <w:tcPr>
            <w:tcW w:w="2474" w:type="dxa"/>
            <w:tcBorders>
              <w:top w:val="nil"/>
              <w:left w:val="single" w:sz="4" w:space="0" w:color="auto"/>
              <w:bottom w:val="single" w:sz="4" w:space="0" w:color="auto"/>
              <w:right w:val="single" w:sz="4" w:space="0" w:color="auto"/>
            </w:tcBorders>
            <w:shd w:val="clear" w:color="auto" w:fill="auto"/>
            <w:vAlign w:val="center"/>
            <w:hideMark/>
          </w:tcPr>
          <w:p w14:paraId="42989AE9" w14:textId="77777777" w:rsidR="001A25F5" w:rsidRPr="002D07B8" w:rsidRDefault="001A25F5" w:rsidP="001A25F5">
            <w:pPr>
              <w:rPr>
                <w:rFonts w:asciiTheme="minorHAnsi" w:hAnsiTheme="minorHAnsi" w:cstheme="minorHAnsi"/>
                <w:b/>
                <w:bCs/>
                <w:color w:val="000000"/>
                <w:szCs w:val="22"/>
              </w:rPr>
            </w:pPr>
            <w:r w:rsidRPr="002D07B8">
              <w:rPr>
                <w:rFonts w:asciiTheme="minorHAnsi" w:hAnsiTheme="minorHAnsi" w:cstheme="minorHAnsi"/>
                <w:b/>
                <w:bCs/>
                <w:color w:val="000000"/>
                <w:szCs w:val="22"/>
              </w:rPr>
              <w:t>9 West Central Texas</w:t>
            </w:r>
          </w:p>
        </w:tc>
        <w:tc>
          <w:tcPr>
            <w:tcW w:w="1480" w:type="dxa"/>
            <w:tcBorders>
              <w:top w:val="nil"/>
              <w:left w:val="nil"/>
              <w:bottom w:val="single" w:sz="4" w:space="0" w:color="auto"/>
              <w:right w:val="single" w:sz="4" w:space="0" w:color="auto"/>
            </w:tcBorders>
            <w:shd w:val="clear" w:color="auto" w:fill="auto"/>
            <w:noWrap/>
            <w:vAlign w:val="bottom"/>
            <w:hideMark/>
          </w:tcPr>
          <w:p w14:paraId="42989AEA" w14:textId="37C4146E"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563</w:t>
            </w:r>
          </w:p>
        </w:tc>
        <w:tc>
          <w:tcPr>
            <w:tcW w:w="1756" w:type="dxa"/>
            <w:tcBorders>
              <w:top w:val="nil"/>
              <w:left w:val="nil"/>
              <w:bottom w:val="single" w:sz="4" w:space="0" w:color="auto"/>
              <w:right w:val="single" w:sz="4" w:space="0" w:color="auto"/>
            </w:tcBorders>
            <w:shd w:val="clear" w:color="auto" w:fill="auto"/>
            <w:noWrap/>
            <w:vAlign w:val="bottom"/>
            <w:hideMark/>
          </w:tcPr>
          <w:p w14:paraId="42989AEB" w14:textId="47DB5720"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8,708</w:t>
            </w:r>
          </w:p>
        </w:tc>
        <w:tc>
          <w:tcPr>
            <w:tcW w:w="1463" w:type="dxa"/>
            <w:tcBorders>
              <w:top w:val="nil"/>
              <w:left w:val="nil"/>
              <w:bottom w:val="single" w:sz="4" w:space="0" w:color="auto"/>
              <w:right w:val="single" w:sz="4" w:space="0" w:color="auto"/>
            </w:tcBorders>
            <w:shd w:val="clear" w:color="auto" w:fill="auto"/>
            <w:noWrap/>
            <w:vAlign w:val="bottom"/>
            <w:hideMark/>
          </w:tcPr>
          <w:p w14:paraId="42989AEC" w14:textId="545AD12D"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8,744</w:t>
            </w:r>
          </w:p>
        </w:tc>
        <w:tc>
          <w:tcPr>
            <w:tcW w:w="1283" w:type="dxa"/>
            <w:tcBorders>
              <w:top w:val="nil"/>
              <w:left w:val="nil"/>
              <w:bottom w:val="single" w:sz="4" w:space="0" w:color="auto"/>
              <w:right w:val="single" w:sz="4" w:space="0" w:color="auto"/>
            </w:tcBorders>
            <w:shd w:val="clear" w:color="auto" w:fill="auto"/>
            <w:noWrap/>
            <w:vAlign w:val="bottom"/>
            <w:hideMark/>
          </w:tcPr>
          <w:p w14:paraId="42989AED" w14:textId="100717FE"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0.41%</w:t>
            </w:r>
          </w:p>
        </w:tc>
        <w:tc>
          <w:tcPr>
            <w:tcW w:w="1283" w:type="dxa"/>
            <w:tcBorders>
              <w:top w:val="nil"/>
              <w:left w:val="nil"/>
              <w:bottom w:val="single" w:sz="4" w:space="0" w:color="auto"/>
              <w:right w:val="single" w:sz="4" w:space="0" w:color="auto"/>
            </w:tcBorders>
            <w:shd w:val="clear" w:color="auto" w:fill="auto"/>
            <w:noWrap/>
            <w:vAlign w:val="bottom"/>
            <w:hideMark/>
          </w:tcPr>
          <w:p w14:paraId="42989AEE" w14:textId="014EEF75"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1,611</w:t>
            </w:r>
          </w:p>
        </w:tc>
        <w:tc>
          <w:tcPr>
            <w:tcW w:w="1486" w:type="dxa"/>
            <w:tcBorders>
              <w:top w:val="nil"/>
              <w:left w:val="nil"/>
              <w:bottom w:val="single" w:sz="4" w:space="0" w:color="auto"/>
              <w:right w:val="single" w:sz="4" w:space="0" w:color="auto"/>
            </w:tcBorders>
            <w:shd w:val="clear" w:color="auto" w:fill="auto"/>
            <w:noWrap/>
            <w:vAlign w:val="bottom"/>
            <w:hideMark/>
          </w:tcPr>
          <w:p w14:paraId="42989AEF" w14:textId="129B6AFF"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563</w:t>
            </w:r>
          </w:p>
        </w:tc>
        <w:tc>
          <w:tcPr>
            <w:tcW w:w="1553" w:type="dxa"/>
            <w:tcBorders>
              <w:top w:val="nil"/>
              <w:left w:val="nil"/>
              <w:bottom w:val="single" w:sz="4" w:space="0" w:color="auto"/>
              <w:right w:val="single" w:sz="4" w:space="0" w:color="auto"/>
            </w:tcBorders>
            <w:shd w:val="clear" w:color="auto" w:fill="auto"/>
            <w:noWrap/>
            <w:vAlign w:val="bottom"/>
            <w:hideMark/>
          </w:tcPr>
          <w:p w14:paraId="42989AF0" w14:textId="79721344"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2,174</w:t>
            </w:r>
          </w:p>
        </w:tc>
        <w:tc>
          <w:tcPr>
            <w:tcW w:w="1283" w:type="dxa"/>
            <w:tcBorders>
              <w:top w:val="nil"/>
              <w:left w:val="nil"/>
              <w:bottom w:val="single" w:sz="4" w:space="0" w:color="auto"/>
              <w:right w:val="single" w:sz="4" w:space="0" w:color="auto"/>
            </w:tcBorders>
            <w:shd w:val="clear" w:color="auto" w:fill="auto"/>
            <w:noWrap/>
            <w:vAlign w:val="bottom"/>
            <w:hideMark/>
          </w:tcPr>
          <w:p w14:paraId="42989AF1" w14:textId="22683BA3"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7</w:t>
            </w:r>
          </w:p>
        </w:tc>
      </w:tr>
      <w:tr w:rsidR="001A25F5" w:rsidRPr="002D07B8" w14:paraId="42989AFC" w14:textId="77777777" w:rsidTr="00970F86">
        <w:trPr>
          <w:trHeight w:val="290"/>
        </w:trPr>
        <w:tc>
          <w:tcPr>
            <w:tcW w:w="2474" w:type="dxa"/>
            <w:tcBorders>
              <w:top w:val="nil"/>
              <w:left w:val="single" w:sz="4" w:space="0" w:color="auto"/>
              <w:bottom w:val="single" w:sz="4" w:space="0" w:color="auto"/>
              <w:right w:val="single" w:sz="4" w:space="0" w:color="auto"/>
            </w:tcBorders>
            <w:shd w:val="clear" w:color="auto" w:fill="auto"/>
            <w:vAlign w:val="center"/>
            <w:hideMark/>
          </w:tcPr>
          <w:p w14:paraId="42989AF3" w14:textId="77777777" w:rsidR="001A25F5" w:rsidRPr="002D07B8" w:rsidRDefault="001A25F5" w:rsidP="001A25F5">
            <w:pPr>
              <w:rPr>
                <w:rFonts w:asciiTheme="minorHAnsi" w:hAnsiTheme="minorHAnsi" w:cstheme="minorHAnsi"/>
                <w:b/>
                <w:bCs/>
                <w:color w:val="000000"/>
                <w:szCs w:val="22"/>
              </w:rPr>
            </w:pPr>
            <w:r w:rsidRPr="002D07B8">
              <w:rPr>
                <w:rFonts w:asciiTheme="minorHAnsi" w:hAnsiTheme="minorHAnsi" w:cstheme="minorHAnsi"/>
                <w:b/>
                <w:bCs/>
                <w:color w:val="000000"/>
                <w:szCs w:val="22"/>
              </w:rPr>
              <w:t>10 Borderplex</w:t>
            </w:r>
          </w:p>
        </w:tc>
        <w:tc>
          <w:tcPr>
            <w:tcW w:w="1480" w:type="dxa"/>
            <w:tcBorders>
              <w:top w:val="nil"/>
              <w:left w:val="nil"/>
              <w:bottom w:val="single" w:sz="4" w:space="0" w:color="auto"/>
              <w:right w:val="single" w:sz="4" w:space="0" w:color="auto"/>
            </w:tcBorders>
            <w:shd w:val="clear" w:color="auto" w:fill="auto"/>
            <w:noWrap/>
            <w:vAlign w:val="bottom"/>
            <w:hideMark/>
          </w:tcPr>
          <w:p w14:paraId="42989AF4" w14:textId="76A9AC64"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839</w:t>
            </w:r>
          </w:p>
        </w:tc>
        <w:tc>
          <w:tcPr>
            <w:tcW w:w="1756" w:type="dxa"/>
            <w:tcBorders>
              <w:top w:val="nil"/>
              <w:left w:val="nil"/>
              <w:bottom w:val="single" w:sz="4" w:space="0" w:color="auto"/>
              <w:right w:val="single" w:sz="4" w:space="0" w:color="auto"/>
            </w:tcBorders>
            <w:shd w:val="clear" w:color="auto" w:fill="auto"/>
            <w:noWrap/>
            <w:vAlign w:val="bottom"/>
            <w:hideMark/>
          </w:tcPr>
          <w:p w14:paraId="42989AF5" w14:textId="5FE1DFFA"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15,963</w:t>
            </w:r>
          </w:p>
        </w:tc>
        <w:tc>
          <w:tcPr>
            <w:tcW w:w="1463" w:type="dxa"/>
            <w:tcBorders>
              <w:top w:val="nil"/>
              <w:left w:val="nil"/>
              <w:bottom w:val="single" w:sz="4" w:space="0" w:color="auto"/>
              <w:right w:val="single" w:sz="4" w:space="0" w:color="auto"/>
            </w:tcBorders>
            <w:shd w:val="clear" w:color="auto" w:fill="auto"/>
            <w:noWrap/>
            <w:vAlign w:val="bottom"/>
            <w:hideMark/>
          </w:tcPr>
          <w:p w14:paraId="42989AF6" w14:textId="5F50EBAD"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16,207</w:t>
            </w:r>
          </w:p>
        </w:tc>
        <w:tc>
          <w:tcPr>
            <w:tcW w:w="1283" w:type="dxa"/>
            <w:tcBorders>
              <w:top w:val="nil"/>
              <w:left w:val="nil"/>
              <w:bottom w:val="single" w:sz="4" w:space="0" w:color="auto"/>
              <w:right w:val="single" w:sz="4" w:space="0" w:color="auto"/>
            </w:tcBorders>
            <w:shd w:val="clear" w:color="auto" w:fill="auto"/>
            <w:noWrap/>
            <w:vAlign w:val="bottom"/>
            <w:hideMark/>
          </w:tcPr>
          <w:p w14:paraId="42989AF7" w14:textId="267FB662"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1.53%</w:t>
            </w:r>
          </w:p>
        </w:tc>
        <w:tc>
          <w:tcPr>
            <w:tcW w:w="1283" w:type="dxa"/>
            <w:tcBorders>
              <w:top w:val="nil"/>
              <w:left w:val="nil"/>
              <w:bottom w:val="single" w:sz="4" w:space="0" w:color="auto"/>
              <w:right w:val="single" w:sz="4" w:space="0" w:color="auto"/>
            </w:tcBorders>
            <w:shd w:val="clear" w:color="auto" w:fill="auto"/>
            <w:noWrap/>
            <w:vAlign w:val="bottom"/>
            <w:hideMark/>
          </w:tcPr>
          <w:p w14:paraId="42989AF8" w14:textId="53C89D62"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3,491</w:t>
            </w:r>
          </w:p>
        </w:tc>
        <w:tc>
          <w:tcPr>
            <w:tcW w:w="1486" w:type="dxa"/>
            <w:tcBorders>
              <w:top w:val="nil"/>
              <w:left w:val="nil"/>
              <w:bottom w:val="single" w:sz="4" w:space="0" w:color="auto"/>
              <w:right w:val="single" w:sz="4" w:space="0" w:color="auto"/>
            </w:tcBorders>
            <w:shd w:val="clear" w:color="auto" w:fill="auto"/>
            <w:noWrap/>
            <w:vAlign w:val="bottom"/>
            <w:hideMark/>
          </w:tcPr>
          <w:p w14:paraId="42989AF9" w14:textId="133F7AF3"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839</w:t>
            </w:r>
          </w:p>
        </w:tc>
        <w:tc>
          <w:tcPr>
            <w:tcW w:w="1553" w:type="dxa"/>
            <w:tcBorders>
              <w:top w:val="nil"/>
              <w:left w:val="nil"/>
              <w:bottom w:val="single" w:sz="4" w:space="0" w:color="auto"/>
              <w:right w:val="single" w:sz="4" w:space="0" w:color="auto"/>
            </w:tcBorders>
            <w:shd w:val="clear" w:color="auto" w:fill="auto"/>
            <w:noWrap/>
            <w:vAlign w:val="bottom"/>
            <w:hideMark/>
          </w:tcPr>
          <w:p w14:paraId="42989AFA" w14:textId="458B988B"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4,330</w:t>
            </w:r>
          </w:p>
        </w:tc>
        <w:tc>
          <w:tcPr>
            <w:tcW w:w="1283" w:type="dxa"/>
            <w:tcBorders>
              <w:top w:val="nil"/>
              <w:left w:val="nil"/>
              <w:bottom w:val="single" w:sz="4" w:space="0" w:color="auto"/>
              <w:right w:val="single" w:sz="4" w:space="0" w:color="auto"/>
            </w:tcBorders>
            <w:shd w:val="clear" w:color="auto" w:fill="auto"/>
            <w:noWrap/>
            <w:vAlign w:val="bottom"/>
            <w:hideMark/>
          </w:tcPr>
          <w:p w14:paraId="42989AFB" w14:textId="0A7A6635"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53</w:t>
            </w:r>
          </w:p>
        </w:tc>
      </w:tr>
      <w:tr w:rsidR="001A25F5" w:rsidRPr="002D07B8" w14:paraId="42989B06" w14:textId="77777777" w:rsidTr="00970F86">
        <w:trPr>
          <w:trHeight w:val="290"/>
        </w:trPr>
        <w:tc>
          <w:tcPr>
            <w:tcW w:w="2474" w:type="dxa"/>
            <w:tcBorders>
              <w:top w:val="nil"/>
              <w:left w:val="single" w:sz="4" w:space="0" w:color="auto"/>
              <w:bottom w:val="single" w:sz="4" w:space="0" w:color="auto"/>
              <w:right w:val="single" w:sz="4" w:space="0" w:color="auto"/>
            </w:tcBorders>
            <w:shd w:val="clear" w:color="auto" w:fill="auto"/>
            <w:vAlign w:val="center"/>
            <w:hideMark/>
          </w:tcPr>
          <w:p w14:paraId="42989AFD" w14:textId="77777777" w:rsidR="001A25F5" w:rsidRPr="002D07B8" w:rsidRDefault="001A25F5" w:rsidP="001A25F5">
            <w:pPr>
              <w:rPr>
                <w:rFonts w:asciiTheme="minorHAnsi" w:hAnsiTheme="minorHAnsi" w:cstheme="minorHAnsi"/>
                <w:b/>
                <w:bCs/>
                <w:color w:val="000000"/>
                <w:szCs w:val="22"/>
              </w:rPr>
            </w:pPr>
            <w:r w:rsidRPr="002D07B8">
              <w:rPr>
                <w:rFonts w:asciiTheme="minorHAnsi" w:hAnsiTheme="minorHAnsi" w:cstheme="minorHAnsi"/>
                <w:b/>
                <w:bCs/>
                <w:color w:val="000000"/>
                <w:szCs w:val="22"/>
              </w:rPr>
              <w:t>11 Permian Basin</w:t>
            </w:r>
          </w:p>
        </w:tc>
        <w:tc>
          <w:tcPr>
            <w:tcW w:w="1480" w:type="dxa"/>
            <w:tcBorders>
              <w:top w:val="nil"/>
              <w:left w:val="nil"/>
              <w:bottom w:val="single" w:sz="4" w:space="0" w:color="auto"/>
              <w:right w:val="single" w:sz="4" w:space="0" w:color="auto"/>
            </w:tcBorders>
            <w:shd w:val="clear" w:color="auto" w:fill="auto"/>
            <w:noWrap/>
            <w:vAlign w:val="bottom"/>
            <w:hideMark/>
          </w:tcPr>
          <w:p w14:paraId="42989AFE" w14:textId="3437784C"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618</w:t>
            </w:r>
          </w:p>
        </w:tc>
        <w:tc>
          <w:tcPr>
            <w:tcW w:w="1756" w:type="dxa"/>
            <w:tcBorders>
              <w:top w:val="nil"/>
              <w:left w:val="nil"/>
              <w:bottom w:val="single" w:sz="4" w:space="0" w:color="auto"/>
              <w:right w:val="single" w:sz="4" w:space="0" w:color="auto"/>
            </w:tcBorders>
            <w:shd w:val="clear" w:color="auto" w:fill="auto"/>
            <w:noWrap/>
            <w:vAlign w:val="bottom"/>
            <w:hideMark/>
          </w:tcPr>
          <w:p w14:paraId="42989AFF" w14:textId="02D55FDB"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14,065</w:t>
            </w:r>
          </w:p>
        </w:tc>
        <w:tc>
          <w:tcPr>
            <w:tcW w:w="1463" w:type="dxa"/>
            <w:tcBorders>
              <w:top w:val="nil"/>
              <w:left w:val="nil"/>
              <w:bottom w:val="single" w:sz="4" w:space="0" w:color="auto"/>
              <w:right w:val="single" w:sz="4" w:space="0" w:color="auto"/>
            </w:tcBorders>
            <w:shd w:val="clear" w:color="auto" w:fill="auto"/>
            <w:noWrap/>
            <w:vAlign w:val="bottom"/>
            <w:hideMark/>
          </w:tcPr>
          <w:p w14:paraId="42989B00" w14:textId="5E229164"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14,845</w:t>
            </w:r>
          </w:p>
        </w:tc>
        <w:tc>
          <w:tcPr>
            <w:tcW w:w="1283" w:type="dxa"/>
            <w:tcBorders>
              <w:top w:val="nil"/>
              <w:left w:val="nil"/>
              <w:bottom w:val="single" w:sz="4" w:space="0" w:color="auto"/>
              <w:right w:val="single" w:sz="4" w:space="0" w:color="auto"/>
            </w:tcBorders>
            <w:shd w:val="clear" w:color="auto" w:fill="auto"/>
            <w:noWrap/>
            <w:vAlign w:val="bottom"/>
            <w:hideMark/>
          </w:tcPr>
          <w:p w14:paraId="42989B01" w14:textId="34DCA682"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5.55%</w:t>
            </w:r>
          </w:p>
        </w:tc>
        <w:tc>
          <w:tcPr>
            <w:tcW w:w="1283" w:type="dxa"/>
            <w:tcBorders>
              <w:top w:val="nil"/>
              <w:left w:val="nil"/>
              <w:bottom w:val="single" w:sz="4" w:space="0" w:color="auto"/>
              <w:right w:val="single" w:sz="4" w:space="0" w:color="auto"/>
            </w:tcBorders>
            <w:shd w:val="clear" w:color="auto" w:fill="auto"/>
            <w:noWrap/>
            <w:vAlign w:val="bottom"/>
            <w:hideMark/>
          </w:tcPr>
          <w:p w14:paraId="42989B02" w14:textId="01A93257"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1,834</w:t>
            </w:r>
          </w:p>
        </w:tc>
        <w:tc>
          <w:tcPr>
            <w:tcW w:w="1486" w:type="dxa"/>
            <w:tcBorders>
              <w:top w:val="nil"/>
              <w:left w:val="nil"/>
              <w:bottom w:val="single" w:sz="4" w:space="0" w:color="auto"/>
              <w:right w:val="single" w:sz="4" w:space="0" w:color="auto"/>
            </w:tcBorders>
            <w:shd w:val="clear" w:color="auto" w:fill="auto"/>
            <w:noWrap/>
            <w:vAlign w:val="bottom"/>
            <w:hideMark/>
          </w:tcPr>
          <w:p w14:paraId="42989B03" w14:textId="483D44B4"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618</w:t>
            </w:r>
          </w:p>
        </w:tc>
        <w:tc>
          <w:tcPr>
            <w:tcW w:w="1553" w:type="dxa"/>
            <w:tcBorders>
              <w:top w:val="nil"/>
              <w:left w:val="nil"/>
              <w:bottom w:val="single" w:sz="4" w:space="0" w:color="auto"/>
              <w:right w:val="single" w:sz="4" w:space="0" w:color="auto"/>
            </w:tcBorders>
            <w:shd w:val="clear" w:color="auto" w:fill="auto"/>
            <w:noWrap/>
            <w:vAlign w:val="bottom"/>
            <w:hideMark/>
          </w:tcPr>
          <w:p w14:paraId="42989B04" w14:textId="10619D4A"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2,452</w:t>
            </w:r>
          </w:p>
        </w:tc>
        <w:tc>
          <w:tcPr>
            <w:tcW w:w="1283" w:type="dxa"/>
            <w:tcBorders>
              <w:top w:val="nil"/>
              <w:left w:val="nil"/>
              <w:bottom w:val="single" w:sz="4" w:space="0" w:color="auto"/>
              <w:right w:val="single" w:sz="4" w:space="0" w:color="auto"/>
            </w:tcBorders>
            <w:shd w:val="clear" w:color="auto" w:fill="auto"/>
            <w:noWrap/>
            <w:vAlign w:val="bottom"/>
            <w:hideMark/>
          </w:tcPr>
          <w:p w14:paraId="42989B05" w14:textId="0ED4993B"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96</w:t>
            </w:r>
          </w:p>
        </w:tc>
      </w:tr>
      <w:tr w:rsidR="001A25F5" w:rsidRPr="002D07B8" w14:paraId="42989B10" w14:textId="77777777" w:rsidTr="00970F86">
        <w:trPr>
          <w:trHeight w:val="290"/>
        </w:trPr>
        <w:tc>
          <w:tcPr>
            <w:tcW w:w="2474" w:type="dxa"/>
            <w:tcBorders>
              <w:top w:val="nil"/>
              <w:left w:val="single" w:sz="4" w:space="0" w:color="auto"/>
              <w:bottom w:val="single" w:sz="4" w:space="0" w:color="auto"/>
              <w:right w:val="single" w:sz="4" w:space="0" w:color="auto"/>
            </w:tcBorders>
            <w:shd w:val="clear" w:color="auto" w:fill="auto"/>
            <w:vAlign w:val="center"/>
            <w:hideMark/>
          </w:tcPr>
          <w:p w14:paraId="42989B07" w14:textId="77777777" w:rsidR="001A25F5" w:rsidRPr="002D07B8" w:rsidRDefault="001A25F5" w:rsidP="001A25F5">
            <w:pPr>
              <w:rPr>
                <w:rFonts w:asciiTheme="minorHAnsi" w:hAnsiTheme="minorHAnsi" w:cstheme="minorHAnsi"/>
                <w:b/>
                <w:bCs/>
                <w:color w:val="000000"/>
                <w:szCs w:val="22"/>
              </w:rPr>
            </w:pPr>
            <w:r w:rsidRPr="002D07B8">
              <w:rPr>
                <w:rFonts w:asciiTheme="minorHAnsi" w:hAnsiTheme="minorHAnsi" w:cstheme="minorHAnsi"/>
                <w:b/>
                <w:bCs/>
                <w:color w:val="000000"/>
                <w:szCs w:val="22"/>
              </w:rPr>
              <w:t>12 Concho Valley</w:t>
            </w:r>
          </w:p>
        </w:tc>
        <w:tc>
          <w:tcPr>
            <w:tcW w:w="1480" w:type="dxa"/>
            <w:tcBorders>
              <w:top w:val="nil"/>
              <w:left w:val="nil"/>
              <w:bottom w:val="single" w:sz="4" w:space="0" w:color="auto"/>
              <w:right w:val="single" w:sz="4" w:space="0" w:color="auto"/>
            </w:tcBorders>
            <w:shd w:val="clear" w:color="auto" w:fill="auto"/>
            <w:noWrap/>
            <w:vAlign w:val="bottom"/>
            <w:hideMark/>
          </w:tcPr>
          <w:p w14:paraId="42989B08" w14:textId="659F3C78"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315</w:t>
            </w:r>
          </w:p>
        </w:tc>
        <w:tc>
          <w:tcPr>
            <w:tcW w:w="1756" w:type="dxa"/>
            <w:tcBorders>
              <w:top w:val="nil"/>
              <w:left w:val="nil"/>
              <w:bottom w:val="single" w:sz="4" w:space="0" w:color="auto"/>
              <w:right w:val="single" w:sz="4" w:space="0" w:color="auto"/>
            </w:tcBorders>
            <w:shd w:val="clear" w:color="auto" w:fill="auto"/>
            <w:noWrap/>
            <w:vAlign w:val="bottom"/>
            <w:hideMark/>
          </w:tcPr>
          <w:p w14:paraId="42989B09" w14:textId="29D8C79D"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4,592</w:t>
            </w:r>
          </w:p>
        </w:tc>
        <w:tc>
          <w:tcPr>
            <w:tcW w:w="1463" w:type="dxa"/>
            <w:tcBorders>
              <w:top w:val="nil"/>
              <w:left w:val="nil"/>
              <w:bottom w:val="single" w:sz="4" w:space="0" w:color="auto"/>
              <w:right w:val="single" w:sz="4" w:space="0" w:color="auto"/>
            </w:tcBorders>
            <w:shd w:val="clear" w:color="auto" w:fill="auto"/>
            <w:noWrap/>
            <w:vAlign w:val="bottom"/>
            <w:hideMark/>
          </w:tcPr>
          <w:p w14:paraId="42989B0A" w14:textId="3A8B5BA7"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4,594</w:t>
            </w:r>
          </w:p>
        </w:tc>
        <w:tc>
          <w:tcPr>
            <w:tcW w:w="1283"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42989B0B" w14:textId="57378ED4"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0.04%</w:t>
            </w:r>
          </w:p>
        </w:tc>
        <w:tc>
          <w:tcPr>
            <w:tcW w:w="1283" w:type="dxa"/>
            <w:tcBorders>
              <w:top w:val="nil"/>
              <w:left w:val="nil"/>
              <w:bottom w:val="single" w:sz="4" w:space="0" w:color="auto"/>
              <w:right w:val="single" w:sz="4" w:space="0" w:color="auto"/>
            </w:tcBorders>
            <w:shd w:val="clear" w:color="auto" w:fill="auto"/>
            <w:noWrap/>
            <w:vAlign w:val="bottom"/>
            <w:hideMark/>
          </w:tcPr>
          <w:p w14:paraId="42989B0C" w14:textId="0931D3E8"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1,071</w:t>
            </w:r>
          </w:p>
        </w:tc>
        <w:tc>
          <w:tcPr>
            <w:tcW w:w="1486" w:type="dxa"/>
            <w:tcBorders>
              <w:top w:val="nil"/>
              <w:left w:val="nil"/>
              <w:bottom w:val="single" w:sz="4" w:space="0" w:color="auto"/>
              <w:right w:val="single" w:sz="4" w:space="0" w:color="auto"/>
            </w:tcBorders>
            <w:shd w:val="clear" w:color="auto" w:fill="auto"/>
            <w:noWrap/>
            <w:vAlign w:val="bottom"/>
            <w:hideMark/>
          </w:tcPr>
          <w:p w14:paraId="42989B0D" w14:textId="77EEA801"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315</w:t>
            </w:r>
          </w:p>
        </w:tc>
        <w:tc>
          <w:tcPr>
            <w:tcW w:w="1553" w:type="dxa"/>
            <w:tcBorders>
              <w:top w:val="nil"/>
              <w:left w:val="nil"/>
              <w:bottom w:val="single" w:sz="4" w:space="0" w:color="auto"/>
              <w:right w:val="single" w:sz="4" w:space="0" w:color="auto"/>
            </w:tcBorders>
            <w:shd w:val="clear" w:color="auto" w:fill="auto"/>
            <w:noWrap/>
            <w:vAlign w:val="bottom"/>
            <w:hideMark/>
          </w:tcPr>
          <w:p w14:paraId="42989B0E" w14:textId="14D51AFF"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1,386</w:t>
            </w:r>
          </w:p>
        </w:tc>
        <w:tc>
          <w:tcPr>
            <w:tcW w:w="1283"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42989B0F" w14:textId="24254FCD"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0</w:t>
            </w:r>
          </w:p>
        </w:tc>
      </w:tr>
      <w:tr w:rsidR="001A25F5" w:rsidRPr="002D07B8" w14:paraId="42989B1A" w14:textId="77777777" w:rsidTr="00970F86">
        <w:trPr>
          <w:trHeight w:val="290"/>
        </w:trPr>
        <w:tc>
          <w:tcPr>
            <w:tcW w:w="2474" w:type="dxa"/>
            <w:tcBorders>
              <w:top w:val="nil"/>
              <w:left w:val="single" w:sz="4" w:space="0" w:color="auto"/>
              <w:bottom w:val="single" w:sz="4" w:space="0" w:color="auto"/>
              <w:right w:val="single" w:sz="4" w:space="0" w:color="auto"/>
            </w:tcBorders>
            <w:shd w:val="clear" w:color="auto" w:fill="auto"/>
            <w:vAlign w:val="center"/>
            <w:hideMark/>
          </w:tcPr>
          <w:p w14:paraId="42989B11" w14:textId="77777777" w:rsidR="001A25F5" w:rsidRPr="002D07B8" w:rsidRDefault="001A25F5" w:rsidP="001A25F5">
            <w:pPr>
              <w:rPr>
                <w:rFonts w:asciiTheme="minorHAnsi" w:hAnsiTheme="minorHAnsi" w:cstheme="minorHAnsi"/>
                <w:b/>
                <w:bCs/>
                <w:color w:val="000000"/>
                <w:szCs w:val="22"/>
              </w:rPr>
            </w:pPr>
            <w:r w:rsidRPr="002D07B8">
              <w:rPr>
                <w:rFonts w:asciiTheme="minorHAnsi" w:hAnsiTheme="minorHAnsi" w:cstheme="minorHAnsi"/>
                <w:b/>
                <w:bCs/>
                <w:color w:val="000000"/>
                <w:szCs w:val="22"/>
              </w:rPr>
              <w:t>13 Heart of Texas</w:t>
            </w:r>
          </w:p>
        </w:tc>
        <w:tc>
          <w:tcPr>
            <w:tcW w:w="1480" w:type="dxa"/>
            <w:tcBorders>
              <w:top w:val="nil"/>
              <w:left w:val="nil"/>
              <w:bottom w:val="single" w:sz="4" w:space="0" w:color="auto"/>
              <w:right w:val="single" w:sz="4" w:space="0" w:color="auto"/>
            </w:tcBorders>
            <w:shd w:val="clear" w:color="auto" w:fill="auto"/>
            <w:noWrap/>
            <w:vAlign w:val="bottom"/>
            <w:hideMark/>
          </w:tcPr>
          <w:p w14:paraId="42989B12" w14:textId="49F2BC63"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525</w:t>
            </w:r>
          </w:p>
        </w:tc>
        <w:tc>
          <w:tcPr>
            <w:tcW w:w="1756" w:type="dxa"/>
            <w:tcBorders>
              <w:top w:val="nil"/>
              <w:left w:val="nil"/>
              <w:bottom w:val="single" w:sz="4" w:space="0" w:color="auto"/>
              <w:right w:val="single" w:sz="4" w:space="0" w:color="auto"/>
            </w:tcBorders>
            <w:shd w:val="clear" w:color="auto" w:fill="auto"/>
            <w:noWrap/>
            <w:vAlign w:val="bottom"/>
            <w:hideMark/>
          </w:tcPr>
          <w:p w14:paraId="42989B13" w14:textId="1AB52711"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7,437</w:t>
            </w:r>
          </w:p>
        </w:tc>
        <w:tc>
          <w:tcPr>
            <w:tcW w:w="1463" w:type="dxa"/>
            <w:tcBorders>
              <w:top w:val="nil"/>
              <w:left w:val="nil"/>
              <w:bottom w:val="single" w:sz="4" w:space="0" w:color="auto"/>
              <w:right w:val="single" w:sz="4" w:space="0" w:color="auto"/>
            </w:tcBorders>
            <w:shd w:val="clear" w:color="auto" w:fill="auto"/>
            <w:noWrap/>
            <w:vAlign w:val="bottom"/>
            <w:hideMark/>
          </w:tcPr>
          <w:p w14:paraId="42989B14" w14:textId="06015B56"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7,597</w:t>
            </w:r>
          </w:p>
        </w:tc>
        <w:tc>
          <w:tcPr>
            <w:tcW w:w="1283" w:type="dxa"/>
            <w:tcBorders>
              <w:top w:val="nil"/>
              <w:left w:val="nil"/>
              <w:bottom w:val="single" w:sz="4" w:space="0" w:color="auto"/>
              <w:right w:val="single" w:sz="4" w:space="0" w:color="auto"/>
            </w:tcBorders>
            <w:shd w:val="clear" w:color="auto" w:fill="auto"/>
            <w:noWrap/>
            <w:vAlign w:val="bottom"/>
            <w:hideMark/>
          </w:tcPr>
          <w:p w14:paraId="42989B15" w14:textId="5CE02B0A"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2.15%</w:t>
            </w:r>
          </w:p>
        </w:tc>
        <w:tc>
          <w:tcPr>
            <w:tcW w:w="1283" w:type="dxa"/>
            <w:tcBorders>
              <w:top w:val="nil"/>
              <w:left w:val="nil"/>
              <w:bottom w:val="single" w:sz="4" w:space="0" w:color="auto"/>
              <w:right w:val="single" w:sz="4" w:space="0" w:color="auto"/>
            </w:tcBorders>
            <w:shd w:val="clear" w:color="auto" w:fill="auto"/>
            <w:noWrap/>
            <w:vAlign w:val="bottom"/>
            <w:hideMark/>
          </w:tcPr>
          <w:p w14:paraId="42989B16" w14:textId="12F5787E"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1,123</w:t>
            </w:r>
          </w:p>
        </w:tc>
        <w:tc>
          <w:tcPr>
            <w:tcW w:w="1486" w:type="dxa"/>
            <w:tcBorders>
              <w:top w:val="nil"/>
              <w:left w:val="nil"/>
              <w:bottom w:val="single" w:sz="4" w:space="0" w:color="auto"/>
              <w:right w:val="single" w:sz="4" w:space="0" w:color="auto"/>
            </w:tcBorders>
            <w:shd w:val="clear" w:color="auto" w:fill="auto"/>
            <w:noWrap/>
            <w:vAlign w:val="bottom"/>
            <w:hideMark/>
          </w:tcPr>
          <w:p w14:paraId="42989B17" w14:textId="4A84FBF9"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525</w:t>
            </w:r>
          </w:p>
        </w:tc>
        <w:tc>
          <w:tcPr>
            <w:tcW w:w="1553" w:type="dxa"/>
            <w:tcBorders>
              <w:top w:val="nil"/>
              <w:left w:val="nil"/>
              <w:bottom w:val="single" w:sz="4" w:space="0" w:color="auto"/>
              <w:right w:val="single" w:sz="4" w:space="0" w:color="auto"/>
            </w:tcBorders>
            <w:shd w:val="clear" w:color="auto" w:fill="auto"/>
            <w:noWrap/>
            <w:vAlign w:val="bottom"/>
            <w:hideMark/>
          </w:tcPr>
          <w:p w14:paraId="42989B18" w14:textId="638A872D"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1,648</w:t>
            </w:r>
          </w:p>
        </w:tc>
        <w:tc>
          <w:tcPr>
            <w:tcW w:w="1283" w:type="dxa"/>
            <w:tcBorders>
              <w:top w:val="nil"/>
              <w:left w:val="nil"/>
              <w:bottom w:val="single" w:sz="4" w:space="0" w:color="auto"/>
              <w:right w:val="single" w:sz="4" w:space="0" w:color="auto"/>
            </w:tcBorders>
            <w:shd w:val="clear" w:color="auto" w:fill="auto"/>
            <w:noWrap/>
            <w:vAlign w:val="bottom"/>
            <w:hideMark/>
          </w:tcPr>
          <w:p w14:paraId="42989B19" w14:textId="028CDEF4"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24</w:t>
            </w:r>
          </w:p>
        </w:tc>
      </w:tr>
      <w:tr w:rsidR="001A25F5" w:rsidRPr="002D07B8" w14:paraId="42989B24" w14:textId="77777777" w:rsidTr="00970F86">
        <w:trPr>
          <w:trHeight w:val="290"/>
        </w:trPr>
        <w:tc>
          <w:tcPr>
            <w:tcW w:w="2474" w:type="dxa"/>
            <w:tcBorders>
              <w:top w:val="nil"/>
              <w:left w:val="single" w:sz="4" w:space="0" w:color="auto"/>
              <w:bottom w:val="single" w:sz="4" w:space="0" w:color="auto"/>
              <w:right w:val="single" w:sz="4" w:space="0" w:color="auto"/>
            </w:tcBorders>
            <w:shd w:val="clear" w:color="auto" w:fill="auto"/>
            <w:vAlign w:val="center"/>
            <w:hideMark/>
          </w:tcPr>
          <w:p w14:paraId="42989B1B" w14:textId="77777777" w:rsidR="001A25F5" w:rsidRPr="002D07B8" w:rsidRDefault="001A25F5" w:rsidP="001A25F5">
            <w:pPr>
              <w:rPr>
                <w:rFonts w:asciiTheme="minorHAnsi" w:hAnsiTheme="minorHAnsi" w:cstheme="minorHAnsi"/>
                <w:b/>
                <w:bCs/>
                <w:color w:val="000000"/>
                <w:szCs w:val="22"/>
              </w:rPr>
            </w:pPr>
            <w:r w:rsidRPr="002D07B8">
              <w:rPr>
                <w:rFonts w:asciiTheme="minorHAnsi" w:hAnsiTheme="minorHAnsi" w:cstheme="minorHAnsi"/>
                <w:b/>
                <w:bCs/>
                <w:color w:val="000000"/>
                <w:szCs w:val="22"/>
              </w:rPr>
              <w:t>14 Capital Area</w:t>
            </w:r>
          </w:p>
        </w:tc>
        <w:tc>
          <w:tcPr>
            <w:tcW w:w="1480" w:type="dxa"/>
            <w:tcBorders>
              <w:top w:val="nil"/>
              <w:left w:val="nil"/>
              <w:bottom w:val="single" w:sz="4" w:space="0" w:color="auto"/>
              <w:right w:val="single" w:sz="4" w:space="0" w:color="auto"/>
            </w:tcBorders>
            <w:shd w:val="clear" w:color="auto" w:fill="auto"/>
            <w:noWrap/>
            <w:vAlign w:val="bottom"/>
            <w:hideMark/>
          </w:tcPr>
          <w:p w14:paraId="42989B1C" w14:textId="7107B61E"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1,014</w:t>
            </w:r>
          </w:p>
        </w:tc>
        <w:tc>
          <w:tcPr>
            <w:tcW w:w="1756" w:type="dxa"/>
            <w:tcBorders>
              <w:top w:val="nil"/>
              <w:left w:val="nil"/>
              <w:bottom w:val="single" w:sz="4" w:space="0" w:color="auto"/>
              <w:right w:val="single" w:sz="4" w:space="0" w:color="auto"/>
            </w:tcBorders>
            <w:shd w:val="clear" w:color="auto" w:fill="auto"/>
            <w:noWrap/>
            <w:vAlign w:val="bottom"/>
            <w:hideMark/>
          </w:tcPr>
          <w:p w14:paraId="42989B1D" w14:textId="4372830A"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40,880</w:t>
            </w:r>
          </w:p>
        </w:tc>
        <w:tc>
          <w:tcPr>
            <w:tcW w:w="1463" w:type="dxa"/>
            <w:tcBorders>
              <w:top w:val="nil"/>
              <w:left w:val="nil"/>
              <w:bottom w:val="single" w:sz="4" w:space="0" w:color="auto"/>
              <w:right w:val="single" w:sz="4" w:space="0" w:color="auto"/>
            </w:tcBorders>
            <w:shd w:val="clear" w:color="auto" w:fill="auto"/>
            <w:noWrap/>
            <w:vAlign w:val="bottom"/>
            <w:hideMark/>
          </w:tcPr>
          <w:p w14:paraId="42989B1E" w14:textId="4A7C228A"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42,376</w:t>
            </w:r>
          </w:p>
        </w:tc>
        <w:tc>
          <w:tcPr>
            <w:tcW w:w="1283" w:type="dxa"/>
            <w:tcBorders>
              <w:top w:val="nil"/>
              <w:left w:val="nil"/>
              <w:bottom w:val="single" w:sz="4" w:space="0" w:color="auto"/>
              <w:right w:val="single" w:sz="4" w:space="0" w:color="auto"/>
            </w:tcBorders>
            <w:shd w:val="clear" w:color="auto" w:fill="auto"/>
            <w:noWrap/>
            <w:vAlign w:val="bottom"/>
            <w:hideMark/>
          </w:tcPr>
          <w:p w14:paraId="42989B1F" w14:textId="6D099580"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3.66%</w:t>
            </w:r>
          </w:p>
        </w:tc>
        <w:tc>
          <w:tcPr>
            <w:tcW w:w="1283" w:type="dxa"/>
            <w:tcBorders>
              <w:top w:val="nil"/>
              <w:left w:val="nil"/>
              <w:bottom w:val="single" w:sz="4" w:space="0" w:color="auto"/>
              <w:right w:val="single" w:sz="4" w:space="0" w:color="auto"/>
            </w:tcBorders>
            <w:shd w:val="clear" w:color="auto" w:fill="auto"/>
            <w:noWrap/>
            <w:vAlign w:val="bottom"/>
            <w:hideMark/>
          </w:tcPr>
          <w:p w14:paraId="42989B20" w14:textId="14BDFA63"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4,427</w:t>
            </w:r>
          </w:p>
        </w:tc>
        <w:tc>
          <w:tcPr>
            <w:tcW w:w="1486" w:type="dxa"/>
            <w:tcBorders>
              <w:top w:val="nil"/>
              <w:left w:val="nil"/>
              <w:bottom w:val="single" w:sz="4" w:space="0" w:color="auto"/>
              <w:right w:val="single" w:sz="4" w:space="0" w:color="auto"/>
            </w:tcBorders>
            <w:shd w:val="clear" w:color="auto" w:fill="auto"/>
            <w:noWrap/>
            <w:vAlign w:val="bottom"/>
            <w:hideMark/>
          </w:tcPr>
          <w:p w14:paraId="42989B21" w14:textId="1E23CDB6"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1,014</w:t>
            </w:r>
          </w:p>
        </w:tc>
        <w:tc>
          <w:tcPr>
            <w:tcW w:w="1553" w:type="dxa"/>
            <w:tcBorders>
              <w:top w:val="nil"/>
              <w:left w:val="nil"/>
              <w:bottom w:val="single" w:sz="4" w:space="0" w:color="auto"/>
              <w:right w:val="single" w:sz="4" w:space="0" w:color="auto"/>
            </w:tcBorders>
            <w:shd w:val="clear" w:color="auto" w:fill="auto"/>
            <w:noWrap/>
            <w:vAlign w:val="bottom"/>
            <w:hideMark/>
          </w:tcPr>
          <w:p w14:paraId="42989B22" w14:textId="774FB222"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5,441</w:t>
            </w:r>
          </w:p>
        </w:tc>
        <w:tc>
          <w:tcPr>
            <w:tcW w:w="1283" w:type="dxa"/>
            <w:tcBorders>
              <w:top w:val="nil"/>
              <w:left w:val="nil"/>
              <w:bottom w:val="single" w:sz="4" w:space="0" w:color="auto"/>
              <w:right w:val="single" w:sz="4" w:space="0" w:color="auto"/>
            </w:tcBorders>
            <w:shd w:val="clear" w:color="auto" w:fill="auto"/>
            <w:noWrap/>
            <w:vAlign w:val="bottom"/>
            <w:hideMark/>
          </w:tcPr>
          <w:p w14:paraId="42989B23" w14:textId="6F535529"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156</w:t>
            </w:r>
          </w:p>
        </w:tc>
      </w:tr>
      <w:tr w:rsidR="001A25F5" w:rsidRPr="002D07B8" w14:paraId="42989B2E" w14:textId="77777777" w:rsidTr="00970F86">
        <w:trPr>
          <w:trHeight w:val="290"/>
        </w:trPr>
        <w:tc>
          <w:tcPr>
            <w:tcW w:w="2474" w:type="dxa"/>
            <w:tcBorders>
              <w:top w:val="nil"/>
              <w:left w:val="single" w:sz="4" w:space="0" w:color="auto"/>
              <w:bottom w:val="single" w:sz="4" w:space="0" w:color="auto"/>
              <w:right w:val="single" w:sz="4" w:space="0" w:color="auto"/>
            </w:tcBorders>
            <w:shd w:val="clear" w:color="auto" w:fill="auto"/>
            <w:vAlign w:val="center"/>
            <w:hideMark/>
          </w:tcPr>
          <w:p w14:paraId="42989B25" w14:textId="77777777" w:rsidR="001A25F5" w:rsidRPr="002D07B8" w:rsidRDefault="001A25F5" w:rsidP="001A25F5">
            <w:pPr>
              <w:rPr>
                <w:rFonts w:asciiTheme="minorHAnsi" w:hAnsiTheme="minorHAnsi" w:cstheme="minorHAnsi"/>
                <w:b/>
                <w:bCs/>
                <w:color w:val="000000"/>
                <w:szCs w:val="22"/>
              </w:rPr>
            </w:pPr>
            <w:r w:rsidRPr="002D07B8">
              <w:rPr>
                <w:rFonts w:asciiTheme="minorHAnsi" w:hAnsiTheme="minorHAnsi" w:cstheme="minorHAnsi"/>
                <w:b/>
                <w:bCs/>
                <w:color w:val="000000"/>
                <w:szCs w:val="22"/>
              </w:rPr>
              <w:t>15 Rural Capital</w:t>
            </w:r>
          </w:p>
        </w:tc>
        <w:tc>
          <w:tcPr>
            <w:tcW w:w="1480" w:type="dxa"/>
            <w:tcBorders>
              <w:top w:val="nil"/>
              <w:left w:val="nil"/>
              <w:bottom w:val="single" w:sz="4" w:space="0" w:color="auto"/>
              <w:right w:val="single" w:sz="4" w:space="0" w:color="auto"/>
            </w:tcBorders>
            <w:shd w:val="clear" w:color="auto" w:fill="auto"/>
            <w:noWrap/>
            <w:vAlign w:val="bottom"/>
            <w:hideMark/>
          </w:tcPr>
          <w:p w14:paraId="42989B26" w14:textId="1E2E0763"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1,025</w:t>
            </w:r>
          </w:p>
        </w:tc>
        <w:tc>
          <w:tcPr>
            <w:tcW w:w="1756" w:type="dxa"/>
            <w:tcBorders>
              <w:top w:val="nil"/>
              <w:left w:val="nil"/>
              <w:bottom w:val="single" w:sz="4" w:space="0" w:color="auto"/>
              <w:right w:val="single" w:sz="4" w:space="0" w:color="auto"/>
            </w:tcBorders>
            <w:shd w:val="clear" w:color="auto" w:fill="auto"/>
            <w:noWrap/>
            <w:vAlign w:val="bottom"/>
            <w:hideMark/>
          </w:tcPr>
          <w:p w14:paraId="42989B27" w14:textId="70A08646"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20,965</w:t>
            </w:r>
          </w:p>
        </w:tc>
        <w:tc>
          <w:tcPr>
            <w:tcW w:w="1463" w:type="dxa"/>
            <w:tcBorders>
              <w:top w:val="nil"/>
              <w:left w:val="nil"/>
              <w:bottom w:val="single" w:sz="4" w:space="0" w:color="auto"/>
              <w:right w:val="single" w:sz="4" w:space="0" w:color="auto"/>
            </w:tcBorders>
            <w:shd w:val="clear" w:color="auto" w:fill="auto"/>
            <w:noWrap/>
            <w:vAlign w:val="bottom"/>
            <w:hideMark/>
          </w:tcPr>
          <w:p w14:paraId="42989B28" w14:textId="560B2773"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21,754</w:t>
            </w:r>
          </w:p>
        </w:tc>
        <w:tc>
          <w:tcPr>
            <w:tcW w:w="1283" w:type="dxa"/>
            <w:tcBorders>
              <w:top w:val="nil"/>
              <w:left w:val="nil"/>
              <w:bottom w:val="single" w:sz="4" w:space="0" w:color="auto"/>
              <w:right w:val="single" w:sz="4" w:space="0" w:color="auto"/>
            </w:tcBorders>
            <w:shd w:val="clear" w:color="auto" w:fill="auto"/>
            <w:noWrap/>
            <w:vAlign w:val="bottom"/>
            <w:hideMark/>
          </w:tcPr>
          <w:p w14:paraId="42989B29" w14:textId="4F4124A1"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3.76%</w:t>
            </w:r>
          </w:p>
        </w:tc>
        <w:tc>
          <w:tcPr>
            <w:tcW w:w="1283" w:type="dxa"/>
            <w:tcBorders>
              <w:top w:val="nil"/>
              <w:left w:val="nil"/>
              <w:bottom w:val="single" w:sz="4" w:space="0" w:color="auto"/>
              <w:right w:val="single" w:sz="4" w:space="0" w:color="auto"/>
            </w:tcBorders>
            <w:shd w:val="clear" w:color="auto" w:fill="auto"/>
            <w:noWrap/>
            <w:vAlign w:val="bottom"/>
            <w:hideMark/>
          </w:tcPr>
          <w:p w14:paraId="42989B2A" w14:textId="25DB75F8"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2,818</w:t>
            </w:r>
          </w:p>
        </w:tc>
        <w:tc>
          <w:tcPr>
            <w:tcW w:w="1486" w:type="dxa"/>
            <w:tcBorders>
              <w:top w:val="nil"/>
              <w:left w:val="nil"/>
              <w:bottom w:val="single" w:sz="4" w:space="0" w:color="auto"/>
              <w:right w:val="single" w:sz="4" w:space="0" w:color="auto"/>
            </w:tcBorders>
            <w:shd w:val="clear" w:color="auto" w:fill="auto"/>
            <w:noWrap/>
            <w:vAlign w:val="bottom"/>
            <w:hideMark/>
          </w:tcPr>
          <w:p w14:paraId="42989B2B" w14:textId="7013924C"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1,025</w:t>
            </w:r>
          </w:p>
        </w:tc>
        <w:tc>
          <w:tcPr>
            <w:tcW w:w="1553" w:type="dxa"/>
            <w:tcBorders>
              <w:top w:val="nil"/>
              <w:left w:val="nil"/>
              <w:bottom w:val="single" w:sz="4" w:space="0" w:color="auto"/>
              <w:right w:val="single" w:sz="4" w:space="0" w:color="auto"/>
            </w:tcBorders>
            <w:shd w:val="clear" w:color="auto" w:fill="auto"/>
            <w:noWrap/>
            <w:vAlign w:val="bottom"/>
            <w:hideMark/>
          </w:tcPr>
          <w:p w14:paraId="42989B2C" w14:textId="7260109E"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3,843</w:t>
            </w:r>
          </w:p>
        </w:tc>
        <w:tc>
          <w:tcPr>
            <w:tcW w:w="1283" w:type="dxa"/>
            <w:tcBorders>
              <w:top w:val="nil"/>
              <w:left w:val="nil"/>
              <w:bottom w:val="single" w:sz="4" w:space="0" w:color="auto"/>
              <w:right w:val="single" w:sz="4" w:space="0" w:color="auto"/>
            </w:tcBorders>
            <w:shd w:val="clear" w:color="auto" w:fill="auto"/>
            <w:noWrap/>
            <w:vAlign w:val="bottom"/>
            <w:hideMark/>
          </w:tcPr>
          <w:p w14:paraId="42989B2D" w14:textId="0F2E13A1"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102</w:t>
            </w:r>
          </w:p>
        </w:tc>
      </w:tr>
      <w:tr w:rsidR="001A25F5" w:rsidRPr="002D07B8" w14:paraId="42989B38" w14:textId="77777777" w:rsidTr="00970F86">
        <w:trPr>
          <w:trHeight w:val="290"/>
        </w:trPr>
        <w:tc>
          <w:tcPr>
            <w:tcW w:w="2474" w:type="dxa"/>
            <w:tcBorders>
              <w:top w:val="nil"/>
              <w:left w:val="single" w:sz="4" w:space="0" w:color="auto"/>
              <w:bottom w:val="single" w:sz="4" w:space="0" w:color="auto"/>
              <w:right w:val="single" w:sz="4" w:space="0" w:color="auto"/>
            </w:tcBorders>
            <w:shd w:val="clear" w:color="auto" w:fill="auto"/>
            <w:vAlign w:val="center"/>
            <w:hideMark/>
          </w:tcPr>
          <w:p w14:paraId="42989B2F" w14:textId="77777777" w:rsidR="001A25F5" w:rsidRPr="002D07B8" w:rsidRDefault="001A25F5" w:rsidP="001A25F5">
            <w:pPr>
              <w:rPr>
                <w:rFonts w:asciiTheme="minorHAnsi" w:hAnsiTheme="minorHAnsi" w:cstheme="minorHAnsi"/>
                <w:b/>
                <w:bCs/>
                <w:color w:val="000000"/>
                <w:szCs w:val="22"/>
              </w:rPr>
            </w:pPr>
            <w:r w:rsidRPr="002D07B8">
              <w:rPr>
                <w:rFonts w:asciiTheme="minorHAnsi" w:hAnsiTheme="minorHAnsi" w:cstheme="minorHAnsi"/>
                <w:b/>
                <w:bCs/>
                <w:color w:val="000000"/>
                <w:szCs w:val="22"/>
              </w:rPr>
              <w:t>16 Brazos Valley</w:t>
            </w:r>
          </w:p>
        </w:tc>
        <w:tc>
          <w:tcPr>
            <w:tcW w:w="1480" w:type="dxa"/>
            <w:tcBorders>
              <w:top w:val="nil"/>
              <w:left w:val="nil"/>
              <w:bottom w:val="single" w:sz="4" w:space="0" w:color="auto"/>
              <w:right w:val="single" w:sz="4" w:space="0" w:color="auto"/>
            </w:tcBorders>
            <w:shd w:val="clear" w:color="auto" w:fill="auto"/>
            <w:noWrap/>
            <w:vAlign w:val="bottom"/>
            <w:hideMark/>
          </w:tcPr>
          <w:p w14:paraId="42989B30" w14:textId="0AE7899B"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431</w:t>
            </w:r>
          </w:p>
        </w:tc>
        <w:tc>
          <w:tcPr>
            <w:tcW w:w="1756" w:type="dxa"/>
            <w:tcBorders>
              <w:top w:val="nil"/>
              <w:left w:val="nil"/>
              <w:bottom w:val="single" w:sz="4" w:space="0" w:color="auto"/>
              <w:right w:val="single" w:sz="4" w:space="0" w:color="auto"/>
            </w:tcBorders>
            <w:shd w:val="clear" w:color="auto" w:fill="auto"/>
            <w:noWrap/>
            <w:vAlign w:val="bottom"/>
            <w:hideMark/>
          </w:tcPr>
          <w:p w14:paraId="42989B31" w14:textId="024766DA"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7,484</w:t>
            </w:r>
          </w:p>
        </w:tc>
        <w:tc>
          <w:tcPr>
            <w:tcW w:w="1463" w:type="dxa"/>
            <w:tcBorders>
              <w:top w:val="nil"/>
              <w:left w:val="nil"/>
              <w:bottom w:val="single" w:sz="4" w:space="0" w:color="auto"/>
              <w:right w:val="single" w:sz="4" w:space="0" w:color="auto"/>
            </w:tcBorders>
            <w:shd w:val="clear" w:color="auto" w:fill="auto"/>
            <w:noWrap/>
            <w:vAlign w:val="bottom"/>
            <w:hideMark/>
          </w:tcPr>
          <w:p w14:paraId="42989B32" w14:textId="51714E78"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7,619</w:t>
            </w:r>
          </w:p>
        </w:tc>
        <w:tc>
          <w:tcPr>
            <w:tcW w:w="1283" w:type="dxa"/>
            <w:tcBorders>
              <w:top w:val="nil"/>
              <w:left w:val="nil"/>
              <w:bottom w:val="single" w:sz="4" w:space="0" w:color="auto"/>
              <w:right w:val="single" w:sz="4" w:space="0" w:color="auto"/>
            </w:tcBorders>
            <w:shd w:val="clear" w:color="auto" w:fill="auto"/>
            <w:noWrap/>
            <w:vAlign w:val="bottom"/>
            <w:hideMark/>
          </w:tcPr>
          <w:p w14:paraId="42989B33" w14:textId="52AEA02A"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1.80%</w:t>
            </w:r>
          </w:p>
        </w:tc>
        <w:tc>
          <w:tcPr>
            <w:tcW w:w="1283" w:type="dxa"/>
            <w:tcBorders>
              <w:top w:val="nil"/>
              <w:left w:val="nil"/>
              <w:bottom w:val="single" w:sz="4" w:space="0" w:color="auto"/>
              <w:right w:val="single" w:sz="4" w:space="0" w:color="auto"/>
            </w:tcBorders>
            <w:shd w:val="clear" w:color="auto" w:fill="auto"/>
            <w:noWrap/>
            <w:vAlign w:val="bottom"/>
            <w:hideMark/>
          </w:tcPr>
          <w:p w14:paraId="42989B34" w14:textId="02F7B3A5"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1,058</w:t>
            </w:r>
          </w:p>
        </w:tc>
        <w:tc>
          <w:tcPr>
            <w:tcW w:w="1486" w:type="dxa"/>
            <w:tcBorders>
              <w:top w:val="nil"/>
              <w:left w:val="nil"/>
              <w:bottom w:val="single" w:sz="4" w:space="0" w:color="auto"/>
              <w:right w:val="single" w:sz="4" w:space="0" w:color="auto"/>
            </w:tcBorders>
            <w:shd w:val="clear" w:color="auto" w:fill="auto"/>
            <w:noWrap/>
            <w:vAlign w:val="bottom"/>
            <w:hideMark/>
          </w:tcPr>
          <w:p w14:paraId="42989B35" w14:textId="461303B8"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431</w:t>
            </w:r>
          </w:p>
        </w:tc>
        <w:tc>
          <w:tcPr>
            <w:tcW w:w="1553" w:type="dxa"/>
            <w:tcBorders>
              <w:top w:val="nil"/>
              <w:left w:val="nil"/>
              <w:bottom w:val="single" w:sz="4" w:space="0" w:color="auto"/>
              <w:right w:val="single" w:sz="4" w:space="0" w:color="auto"/>
            </w:tcBorders>
            <w:shd w:val="clear" w:color="auto" w:fill="auto"/>
            <w:noWrap/>
            <w:vAlign w:val="bottom"/>
            <w:hideMark/>
          </w:tcPr>
          <w:p w14:paraId="42989B36" w14:textId="435BE9BF"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1,489</w:t>
            </w:r>
          </w:p>
        </w:tc>
        <w:tc>
          <w:tcPr>
            <w:tcW w:w="1283" w:type="dxa"/>
            <w:tcBorders>
              <w:top w:val="nil"/>
              <w:left w:val="nil"/>
              <w:bottom w:val="single" w:sz="4" w:space="0" w:color="auto"/>
              <w:right w:val="single" w:sz="4" w:space="0" w:color="auto"/>
            </w:tcBorders>
            <w:shd w:val="clear" w:color="auto" w:fill="auto"/>
            <w:noWrap/>
            <w:vAlign w:val="bottom"/>
            <w:hideMark/>
          </w:tcPr>
          <w:p w14:paraId="42989B37" w14:textId="378D5A42"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19</w:t>
            </w:r>
          </w:p>
        </w:tc>
      </w:tr>
      <w:tr w:rsidR="001A25F5" w:rsidRPr="002D07B8" w14:paraId="42989B42" w14:textId="77777777" w:rsidTr="00970F86">
        <w:trPr>
          <w:trHeight w:val="290"/>
        </w:trPr>
        <w:tc>
          <w:tcPr>
            <w:tcW w:w="2474" w:type="dxa"/>
            <w:tcBorders>
              <w:top w:val="nil"/>
              <w:left w:val="single" w:sz="4" w:space="0" w:color="auto"/>
              <w:bottom w:val="single" w:sz="4" w:space="0" w:color="auto"/>
              <w:right w:val="single" w:sz="4" w:space="0" w:color="auto"/>
            </w:tcBorders>
            <w:shd w:val="clear" w:color="auto" w:fill="auto"/>
            <w:vAlign w:val="center"/>
            <w:hideMark/>
          </w:tcPr>
          <w:p w14:paraId="42989B39" w14:textId="77777777" w:rsidR="001A25F5" w:rsidRPr="002D07B8" w:rsidRDefault="001A25F5" w:rsidP="001A25F5">
            <w:pPr>
              <w:rPr>
                <w:rFonts w:asciiTheme="minorHAnsi" w:hAnsiTheme="minorHAnsi" w:cstheme="minorHAnsi"/>
                <w:b/>
                <w:bCs/>
                <w:color w:val="000000"/>
                <w:szCs w:val="22"/>
              </w:rPr>
            </w:pPr>
            <w:r w:rsidRPr="002D07B8">
              <w:rPr>
                <w:rFonts w:asciiTheme="minorHAnsi" w:hAnsiTheme="minorHAnsi" w:cstheme="minorHAnsi"/>
                <w:b/>
                <w:bCs/>
                <w:color w:val="000000"/>
                <w:szCs w:val="22"/>
              </w:rPr>
              <w:t>17 Deep East Texas</w:t>
            </w:r>
          </w:p>
        </w:tc>
        <w:tc>
          <w:tcPr>
            <w:tcW w:w="1480" w:type="dxa"/>
            <w:tcBorders>
              <w:top w:val="nil"/>
              <w:left w:val="nil"/>
              <w:bottom w:val="single" w:sz="4" w:space="0" w:color="auto"/>
              <w:right w:val="single" w:sz="4" w:space="0" w:color="auto"/>
            </w:tcBorders>
            <w:shd w:val="clear" w:color="auto" w:fill="auto"/>
            <w:noWrap/>
            <w:vAlign w:val="bottom"/>
            <w:hideMark/>
          </w:tcPr>
          <w:p w14:paraId="42989B3A" w14:textId="71AB3971"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495</w:t>
            </w:r>
          </w:p>
        </w:tc>
        <w:tc>
          <w:tcPr>
            <w:tcW w:w="1756" w:type="dxa"/>
            <w:tcBorders>
              <w:top w:val="nil"/>
              <w:left w:val="nil"/>
              <w:bottom w:val="single" w:sz="4" w:space="0" w:color="auto"/>
              <w:right w:val="single" w:sz="4" w:space="0" w:color="auto"/>
            </w:tcBorders>
            <w:shd w:val="clear" w:color="auto" w:fill="auto"/>
            <w:noWrap/>
            <w:vAlign w:val="bottom"/>
            <w:hideMark/>
          </w:tcPr>
          <w:p w14:paraId="42989B3B" w14:textId="123ACE4D"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7,338</w:t>
            </w:r>
          </w:p>
        </w:tc>
        <w:tc>
          <w:tcPr>
            <w:tcW w:w="1463" w:type="dxa"/>
            <w:tcBorders>
              <w:top w:val="nil"/>
              <w:left w:val="nil"/>
              <w:bottom w:val="single" w:sz="4" w:space="0" w:color="auto"/>
              <w:right w:val="single" w:sz="4" w:space="0" w:color="auto"/>
            </w:tcBorders>
            <w:shd w:val="clear" w:color="auto" w:fill="auto"/>
            <w:noWrap/>
            <w:vAlign w:val="bottom"/>
            <w:hideMark/>
          </w:tcPr>
          <w:p w14:paraId="42989B3C" w14:textId="77479F70"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7,487</w:t>
            </w:r>
          </w:p>
        </w:tc>
        <w:tc>
          <w:tcPr>
            <w:tcW w:w="1283" w:type="dxa"/>
            <w:tcBorders>
              <w:top w:val="nil"/>
              <w:left w:val="nil"/>
              <w:bottom w:val="single" w:sz="4" w:space="0" w:color="auto"/>
              <w:right w:val="single" w:sz="4" w:space="0" w:color="auto"/>
            </w:tcBorders>
            <w:shd w:val="clear" w:color="auto" w:fill="auto"/>
            <w:noWrap/>
            <w:vAlign w:val="bottom"/>
            <w:hideMark/>
          </w:tcPr>
          <w:p w14:paraId="42989B3D" w14:textId="0A01B38F"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2.03%</w:t>
            </w:r>
          </w:p>
        </w:tc>
        <w:tc>
          <w:tcPr>
            <w:tcW w:w="1283" w:type="dxa"/>
            <w:tcBorders>
              <w:top w:val="nil"/>
              <w:left w:val="nil"/>
              <w:bottom w:val="single" w:sz="4" w:space="0" w:color="auto"/>
              <w:right w:val="single" w:sz="4" w:space="0" w:color="auto"/>
            </w:tcBorders>
            <w:shd w:val="clear" w:color="auto" w:fill="auto"/>
            <w:noWrap/>
            <w:vAlign w:val="bottom"/>
            <w:hideMark/>
          </w:tcPr>
          <w:p w14:paraId="42989B3E" w14:textId="33D3ED84"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1,586</w:t>
            </w:r>
          </w:p>
        </w:tc>
        <w:tc>
          <w:tcPr>
            <w:tcW w:w="1486" w:type="dxa"/>
            <w:tcBorders>
              <w:top w:val="nil"/>
              <w:left w:val="nil"/>
              <w:bottom w:val="single" w:sz="4" w:space="0" w:color="auto"/>
              <w:right w:val="single" w:sz="4" w:space="0" w:color="auto"/>
            </w:tcBorders>
            <w:shd w:val="clear" w:color="auto" w:fill="auto"/>
            <w:noWrap/>
            <w:vAlign w:val="bottom"/>
            <w:hideMark/>
          </w:tcPr>
          <w:p w14:paraId="42989B3F" w14:textId="4804D286"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495</w:t>
            </w:r>
          </w:p>
        </w:tc>
        <w:tc>
          <w:tcPr>
            <w:tcW w:w="1553" w:type="dxa"/>
            <w:tcBorders>
              <w:top w:val="nil"/>
              <w:left w:val="nil"/>
              <w:bottom w:val="single" w:sz="4" w:space="0" w:color="auto"/>
              <w:right w:val="single" w:sz="4" w:space="0" w:color="auto"/>
            </w:tcBorders>
            <w:shd w:val="clear" w:color="auto" w:fill="auto"/>
            <w:noWrap/>
            <w:vAlign w:val="bottom"/>
            <w:hideMark/>
          </w:tcPr>
          <w:p w14:paraId="42989B40" w14:textId="1FBFF4B3"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2,081</w:t>
            </w:r>
          </w:p>
        </w:tc>
        <w:tc>
          <w:tcPr>
            <w:tcW w:w="1283" w:type="dxa"/>
            <w:tcBorders>
              <w:top w:val="nil"/>
              <w:left w:val="nil"/>
              <w:bottom w:val="single" w:sz="4" w:space="0" w:color="auto"/>
              <w:right w:val="single" w:sz="4" w:space="0" w:color="auto"/>
            </w:tcBorders>
            <w:shd w:val="clear" w:color="auto" w:fill="auto"/>
            <w:noWrap/>
            <w:vAlign w:val="bottom"/>
            <w:hideMark/>
          </w:tcPr>
          <w:p w14:paraId="42989B41" w14:textId="0C08B130"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32</w:t>
            </w:r>
          </w:p>
        </w:tc>
      </w:tr>
      <w:tr w:rsidR="001A25F5" w:rsidRPr="002D07B8" w14:paraId="42989B4C" w14:textId="77777777" w:rsidTr="00970F86">
        <w:trPr>
          <w:trHeight w:val="290"/>
        </w:trPr>
        <w:tc>
          <w:tcPr>
            <w:tcW w:w="2474" w:type="dxa"/>
            <w:tcBorders>
              <w:top w:val="nil"/>
              <w:left w:val="single" w:sz="4" w:space="0" w:color="auto"/>
              <w:bottom w:val="single" w:sz="4" w:space="0" w:color="auto"/>
              <w:right w:val="single" w:sz="4" w:space="0" w:color="auto"/>
            </w:tcBorders>
            <w:shd w:val="clear" w:color="auto" w:fill="auto"/>
            <w:vAlign w:val="center"/>
            <w:hideMark/>
          </w:tcPr>
          <w:p w14:paraId="42989B43" w14:textId="77777777" w:rsidR="001A25F5" w:rsidRPr="002D07B8" w:rsidRDefault="001A25F5" w:rsidP="001A25F5">
            <w:pPr>
              <w:rPr>
                <w:rFonts w:asciiTheme="minorHAnsi" w:hAnsiTheme="minorHAnsi" w:cstheme="minorHAnsi"/>
                <w:b/>
                <w:bCs/>
                <w:color w:val="000000"/>
                <w:szCs w:val="22"/>
              </w:rPr>
            </w:pPr>
            <w:r w:rsidRPr="002D07B8">
              <w:rPr>
                <w:rFonts w:asciiTheme="minorHAnsi" w:hAnsiTheme="minorHAnsi" w:cstheme="minorHAnsi"/>
                <w:b/>
                <w:bCs/>
                <w:color w:val="000000"/>
                <w:szCs w:val="22"/>
              </w:rPr>
              <w:t>18 Southeast Texas</w:t>
            </w:r>
          </w:p>
        </w:tc>
        <w:tc>
          <w:tcPr>
            <w:tcW w:w="1480" w:type="dxa"/>
            <w:tcBorders>
              <w:top w:val="nil"/>
              <w:left w:val="nil"/>
              <w:bottom w:val="single" w:sz="4" w:space="0" w:color="auto"/>
              <w:right w:val="single" w:sz="4" w:space="0" w:color="auto"/>
            </w:tcBorders>
            <w:shd w:val="clear" w:color="auto" w:fill="auto"/>
            <w:noWrap/>
            <w:vAlign w:val="bottom"/>
            <w:hideMark/>
          </w:tcPr>
          <w:p w14:paraId="42989B44" w14:textId="51D2EEE7"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563</w:t>
            </w:r>
          </w:p>
        </w:tc>
        <w:tc>
          <w:tcPr>
            <w:tcW w:w="1756" w:type="dxa"/>
            <w:tcBorders>
              <w:top w:val="nil"/>
              <w:left w:val="nil"/>
              <w:bottom w:val="single" w:sz="4" w:space="0" w:color="auto"/>
              <w:right w:val="single" w:sz="4" w:space="0" w:color="auto"/>
            </w:tcBorders>
            <w:shd w:val="clear" w:color="auto" w:fill="auto"/>
            <w:noWrap/>
            <w:vAlign w:val="bottom"/>
            <w:hideMark/>
          </w:tcPr>
          <w:p w14:paraId="42989B45" w14:textId="135EE664"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8,080</w:t>
            </w:r>
          </w:p>
        </w:tc>
        <w:tc>
          <w:tcPr>
            <w:tcW w:w="1463" w:type="dxa"/>
            <w:tcBorders>
              <w:top w:val="nil"/>
              <w:left w:val="nil"/>
              <w:bottom w:val="single" w:sz="4" w:space="0" w:color="auto"/>
              <w:right w:val="single" w:sz="4" w:space="0" w:color="auto"/>
            </w:tcBorders>
            <w:shd w:val="clear" w:color="auto" w:fill="auto"/>
            <w:noWrap/>
            <w:vAlign w:val="bottom"/>
            <w:hideMark/>
          </w:tcPr>
          <w:p w14:paraId="42989B46" w14:textId="6FFD9413"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8,161</w:t>
            </w:r>
          </w:p>
        </w:tc>
        <w:tc>
          <w:tcPr>
            <w:tcW w:w="1283"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42989B47" w14:textId="57638937"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1.00%</w:t>
            </w:r>
          </w:p>
        </w:tc>
        <w:tc>
          <w:tcPr>
            <w:tcW w:w="1283" w:type="dxa"/>
            <w:tcBorders>
              <w:top w:val="nil"/>
              <w:left w:val="nil"/>
              <w:bottom w:val="single" w:sz="4" w:space="0" w:color="auto"/>
              <w:right w:val="single" w:sz="4" w:space="0" w:color="auto"/>
            </w:tcBorders>
            <w:shd w:val="clear" w:color="auto" w:fill="auto"/>
            <w:noWrap/>
            <w:vAlign w:val="bottom"/>
            <w:hideMark/>
          </w:tcPr>
          <w:p w14:paraId="42989B48" w14:textId="6351B88C"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1,596</w:t>
            </w:r>
          </w:p>
        </w:tc>
        <w:tc>
          <w:tcPr>
            <w:tcW w:w="1486" w:type="dxa"/>
            <w:tcBorders>
              <w:top w:val="nil"/>
              <w:left w:val="nil"/>
              <w:bottom w:val="single" w:sz="4" w:space="0" w:color="auto"/>
              <w:right w:val="single" w:sz="4" w:space="0" w:color="auto"/>
            </w:tcBorders>
            <w:shd w:val="clear" w:color="auto" w:fill="auto"/>
            <w:noWrap/>
            <w:vAlign w:val="bottom"/>
            <w:hideMark/>
          </w:tcPr>
          <w:p w14:paraId="42989B49" w14:textId="14B457A6"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563</w:t>
            </w:r>
          </w:p>
        </w:tc>
        <w:tc>
          <w:tcPr>
            <w:tcW w:w="1553" w:type="dxa"/>
            <w:tcBorders>
              <w:top w:val="nil"/>
              <w:left w:val="nil"/>
              <w:bottom w:val="single" w:sz="4" w:space="0" w:color="auto"/>
              <w:right w:val="single" w:sz="4" w:space="0" w:color="auto"/>
            </w:tcBorders>
            <w:shd w:val="clear" w:color="auto" w:fill="auto"/>
            <w:noWrap/>
            <w:vAlign w:val="bottom"/>
            <w:hideMark/>
          </w:tcPr>
          <w:p w14:paraId="42989B4A" w14:textId="5D28614A"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2,159</w:t>
            </w:r>
          </w:p>
        </w:tc>
        <w:tc>
          <w:tcPr>
            <w:tcW w:w="1283"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42989B4B" w14:textId="54FC962B"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16</w:t>
            </w:r>
          </w:p>
        </w:tc>
      </w:tr>
      <w:tr w:rsidR="001A25F5" w:rsidRPr="002D07B8" w14:paraId="42989B56" w14:textId="77777777" w:rsidTr="00970F86">
        <w:trPr>
          <w:trHeight w:val="290"/>
        </w:trPr>
        <w:tc>
          <w:tcPr>
            <w:tcW w:w="2474" w:type="dxa"/>
            <w:tcBorders>
              <w:top w:val="nil"/>
              <w:left w:val="single" w:sz="4" w:space="0" w:color="auto"/>
              <w:bottom w:val="single" w:sz="4" w:space="0" w:color="auto"/>
              <w:right w:val="single" w:sz="4" w:space="0" w:color="auto"/>
            </w:tcBorders>
            <w:shd w:val="clear" w:color="auto" w:fill="auto"/>
            <w:vAlign w:val="center"/>
            <w:hideMark/>
          </w:tcPr>
          <w:p w14:paraId="42989B4D" w14:textId="77777777" w:rsidR="001A25F5" w:rsidRPr="002D07B8" w:rsidRDefault="001A25F5" w:rsidP="001A25F5">
            <w:pPr>
              <w:rPr>
                <w:rFonts w:asciiTheme="minorHAnsi" w:hAnsiTheme="minorHAnsi" w:cstheme="minorHAnsi"/>
                <w:b/>
                <w:bCs/>
                <w:color w:val="000000"/>
                <w:szCs w:val="22"/>
              </w:rPr>
            </w:pPr>
            <w:r w:rsidRPr="002D07B8">
              <w:rPr>
                <w:rFonts w:asciiTheme="minorHAnsi" w:hAnsiTheme="minorHAnsi" w:cstheme="minorHAnsi"/>
                <w:b/>
                <w:bCs/>
                <w:color w:val="000000"/>
                <w:szCs w:val="22"/>
              </w:rPr>
              <w:t>19 Golden Crescent</w:t>
            </w:r>
          </w:p>
        </w:tc>
        <w:tc>
          <w:tcPr>
            <w:tcW w:w="1480" w:type="dxa"/>
            <w:tcBorders>
              <w:top w:val="nil"/>
              <w:left w:val="nil"/>
              <w:bottom w:val="single" w:sz="4" w:space="0" w:color="auto"/>
              <w:right w:val="single" w:sz="4" w:space="0" w:color="auto"/>
            </w:tcBorders>
            <w:shd w:val="clear" w:color="auto" w:fill="auto"/>
            <w:noWrap/>
            <w:vAlign w:val="bottom"/>
            <w:hideMark/>
          </w:tcPr>
          <w:p w14:paraId="42989B4E" w14:textId="70C7DDB4"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320</w:t>
            </w:r>
          </w:p>
        </w:tc>
        <w:tc>
          <w:tcPr>
            <w:tcW w:w="1756" w:type="dxa"/>
            <w:tcBorders>
              <w:top w:val="nil"/>
              <w:left w:val="nil"/>
              <w:bottom w:val="single" w:sz="4" w:space="0" w:color="auto"/>
              <w:right w:val="single" w:sz="4" w:space="0" w:color="auto"/>
            </w:tcBorders>
            <w:shd w:val="clear" w:color="auto" w:fill="auto"/>
            <w:noWrap/>
            <w:vAlign w:val="bottom"/>
            <w:hideMark/>
          </w:tcPr>
          <w:p w14:paraId="42989B4F" w14:textId="652A992C"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5,313</w:t>
            </w:r>
          </w:p>
        </w:tc>
        <w:tc>
          <w:tcPr>
            <w:tcW w:w="1463" w:type="dxa"/>
            <w:tcBorders>
              <w:top w:val="nil"/>
              <w:left w:val="nil"/>
              <w:bottom w:val="single" w:sz="4" w:space="0" w:color="auto"/>
              <w:right w:val="single" w:sz="4" w:space="0" w:color="auto"/>
            </w:tcBorders>
            <w:shd w:val="clear" w:color="auto" w:fill="auto"/>
            <w:noWrap/>
            <w:vAlign w:val="bottom"/>
            <w:hideMark/>
          </w:tcPr>
          <w:p w14:paraId="42989B50" w14:textId="5E49A8BA"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5,338</w:t>
            </w:r>
          </w:p>
        </w:tc>
        <w:tc>
          <w:tcPr>
            <w:tcW w:w="1283" w:type="dxa"/>
            <w:tcBorders>
              <w:top w:val="nil"/>
              <w:left w:val="nil"/>
              <w:bottom w:val="single" w:sz="4" w:space="0" w:color="auto"/>
              <w:right w:val="single" w:sz="4" w:space="0" w:color="auto"/>
            </w:tcBorders>
            <w:shd w:val="clear" w:color="auto" w:fill="auto"/>
            <w:noWrap/>
            <w:vAlign w:val="bottom"/>
            <w:hideMark/>
          </w:tcPr>
          <w:p w14:paraId="42989B51" w14:textId="45828795"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0.47%</w:t>
            </w:r>
          </w:p>
        </w:tc>
        <w:tc>
          <w:tcPr>
            <w:tcW w:w="1283" w:type="dxa"/>
            <w:tcBorders>
              <w:top w:val="nil"/>
              <w:left w:val="nil"/>
              <w:bottom w:val="single" w:sz="4" w:space="0" w:color="auto"/>
              <w:right w:val="single" w:sz="4" w:space="0" w:color="auto"/>
            </w:tcBorders>
            <w:shd w:val="clear" w:color="auto" w:fill="auto"/>
            <w:noWrap/>
            <w:vAlign w:val="bottom"/>
            <w:hideMark/>
          </w:tcPr>
          <w:p w14:paraId="42989B52" w14:textId="5B8BDFB8"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1,308</w:t>
            </w:r>
          </w:p>
        </w:tc>
        <w:tc>
          <w:tcPr>
            <w:tcW w:w="1486" w:type="dxa"/>
            <w:tcBorders>
              <w:top w:val="nil"/>
              <w:left w:val="nil"/>
              <w:bottom w:val="single" w:sz="4" w:space="0" w:color="auto"/>
              <w:right w:val="single" w:sz="4" w:space="0" w:color="auto"/>
            </w:tcBorders>
            <w:shd w:val="clear" w:color="auto" w:fill="auto"/>
            <w:noWrap/>
            <w:vAlign w:val="bottom"/>
            <w:hideMark/>
          </w:tcPr>
          <w:p w14:paraId="42989B53" w14:textId="0044A7E0"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320</w:t>
            </w:r>
          </w:p>
        </w:tc>
        <w:tc>
          <w:tcPr>
            <w:tcW w:w="1553" w:type="dxa"/>
            <w:tcBorders>
              <w:top w:val="nil"/>
              <w:left w:val="nil"/>
              <w:bottom w:val="single" w:sz="4" w:space="0" w:color="auto"/>
              <w:right w:val="single" w:sz="4" w:space="0" w:color="auto"/>
            </w:tcBorders>
            <w:shd w:val="clear" w:color="auto" w:fill="auto"/>
            <w:noWrap/>
            <w:vAlign w:val="bottom"/>
            <w:hideMark/>
          </w:tcPr>
          <w:p w14:paraId="42989B54" w14:textId="59995519"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1,628</w:t>
            </w:r>
          </w:p>
        </w:tc>
        <w:tc>
          <w:tcPr>
            <w:tcW w:w="1283" w:type="dxa"/>
            <w:tcBorders>
              <w:top w:val="nil"/>
              <w:left w:val="nil"/>
              <w:bottom w:val="single" w:sz="4" w:space="0" w:color="auto"/>
              <w:right w:val="single" w:sz="4" w:space="0" w:color="auto"/>
            </w:tcBorders>
            <w:shd w:val="clear" w:color="auto" w:fill="auto"/>
            <w:noWrap/>
            <w:vAlign w:val="bottom"/>
            <w:hideMark/>
          </w:tcPr>
          <w:p w14:paraId="42989B55" w14:textId="5FA6FC00"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6</w:t>
            </w:r>
          </w:p>
        </w:tc>
      </w:tr>
      <w:tr w:rsidR="001A25F5" w:rsidRPr="002D07B8" w14:paraId="42989B60" w14:textId="77777777" w:rsidTr="00970F86">
        <w:trPr>
          <w:trHeight w:val="290"/>
        </w:trPr>
        <w:tc>
          <w:tcPr>
            <w:tcW w:w="2474" w:type="dxa"/>
            <w:tcBorders>
              <w:top w:val="nil"/>
              <w:left w:val="single" w:sz="4" w:space="0" w:color="auto"/>
              <w:bottom w:val="single" w:sz="4" w:space="0" w:color="auto"/>
              <w:right w:val="single" w:sz="4" w:space="0" w:color="auto"/>
            </w:tcBorders>
            <w:shd w:val="clear" w:color="auto" w:fill="auto"/>
            <w:vAlign w:val="center"/>
            <w:hideMark/>
          </w:tcPr>
          <w:p w14:paraId="42989B57" w14:textId="77777777" w:rsidR="001A25F5" w:rsidRPr="002D07B8" w:rsidRDefault="001A25F5" w:rsidP="001A25F5">
            <w:pPr>
              <w:rPr>
                <w:rFonts w:asciiTheme="minorHAnsi" w:hAnsiTheme="minorHAnsi" w:cstheme="minorHAnsi"/>
                <w:b/>
                <w:bCs/>
                <w:color w:val="000000"/>
                <w:szCs w:val="22"/>
              </w:rPr>
            </w:pPr>
            <w:r w:rsidRPr="002D07B8">
              <w:rPr>
                <w:rFonts w:asciiTheme="minorHAnsi" w:hAnsiTheme="minorHAnsi" w:cstheme="minorHAnsi"/>
                <w:b/>
                <w:bCs/>
                <w:color w:val="000000"/>
                <w:szCs w:val="22"/>
              </w:rPr>
              <w:t>20 Alamo Area</w:t>
            </w:r>
          </w:p>
        </w:tc>
        <w:tc>
          <w:tcPr>
            <w:tcW w:w="1480" w:type="dxa"/>
            <w:tcBorders>
              <w:top w:val="nil"/>
              <w:left w:val="nil"/>
              <w:bottom w:val="single" w:sz="4" w:space="0" w:color="auto"/>
              <w:right w:val="single" w:sz="4" w:space="0" w:color="auto"/>
            </w:tcBorders>
            <w:shd w:val="clear" w:color="auto" w:fill="auto"/>
            <w:noWrap/>
            <w:vAlign w:val="bottom"/>
            <w:hideMark/>
          </w:tcPr>
          <w:p w14:paraId="42989B58" w14:textId="3D3E5A64"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2,037</w:t>
            </w:r>
          </w:p>
        </w:tc>
        <w:tc>
          <w:tcPr>
            <w:tcW w:w="1756" w:type="dxa"/>
            <w:tcBorders>
              <w:top w:val="nil"/>
              <w:left w:val="nil"/>
              <w:bottom w:val="single" w:sz="4" w:space="0" w:color="auto"/>
              <w:right w:val="single" w:sz="4" w:space="0" w:color="auto"/>
            </w:tcBorders>
            <w:shd w:val="clear" w:color="auto" w:fill="auto"/>
            <w:noWrap/>
            <w:vAlign w:val="bottom"/>
            <w:hideMark/>
          </w:tcPr>
          <w:p w14:paraId="42989B59" w14:textId="586F2168"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55,013</w:t>
            </w:r>
          </w:p>
        </w:tc>
        <w:tc>
          <w:tcPr>
            <w:tcW w:w="1463" w:type="dxa"/>
            <w:tcBorders>
              <w:top w:val="nil"/>
              <w:left w:val="nil"/>
              <w:bottom w:val="single" w:sz="4" w:space="0" w:color="auto"/>
              <w:right w:val="single" w:sz="4" w:space="0" w:color="auto"/>
            </w:tcBorders>
            <w:shd w:val="clear" w:color="auto" w:fill="auto"/>
            <w:noWrap/>
            <w:vAlign w:val="bottom"/>
            <w:hideMark/>
          </w:tcPr>
          <w:p w14:paraId="42989B5A" w14:textId="489EE9C4"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56,483</w:t>
            </w:r>
          </w:p>
        </w:tc>
        <w:tc>
          <w:tcPr>
            <w:tcW w:w="1283" w:type="dxa"/>
            <w:tcBorders>
              <w:top w:val="nil"/>
              <w:left w:val="nil"/>
              <w:bottom w:val="single" w:sz="4" w:space="0" w:color="auto"/>
              <w:right w:val="single" w:sz="4" w:space="0" w:color="auto"/>
            </w:tcBorders>
            <w:shd w:val="clear" w:color="auto" w:fill="auto"/>
            <w:noWrap/>
            <w:vAlign w:val="bottom"/>
            <w:hideMark/>
          </w:tcPr>
          <w:p w14:paraId="42989B5B" w14:textId="6D8AE7CF"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2.67%</w:t>
            </w:r>
          </w:p>
        </w:tc>
        <w:tc>
          <w:tcPr>
            <w:tcW w:w="1283" w:type="dxa"/>
            <w:tcBorders>
              <w:top w:val="nil"/>
              <w:left w:val="nil"/>
              <w:bottom w:val="single" w:sz="4" w:space="0" w:color="auto"/>
              <w:right w:val="single" w:sz="4" w:space="0" w:color="auto"/>
            </w:tcBorders>
            <w:shd w:val="clear" w:color="auto" w:fill="auto"/>
            <w:noWrap/>
            <w:vAlign w:val="bottom"/>
            <w:hideMark/>
          </w:tcPr>
          <w:p w14:paraId="42989B5C" w14:textId="697E1C3B"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7,646</w:t>
            </w:r>
          </w:p>
        </w:tc>
        <w:tc>
          <w:tcPr>
            <w:tcW w:w="1486" w:type="dxa"/>
            <w:tcBorders>
              <w:top w:val="nil"/>
              <w:left w:val="nil"/>
              <w:bottom w:val="single" w:sz="4" w:space="0" w:color="auto"/>
              <w:right w:val="single" w:sz="4" w:space="0" w:color="auto"/>
            </w:tcBorders>
            <w:shd w:val="clear" w:color="auto" w:fill="auto"/>
            <w:noWrap/>
            <w:vAlign w:val="bottom"/>
            <w:hideMark/>
          </w:tcPr>
          <w:p w14:paraId="42989B5D" w14:textId="7FB49828"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2,037</w:t>
            </w:r>
          </w:p>
        </w:tc>
        <w:tc>
          <w:tcPr>
            <w:tcW w:w="1553" w:type="dxa"/>
            <w:tcBorders>
              <w:top w:val="nil"/>
              <w:left w:val="nil"/>
              <w:bottom w:val="single" w:sz="4" w:space="0" w:color="auto"/>
              <w:right w:val="single" w:sz="4" w:space="0" w:color="auto"/>
            </w:tcBorders>
            <w:shd w:val="clear" w:color="auto" w:fill="auto"/>
            <w:noWrap/>
            <w:vAlign w:val="bottom"/>
            <w:hideMark/>
          </w:tcPr>
          <w:p w14:paraId="42989B5E" w14:textId="40A4A00D"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9,683</w:t>
            </w:r>
          </w:p>
        </w:tc>
        <w:tc>
          <w:tcPr>
            <w:tcW w:w="1283" w:type="dxa"/>
            <w:tcBorders>
              <w:top w:val="nil"/>
              <w:left w:val="nil"/>
              <w:bottom w:val="single" w:sz="4" w:space="0" w:color="auto"/>
              <w:right w:val="single" w:sz="4" w:space="0" w:color="auto"/>
            </w:tcBorders>
            <w:shd w:val="clear" w:color="auto" w:fill="auto"/>
            <w:noWrap/>
            <w:vAlign w:val="bottom"/>
            <w:hideMark/>
          </w:tcPr>
          <w:p w14:paraId="42989B5F" w14:textId="4CEFC4B3"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199</w:t>
            </w:r>
          </w:p>
        </w:tc>
      </w:tr>
      <w:tr w:rsidR="001A25F5" w:rsidRPr="002D07B8" w14:paraId="42989B6A" w14:textId="77777777" w:rsidTr="00970F86">
        <w:trPr>
          <w:trHeight w:val="290"/>
        </w:trPr>
        <w:tc>
          <w:tcPr>
            <w:tcW w:w="2474" w:type="dxa"/>
            <w:tcBorders>
              <w:top w:val="nil"/>
              <w:left w:val="single" w:sz="4" w:space="0" w:color="auto"/>
              <w:bottom w:val="single" w:sz="4" w:space="0" w:color="auto"/>
              <w:right w:val="single" w:sz="4" w:space="0" w:color="auto"/>
            </w:tcBorders>
            <w:shd w:val="clear" w:color="auto" w:fill="auto"/>
            <w:vAlign w:val="center"/>
            <w:hideMark/>
          </w:tcPr>
          <w:p w14:paraId="42989B61" w14:textId="77777777" w:rsidR="001A25F5" w:rsidRPr="002D07B8" w:rsidRDefault="001A25F5" w:rsidP="001A25F5">
            <w:pPr>
              <w:rPr>
                <w:rFonts w:asciiTheme="minorHAnsi" w:hAnsiTheme="minorHAnsi" w:cstheme="minorHAnsi"/>
                <w:b/>
                <w:bCs/>
                <w:color w:val="000000"/>
                <w:szCs w:val="22"/>
              </w:rPr>
            </w:pPr>
            <w:r w:rsidRPr="002D07B8">
              <w:rPr>
                <w:rFonts w:asciiTheme="minorHAnsi" w:hAnsiTheme="minorHAnsi" w:cstheme="minorHAnsi"/>
                <w:b/>
                <w:bCs/>
                <w:color w:val="000000"/>
                <w:szCs w:val="22"/>
              </w:rPr>
              <w:t>21 South Texas</w:t>
            </w:r>
          </w:p>
        </w:tc>
        <w:tc>
          <w:tcPr>
            <w:tcW w:w="1480" w:type="dxa"/>
            <w:tcBorders>
              <w:top w:val="nil"/>
              <w:left w:val="nil"/>
              <w:bottom w:val="single" w:sz="4" w:space="0" w:color="auto"/>
              <w:right w:val="single" w:sz="4" w:space="0" w:color="auto"/>
            </w:tcBorders>
            <w:shd w:val="clear" w:color="auto" w:fill="auto"/>
            <w:noWrap/>
            <w:vAlign w:val="bottom"/>
            <w:hideMark/>
          </w:tcPr>
          <w:p w14:paraId="42989B62" w14:textId="057BC629"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309</w:t>
            </w:r>
          </w:p>
        </w:tc>
        <w:tc>
          <w:tcPr>
            <w:tcW w:w="1756" w:type="dxa"/>
            <w:tcBorders>
              <w:top w:val="nil"/>
              <w:left w:val="nil"/>
              <w:bottom w:val="single" w:sz="4" w:space="0" w:color="auto"/>
              <w:right w:val="single" w:sz="4" w:space="0" w:color="auto"/>
            </w:tcBorders>
            <w:shd w:val="clear" w:color="auto" w:fill="auto"/>
            <w:noWrap/>
            <w:vAlign w:val="bottom"/>
            <w:hideMark/>
          </w:tcPr>
          <w:p w14:paraId="42989B63" w14:textId="23D93949"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5,747</w:t>
            </w:r>
          </w:p>
        </w:tc>
        <w:tc>
          <w:tcPr>
            <w:tcW w:w="1463" w:type="dxa"/>
            <w:tcBorders>
              <w:top w:val="nil"/>
              <w:left w:val="nil"/>
              <w:bottom w:val="single" w:sz="4" w:space="0" w:color="auto"/>
              <w:right w:val="single" w:sz="4" w:space="0" w:color="auto"/>
            </w:tcBorders>
            <w:shd w:val="clear" w:color="auto" w:fill="auto"/>
            <w:noWrap/>
            <w:vAlign w:val="bottom"/>
            <w:hideMark/>
          </w:tcPr>
          <w:p w14:paraId="42989B64" w14:textId="0189B5B5"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5,822</w:t>
            </w:r>
          </w:p>
        </w:tc>
        <w:tc>
          <w:tcPr>
            <w:tcW w:w="1283" w:type="dxa"/>
            <w:tcBorders>
              <w:top w:val="nil"/>
              <w:left w:val="nil"/>
              <w:bottom w:val="single" w:sz="4" w:space="0" w:color="auto"/>
              <w:right w:val="single" w:sz="4" w:space="0" w:color="auto"/>
            </w:tcBorders>
            <w:shd w:val="clear" w:color="auto" w:fill="auto"/>
            <w:noWrap/>
            <w:vAlign w:val="bottom"/>
            <w:hideMark/>
          </w:tcPr>
          <w:p w14:paraId="42989B65" w14:textId="4DA7E135"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1.31%</w:t>
            </w:r>
          </w:p>
        </w:tc>
        <w:tc>
          <w:tcPr>
            <w:tcW w:w="1283" w:type="dxa"/>
            <w:tcBorders>
              <w:top w:val="nil"/>
              <w:left w:val="nil"/>
              <w:bottom w:val="single" w:sz="4" w:space="0" w:color="auto"/>
              <w:right w:val="single" w:sz="4" w:space="0" w:color="auto"/>
            </w:tcBorders>
            <w:shd w:val="clear" w:color="auto" w:fill="auto"/>
            <w:noWrap/>
            <w:vAlign w:val="bottom"/>
            <w:hideMark/>
          </w:tcPr>
          <w:p w14:paraId="42989B66" w14:textId="53014798"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1,690</w:t>
            </w:r>
          </w:p>
        </w:tc>
        <w:tc>
          <w:tcPr>
            <w:tcW w:w="1486" w:type="dxa"/>
            <w:tcBorders>
              <w:top w:val="nil"/>
              <w:left w:val="nil"/>
              <w:bottom w:val="single" w:sz="4" w:space="0" w:color="auto"/>
              <w:right w:val="single" w:sz="4" w:space="0" w:color="auto"/>
            </w:tcBorders>
            <w:shd w:val="clear" w:color="auto" w:fill="auto"/>
            <w:noWrap/>
            <w:vAlign w:val="bottom"/>
            <w:hideMark/>
          </w:tcPr>
          <w:p w14:paraId="42989B67" w14:textId="561BDB16"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309</w:t>
            </w:r>
          </w:p>
        </w:tc>
        <w:tc>
          <w:tcPr>
            <w:tcW w:w="1553" w:type="dxa"/>
            <w:tcBorders>
              <w:top w:val="nil"/>
              <w:left w:val="nil"/>
              <w:bottom w:val="single" w:sz="4" w:space="0" w:color="auto"/>
              <w:right w:val="single" w:sz="4" w:space="0" w:color="auto"/>
            </w:tcBorders>
            <w:shd w:val="clear" w:color="auto" w:fill="auto"/>
            <w:noWrap/>
            <w:vAlign w:val="bottom"/>
            <w:hideMark/>
          </w:tcPr>
          <w:p w14:paraId="42989B68" w14:textId="6A7FF9BC"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1,999</w:t>
            </w:r>
          </w:p>
        </w:tc>
        <w:tc>
          <w:tcPr>
            <w:tcW w:w="1283" w:type="dxa"/>
            <w:tcBorders>
              <w:top w:val="nil"/>
              <w:left w:val="nil"/>
              <w:bottom w:val="single" w:sz="4" w:space="0" w:color="auto"/>
              <w:right w:val="single" w:sz="4" w:space="0" w:color="auto"/>
            </w:tcBorders>
            <w:shd w:val="clear" w:color="auto" w:fill="auto"/>
            <w:noWrap/>
            <w:vAlign w:val="bottom"/>
            <w:hideMark/>
          </w:tcPr>
          <w:p w14:paraId="42989B69" w14:textId="72156966"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22</w:t>
            </w:r>
          </w:p>
        </w:tc>
      </w:tr>
      <w:tr w:rsidR="001A25F5" w:rsidRPr="002D07B8" w14:paraId="42989B74" w14:textId="77777777" w:rsidTr="00970F86">
        <w:trPr>
          <w:trHeight w:val="290"/>
        </w:trPr>
        <w:tc>
          <w:tcPr>
            <w:tcW w:w="2474" w:type="dxa"/>
            <w:tcBorders>
              <w:top w:val="nil"/>
              <w:left w:val="single" w:sz="4" w:space="0" w:color="auto"/>
              <w:bottom w:val="single" w:sz="4" w:space="0" w:color="auto"/>
              <w:right w:val="single" w:sz="4" w:space="0" w:color="auto"/>
            </w:tcBorders>
            <w:shd w:val="clear" w:color="auto" w:fill="auto"/>
            <w:vAlign w:val="center"/>
            <w:hideMark/>
          </w:tcPr>
          <w:p w14:paraId="42989B6B" w14:textId="77777777" w:rsidR="001A25F5" w:rsidRPr="002D07B8" w:rsidRDefault="001A25F5" w:rsidP="001A25F5">
            <w:pPr>
              <w:rPr>
                <w:rFonts w:asciiTheme="minorHAnsi" w:hAnsiTheme="minorHAnsi" w:cstheme="minorHAnsi"/>
                <w:b/>
                <w:bCs/>
                <w:color w:val="000000"/>
                <w:szCs w:val="22"/>
              </w:rPr>
            </w:pPr>
            <w:r w:rsidRPr="002D07B8">
              <w:rPr>
                <w:rFonts w:asciiTheme="minorHAnsi" w:hAnsiTheme="minorHAnsi" w:cstheme="minorHAnsi"/>
                <w:b/>
                <w:bCs/>
                <w:color w:val="000000"/>
                <w:szCs w:val="22"/>
              </w:rPr>
              <w:t>22 Coastal Bend</w:t>
            </w:r>
          </w:p>
        </w:tc>
        <w:tc>
          <w:tcPr>
            <w:tcW w:w="1480" w:type="dxa"/>
            <w:tcBorders>
              <w:top w:val="nil"/>
              <w:left w:val="nil"/>
              <w:bottom w:val="single" w:sz="4" w:space="0" w:color="auto"/>
              <w:right w:val="single" w:sz="4" w:space="0" w:color="auto"/>
            </w:tcBorders>
            <w:shd w:val="clear" w:color="auto" w:fill="auto"/>
            <w:noWrap/>
            <w:vAlign w:val="bottom"/>
            <w:hideMark/>
          </w:tcPr>
          <w:p w14:paraId="42989B6C" w14:textId="5DF53DD4"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698</w:t>
            </w:r>
          </w:p>
        </w:tc>
        <w:tc>
          <w:tcPr>
            <w:tcW w:w="1756" w:type="dxa"/>
            <w:tcBorders>
              <w:top w:val="nil"/>
              <w:left w:val="nil"/>
              <w:bottom w:val="single" w:sz="4" w:space="0" w:color="auto"/>
              <w:right w:val="single" w:sz="4" w:space="0" w:color="auto"/>
            </w:tcBorders>
            <w:shd w:val="clear" w:color="auto" w:fill="auto"/>
            <w:noWrap/>
            <w:vAlign w:val="bottom"/>
            <w:hideMark/>
          </w:tcPr>
          <w:p w14:paraId="42989B6D" w14:textId="71A08064"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12,984</w:t>
            </w:r>
          </w:p>
        </w:tc>
        <w:tc>
          <w:tcPr>
            <w:tcW w:w="1463" w:type="dxa"/>
            <w:tcBorders>
              <w:top w:val="nil"/>
              <w:left w:val="nil"/>
              <w:bottom w:val="single" w:sz="4" w:space="0" w:color="auto"/>
              <w:right w:val="single" w:sz="4" w:space="0" w:color="auto"/>
            </w:tcBorders>
            <w:shd w:val="clear" w:color="auto" w:fill="auto"/>
            <w:noWrap/>
            <w:vAlign w:val="bottom"/>
            <w:hideMark/>
          </w:tcPr>
          <w:p w14:paraId="42989B6E" w14:textId="4E4FC093"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12,957</w:t>
            </w:r>
          </w:p>
        </w:tc>
        <w:tc>
          <w:tcPr>
            <w:tcW w:w="1283"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42989B6F" w14:textId="406EC5BD"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-0.21%</w:t>
            </w:r>
          </w:p>
        </w:tc>
        <w:tc>
          <w:tcPr>
            <w:tcW w:w="1283" w:type="dxa"/>
            <w:tcBorders>
              <w:top w:val="nil"/>
              <w:left w:val="nil"/>
              <w:bottom w:val="single" w:sz="4" w:space="0" w:color="auto"/>
              <w:right w:val="single" w:sz="4" w:space="0" w:color="auto"/>
            </w:tcBorders>
            <w:shd w:val="clear" w:color="auto" w:fill="auto"/>
            <w:noWrap/>
            <w:vAlign w:val="bottom"/>
            <w:hideMark/>
          </w:tcPr>
          <w:p w14:paraId="42989B70" w14:textId="715F6E24"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2,436</w:t>
            </w:r>
          </w:p>
        </w:tc>
        <w:tc>
          <w:tcPr>
            <w:tcW w:w="1486" w:type="dxa"/>
            <w:tcBorders>
              <w:top w:val="nil"/>
              <w:left w:val="nil"/>
              <w:bottom w:val="single" w:sz="4" w:space="0" w:color="auto"/>
              <w:right w:val="single" w:sz="4" w:space="0" w:color="auto"/>
            </w:tcBorders>
            <w:shd w:val="clear" w:color="auto" w:fill="auto"/>
            <w:noWrap/>
            <w:vAlign w:val="bottom"/>
            <w:hideMark/>
          </w:tcPr>
          <w:p w14:paraId="42989B71" w14:textId="3341496D"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698</w:t>
            </w:r>
          </w:p>
        </w:tc>
        <w:tc>
          <w:tcPr>
            <w:tcW w:w="1553" w:type="dxa"/>
            <w:tcBorders>
              <w:top w:val="nil"/>
              <w:left w:val="nil"/>
              <w:bottom w:val="single" w:sz="4" w:space="0" w:color="auto"/>
              <w:right w:val="single" w:sz="4" w:space="0" w:color="auto"/>
            </w:tcBorders>
            <w:shd w:val="clear" w:color="auto" w:fill="auto"/>
            <w:noWrap/>
            <w:vAlign w:val="bottom"/>
            <w:hideMark/>
          </w:tcPr>
          <w:p w14:paraId="42989B72" w14:textId="2F1B9DEB"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3,134</w:t>
            </w:r>
          </w:p>
        </w:tc>
        <w:tc>
          <w:tcPr>
            <w:tcW w:w="1283"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42989B73" w14:textId="1C0DD051"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-5</w:t>
            </w:r>
          </w:p>
        </w:tc>
      </w:tr>
      <w:tr w:rsidR="001A25F5" w:rsidRPr="002D07B8" w14:paraId="42989B7E" w14:textId="77777777" w:rsidTr="00970F86">
        <w:trPr>
          <w:trHeight w:val="290"/>
        </w:trPr>
        <w:tc>
          <w:tcPr>
            <w:tcW w:w="2474" w:type="dxa"/>
            <w:tcBorders>
              <w:top w:val="nil"/>
              <w:left w:val="single" w:sz="4" w:space="0" w:color="auto"/>
              <w:bottom w:val="single" w:sz="4" w:space="0" w:color="auto"/>
              <w:right w:val="single" w:sz="4" w:space="0" w:color="auto"/>
            </w:tcBorders>
            <w:shd w:val="clear" w:color="auto" w:fill="auto"/>
            <w:vAlign w:val="center"/>
            <w:hideMark/>
          </w:tcPr>
          <w:p w14:paraId="42989B75" w14:textId="77777777" w:rsidR="001A25F5" w:rsidRPr="002D07B8" w:rsidRDefault="001A25F5" w:rsidP="001A25F5">
            <w:pPr>
              <w:rPr>
                <w:rFonts w:asciiTheme="minorHAnsi" w:hAnsiTheme="minorHAnsi" w:cstheme="minorHAnsi"/>
                <w:b/>
                <w:bCs/>
                <w:color w:val="000000"/>
                <w:szCs w:val="22"/>
              </w:rPr>
            </w:pPr>
            <w:r w:rsidRPr="002D07B8">
              <w:rPr>
                <w:rFonts w:asciiTheme="minorHAnsi" w:hAnsiTheme="minorHAnsi" w:cstheme="minorHAnsi"/>
                <w:b/>
                <w:bCs/>
                <w:color w:val="000000"/>
                <w:szCs w:val="22"/>
              </w:rPr>
              <w:t>23 Lower Rio Grande</w:t>
            </w:r>
          </w:p>
        </w:tc>
        <w:tc>
          <w:tcPr>
            <w:tcW w:w="1480" w:type="dxa"/>
            <w:tcBorders>
              <w:top w:val="nil"/>
              <w:left w:val="nil"/>
              <w:bottom w:val="single" w:sz="4" w:space="0" w:color="auto"/>
              <w:right w:val="single" w:sz="4" w:space="0" w:color="auto"/>
            </w:tcBorders>
            <w:shd w:val="clear" w:color="auto" w:fill="auto"/>
            <w:noWrap/>
            <w:vAlign w:val="bottom"/>
            <w:hideMark/>
          </w:tcPr>
          <w:p w14:paraId="42989B76" w14:textId="0C8F7B86"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734</w:t>
            </w:r>
          </w:p>
        </w:tc>
        <w:tc>
          <w:tcPr>
            <w:tcW w:w="1756" w:type="dxa"/>
            <w:tcBorders>
              <w:top w:val="nil"/>
              <w:left w:val="nil"/>
              <w:bottom w:val="single" w:sz="4" w:space="0" w:color="auto"/>
              <w:right w:val="single" w:sz="4" w:space="0" w:color="auto"/>
            </w:tcBorders>
            <w:shd w:val="clear" w:color="auto" w:fill="auto"/>
            <w:noWrap/>
            <w:vAlign w:val="bottom"/>
            <w:hideMark/>
          </w:tcPr>
          <w:p w14:paraId="42989B77" w14:textId="64AEB95B"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13,271</w:t>
            </w:r>
          </w:p>
        </w:tc>
        <w:tc>
          <w:tcPr>
            <w:tcW w:w="1463" w:type="dxa"/>
            <w:tcBorders>
              <w:top w:val="nil"/>
              <w:left w:val="nil"/>
              <w:bottom w:val="single" w:sz="4" w:space="0" w:color="auto"/>
              <w:right w:val="single" w:sz="4" w:space="0" w:color="auto"/>
            </w:tcBorders>
            <w:shd w:val="clear" w:color="auto" w:fill="auto"/>
            <w:noWrap/>
            <w:vAlign w:val="bottom"/>
            <w:hideMark/>
          </w:tcPr>
          <w:p w14:paraId="42989B78" w14:textId="75EC0B5C"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13,399</w:t>
            </w:r>
          </w:p>
        </w:tc>
        <w:tc>
          <w:tcPr>
            <w:tcW w:w="1283" w:type="dxa"/>
            <w:tcBorders>
              <w:top w:val="nil"/>
              <w:left w:val="nil"/>
              <w:bottom w:val="single" w:sz="4" w:space="0" w:color="auto"/>
              <w:right w:val="single" w:sz="4" w:space="0" w:color="auto"/>
            </w:tcBorders>
            <w:shd w:val="clear" w:color="auto" w:fill="auto"/>
            <w:noWrap/>
            <w:vAlign w:val="bottom"/>
            <w:hideMark/>
          </w:tcPr>
          <w:p w14:paraId="42989B79" w14:textId="7CF5B632"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0.96%</w:t>
            </w:r>
          </w:p>
        </w:tc>
        <w:tc>
          <w:tcPr>
            <w:tcW w:w="1283" w:type="dxa"/>
            <w:tcBorders>
              <w:top w:val="nil"/>
              <w:left w:val="nil"/>
              <w:bottom w:val="single" w:sz="4" w:space="0" w:color="auto"/>
              <w:right w:val="single" w:sz="4" w:space="0" w:color="auto"/>
            </w:tcBorders>
            <w:shd w:val="clear" w:color="auto" w:fill="auto"/>
            <w:noWrap/>
            <w:vAlign w:val="bottom"/>
            <w:hideMark/>
          </w:tcPr>
          <w:p w14:paraId="42989B7A" w14:textId="4B25CCE9"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3,688</w:t>
            </w:r>
          </w:p>
        </w:tc>
        <w:tc>
          <w:tcPr>
            <w:tcW w:w="1486" w:type="dxa"/>
            <w:tcBorders>
              <w:top w:val="nil"/>
              <w:left w:val="nil"/>
              <w:bottom w:val="single" w:sz="4" w:space="0" w:color="auto"/>
              <w:right w:val="single" w:sz="4" w:space="0" w:color="auto"/>
            </w:tcBorders>
            <w:shd w:val="clear" w:color="auto" w:fill="auto"/>
            <w:noWrap/>
            <w:vAlign w:val="bottom"/>
            <w:hideMark/>
          </w:tcPr>
          <w:p w14:paraId="42989B7B" w14:textId="30FCEE26"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734</w:t>
            </w:r>
          </w:p>
        </w:tc>
        <w:tc>
          <w:tcPr>
            <w:tcW w:w="1553" w:type="dxa"/>
            <w:tcBorders>
              <w:top w:val="nil"/>
              <w:left w:val="nil"/>
              <w:bottom w:val="single" w:sz="4" w:space="0" w:color="auto"/>
              <w:right w:val="single" w:sz="4" w:space="0" w:color="auto"/>
            </w:tcBorders>
            <w:shd w:val="clear" w:color="auto" w:fill="auto"/>
            <w:noWrap/>
            <w:vAlign w:val="bottom"/>
            <w:hideMark/>
          </w:tcPr>
          <w:p w14:paraId="42989B7C" w14:textId="7364048B"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4,422</w:t>
            </w:r>
          </w:p>
        </w:tc>
        <w:tc>
          <w:tcPr>
            <w:tcW w:w="1283" w:type="dxa"/>
            <w:tcBorders>
              <w:top w:val="nil"/>
              <w:left w:val="nil"/>
              <w:bottom w:val="single" w:sz="4" w:space="0" w:color="auto"/>
              <w:right w:val="single" w:sz="4" w:space="0" w:color="auto"/>
            </w:tcBorders>
            <w:shd w:val="clear" w:color="auto" w:fill="auto"/>
            <w:noWrap/>
            <w:vAlign w:val="bottom"/>
            <w:hideMark/>
          </w:tcPr>
          <w:p w14:paraId="42989B7D" w14:textId="69843FD7"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35</w:t>
            </w:r>
          </w:p>
        </w:tc>
      </w:tr>
      <w:tr w:rsidR="001A25F5" w:rsidRPr="002D07B8" w14:paraId="42989B88" w14:textId="77777777" w:rsidTr="00970F86">
        <w:trPr>
          <w:trHeight w:val="290"/>
        </w:trPr>
        <w:tc>
          <w:tcPr>
            <w:tcW w:w="2474" w:type="dxa"/>
            <w:tcBorders>
              <w:top w:val="nil"/>
              <w:left w:val="single" w:sz="4" w:space="0" w:color="auto"/>
              <w:bottom w:val="single" w:sz="4" w:space="0" w:color="auto"/>
              <w:right w:val="single" w:sz="4" w:space="0" w:color="auto"/>
            </w:tcBorders>
            <w:shd w:val="clear" w:color="auto" w:fill="auto"/>
            <w:vAlign w:val="center"/>
            <w:hideMark/>
          </w:tcPr>
          <w:p w14:paraId="42989B7F" w14:textId="77777777" w:rsidR="001A25F5" w:rsidRPr="002D07B8" w:rsidRDefault="001A25F5" w:rsidP="001A25F5">
            <w:pPr>
              <w:rPr>
                <w:rFonts w:asciiTheme="minorHAnsi" w:hAnsiTheme="minorHAnsi" w:cstheme="minorHAnsi"/>
                <w:b/>
                <w:bCs/>
                <w:color w:val="000000"/>
                <w:szCs w:val="22"/>
              </w:rPr>
            </w:pPr>
            <w:r w:rsidRPr="002D07B8">
              <w:rPr>
                <w:rFonts w:asciiTheme="minorHAnsi" w:hAnsiTheme="minorHAnsi" w:cstheme="minorHAnsi"/>
                <w:b/>
                <w:bCs/>
                <w:color w:val="000000"/>
                <w:szCs w:val="22"/>
              </w:rPr>
              <w:t>24 Cameron County</w:t>
            </w:r>
          </w:p>
        </w:tc>
        <w:tc>
          <w:tcPr>
            <w:tcW w:w="1480" w:type="dxa"/>
            <w:tcBorders>
              <w:top w:val="nil"/>
              <w:left w:val="nil"/>
              <w:bottom w:val="single" w:sz="4" w:space="0" w:color="auto"/>
              <w:right w:val="single" w:sz="4" w:space="0" w:color="auto"/>
            </w:tcBorders>
            <w:shd w:val="clear" w:color="auto" w:fill="auto"/>
            <w:noWrap/>
            <w:vAlign w:val="bottom"/>
            <w:hideMark/>
          </w:tcPr>
          <w:p w14:paraId="42989B80" w14:textId="29E43D44"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516</w:t>
            </w:r>
          </w:p>
        </w:tc>
        <w:tc>
          <w:tcPr>
            <w:tcW w:w="1756" w:type="dxa"/>
            <w:tcBorders>
              <w:top w:val="nil"/>
              <w:left w:val="nil"/>
              <w:bottom w:val="single" w:sz="4" w:space="0" w:color="auto"/>
              <w:right w:val="single" w:sz="4" w:space="0" w:color="auto"/>
            </w:tcBorders>
            <w:shd w:val="clear" w:color="auto" w:fill="auto"/>
            <w:noWrap/>
            <w:vAlign w:val="bottom"/>
            <w:hideMark/>
          </w:tcPr>
          <w:p w14:paraId="42989B81" w14:textId="4322B0BC"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6,478</w:t>
            </w:r>
          </w:p>
        </w:tc>
        <w:tc>
          <w:tcPr>
            <w:tcW w:w="1463" w:type="dxa"/>
            <w:tcBorders>
              <w:top w:val="nil"/>
              <w:left w:val="nil"/>
              <w:bottom w:val="single" w:sz="4" w:space="0" w:color="auto"/>
              <w:right w:val="single" w:sz="4" w:space="0" w:color="auto"/>
            </w:tcBorders>
            <w:shd w:val="clear" w:color="auto" w:fill="auto"/>
            <w:noWrap/>
            <w:vAlign w:val="bottom"/>
            <w:hideMark/>
          </w:tcPr>
          <w:p w14:paraId="42989B82" w14:textId="2F54AD8E"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6,529</w:t>
            </w:r>
          </w:p>
        </w:tc>
        <w:tc>
          <w:tcPr>
            <w:tcW w:w="1283" w:type="dxa"/>
            <w:tcBorders>
              <w:top w:val="nil"/>
              <w:left w:val="nil"/>
              <w:bottom w:val="single" w:sz="4" w:space="0" w:color="auto"/>
              <w:right w:val="single" w:sz="4" w:space="0" w:color="auto"/>
            </w:tcBorders>
            <w:shd w:val="clear" w:color="auto" w:fill="auto"/>
            <w:noWrap/>
            <w:vAlign w:val="bottom"/>
            <w:hideMark/>
          </w:tcPr>
          <w:p w14:paraId="42989B83" w14:textId="46E8E16B"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0.79%</w:t>
            </w:r>
          </w:p>
        </w:tc>
        <w:tc>
          <w:tcPr>
            <w:tcW w:w="1283" w:type="dxa"/>
            <w:tcBorders>
              <w:top w:val="nil"/>
              <w:left w:val="nil"/>
              <w:bottom w:val="single" w:sz="4" w:space="0" w:color="auto"/>
              <w:right w:val="single" w:sz="4" w:space="0" w:color="auto"/>
            </w:tcBorders>
            <w:shd w:val="clear" w:color="auto" w:fill="auto"/>
            <w:noWrap/>
            <w:vAlign w:val="bottom"/>
            <w:hideMark/>
          </w:tcPr>
          <w:p w14:paraId="42989B84" w14:textId="36C08AF5"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1,411</w:t>
            </w:r>
          </w:p>
        </w:tc>
        <w:tc>
          <w:tcPr>
            <w:tcW w:w="1486" w:type="dxa"/>
            <w:tcBorders>
              <w:top w:val="nil"/>
              <w:left w:val="nil"/>
              <w:bottom w:val="single" w:sz="4" w:space="0" w:color="auto"/>
              <w:right w:val="single" w:sz="4" w:space="0" w:color="auto"/>
            </w:tcBorders>
            <w:shd w:val="clear" w:color="auto" w:fill="auto"/>
            <w:noWrap/>
            <w:vAlign w:val="bottom"/>
            <w:hideMark/>
          </w:tcPr>
          <w:p w14:paraId="42989B85" w14:textId="6D4440AD"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516</w:t>
            </w:r>
          </w:p>
        </w:tc>
        <w:tc>
          <w:tcPr>
            <w:tcW w:w="1553" w:type="dxa"/>
            <w:tcBorders>
              <w:top w:val="nil"/>
              <w:left w:val="nil"/>
              <w:bottom w:val="single" w:sz="4" w:space="0" w:color="auto"/>
              <w:right w:val="single" w:sz="4" w:space="0" w:color="auto"/>
            </w:tcBorders>
            <w:shd w:val="clear" w:color="auto" w:fill="auto"/>
            <w:noWrap/>
            <w:vAlign w:val="bottom"/>
            <w:hideMark/>
          </w:tcPr>
          <w:p w14:paraId="42989B86" w14:textId="2D371D79"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1,927</w:t>
            </w:r>
          </w:p>
        </w:tc>
        <w:tc>
          <w:tcPr>
            <w:tcW w:w="1283" w:type="dxa"/>
            <w:tcBorders>
              <w:top w:val="nil"/>
              <w:left w:val="nil"/>
              <w:bottom w:val="single" w:sz="4" w:space="0" w:color="auto"/>
              <w:right w:val="single" w:sz="4" w:space="0" w:color="auto"/>
            </w:tcBorders>
            <w:shd w:val="clear" w:color="auto" w:fill="auto"/>
            <w:noWrap/>
            <w:vAlign w:val="bottom"/>
            <w:hideMark/>
          </w:tcPr>
          <w:p w14:paraId="42989B87" w14:textId="5D9A8E9D"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11</w:t>
            </w:r>
          </w:p>
        </w:tc>
      </w:tr>
      <w:tr w:rsidR="001A25F5" w:rsidRPr="002D07B8" w14:paraId="42989B92" w14:textId="77777777" w:rsidTr="00970F86">
        <w:trPr>
          <w:trHeight w:val="290"/>
        </w:trPr>
        <w:tc>
          <w:tcPr>
            <w:tcW w:w="2474" w:type="dxa"/>
            <w:tcBorders>
              <w:top w:val="nil"/>
              <w:left w:val="single" w:sz="4" w:space="0" w:color="auto"/>
              <w:bottom w:val="single" w:sz="4" w:space="0" w:color="auto"/>
              <w:right w:val="single" w:sz="4" w:space="0" w:color="auto"/>
            </w:tcBorders>
            <w:shd w:val="clear" w:color="auto" w:fill="auto"/>
            <w:vAlign w:val="center"/>
            <w:hideMark/>
          </w:tcPr>
          <w:p w14:paraId="42989B89" w14:textId="77777777" w:rsidR="001A25F5" w:rsidRPr="002D07B8" w:rsidRDefault="001A25F5" w:rsidP="001A25F5">
            <w:pPr>
              <w:rPr>
                <w:rFonts w:asciiTheme="minorHAnsi" w:hAnsiTheme="minorHAnsi" w:cstheme="minorHAnsi"/>
                <w:b/>
                <w:bCs/>
                <w:color w:val="000000"/>
                <w:szCs w:val="22"/>
              </w:rPr>
            </w:pPr>
            <w:r w:rsidRPr="002D07B8">
              <w:rPr>
                <w:rFonts w:asciiTheme="minorHAnsi" w:hAnsiTheme="minorHAnsi" w:cstheme="minorHAnsi"/>
                <w:b/>
                <w:bCs/>
                <w:color w:val="000000"/>
                <w:szCs w:val="22"/>
              </w:rPr>
              <w:t>25 Texoma</w:t>
            </w:r>
          </w:p>
        </w:tc>
        <w:tc>
          <w:tcPr>
            <w:tcW w:w="1480" w:type="dxa"/>
            <w:tcBorders>
              <w:top w:val="nil"/>
              <w:left w:val="nil"/>
              <w:bottom w:val="single" w:sz="4" w:space="0" w:color="auto"/>
              <w:right w:val="single" w:sz="4" w:space="0" w:color="auto"/>
            </w:tcBorders>
            <w:shd w:val="clear" w:color="auto" w:fill="auto"/>
            <w:noWrap/>
            <w:vAlign w:val="bottom"/>
            <w:hideMark/>
          </w:tcPr>
          <w:p w14:paraId="42989B8A" w14:textId="6BE85D9C"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372</w:t>
            </w:r>
          </w:p>
        </w:tc>
        <w:tc>
          <w:tcPr>
            <w:tcW w:w="1756" w:type="dxa"/>
            <w:tcBorders>
              <w:top w:val="nil"/>
              <w:left w:val="nil"/>
              <w:bottom w:val="single" w:sz="4" w:space="0" w:color="auto"/>
              <w:right w:val="single" w:sz="4" w:space="0" w:color="auto"/>
            </w:tcBorders>
            <w:shd w:val="clear" w:color="auto" w:fill="auto"/>
            <w:noWrap/>
            <w:vAlign w:val="bottom"/>
            <w:hideMark/>
          </w:tcPr>
          <w:p w14:paraId="42989B8B" w14:textId="042FE59D"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4,606</w:t>
            </w:r>
          </w:p>
        </w:tc>
        <w:tc>
          <w:tcPr>
            <w:tcW w:w="1463" w:type="dxa"/>
            <w:tcBorders>
              <w:top w:val="nil"/>
              <w:left w:val="nil"/>
              <w:bottom w:val="single" w:sz="4" w:space="0" w:color="auto"/>
              <w:right w:val="single" w:sz="4" w:space="0" w:color="auto"/>
            </w:tcBorders>
            <w:shd w:val="clear" w:color="auto" w:fill="auto"/>
            <w:noWrap/>
            <w:vAlign w:val="bottom"/>
            <w:hideMark/>
          </w:tcPr>
          <w:p w14:paraId="42989B8C" w14:textId="56A008A2"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4,664</w:t>
            </w:r>
          </w:p>
        </w:tc>
        <w:tc>
          <w:tcPr>
            <w:tcW w:w="1283" w:type="dxa"/>
            <w:tcBorders>
              <w:top w:val="nil"/>
              <w:left w:val="nil"/>
              <w:bottom w:val="single" w:sz="4" w:space="0" w:color="auto"/>
              <w:right w:val="single" w:sz="4" w:space="0" w:color="auto"/>
            </w:tcBorders>
            <w:shd w:val="clear" w:color="auto" w:fill="auto"/>
            <w:noWrap/>
            <w:vAlign w:val="bottom"/>
            <w:hideMark/>
          </w:tcPr>
          <w:p w14:paraId="42989B8D" w14:textId="1F3C7A15"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1.26%</w:t>
            </w:r>
          </w:p>
        </w:tc>
        <w:tc>
          <w:tcPr>
            <w:tcW w:w="1283" w:type="dxa"/>
            <w:tcBorders>
              <w:top w:val="nil"/>
              <w:left w:val="nil"/>
              <w:bottom w:val="single" w:sz="4" w:space="0" w:color="auto"/>
              <w:right w:val="single" w:sz="4" w:space="0" w:color="auto"/>
            </w:tcBorders>
            <w:shd w:val="clear" w:color="auto" w:fill="auto"/>
            <w:noWrap/>
            <w:vAlign w:val="bottom"/>
            <w:hideMark/>
          </w:tcPr>
          <w:p w14:paraId="42989B8E" w14:textId="7F8A7A77"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1,109</w:t>
            </w:r>
          </w:p>
        </w:tc>
        <w:tc>
          <w:tcPr>
            <w:tcW w:w="1486" w:type="dxa"/>
            <w:tcBorders>
              <w:top w:val="nil"/>
              <w:left w:val="nil"/>
              <w:bottom w:val="single" w:sz="4" w:space="0" w:color="auto"/>
              <w:right w:val="single" w:sz="4" w:space="0" w:color="auto"/>
            </w:tcBorders>
            <w:shd w:val="clear" w:color="auto" w:fill="auto"/>
            <w:noWrap/>
            <w:vAlign w:val="bottom"/>
            <w:hideMark/>
          </w:tcPr>
          <w:p w14:paraId="42989B8F" w14:textId="6D397066"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372</w:t>
            </w:r>
          </w:p>
        </w:tc>
        <w:tc>
          <w:tcPr>
            <w:tcW w:w="1553" w:type="dxa"/>
            <w:tcBorders>
              <w:top w:val="nil"/>
              <w:left w:val="nil"/>
              <w:bottom w:val="single" w:sz="4" w:space="0" w:color="auto"/>
              <w:right w:val="single" w:sz="4" w:space="0" w:color="auto"/>
            </w:tcBorders>
            <w:shd w:val="clear" w:color="auto" w:fill="auto"/>
            <w:noWrap/>
            <w:vAlign w:val="bottom"/>
            <w:hideMark/>
          </w:tcPr>
          <w:p w14:paraId="42989B90" w14:textId="5E7E076F"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1,481</w:t>
            </w:r>
          </w:p>
        </w:tc>
        <w:tc>
          <w:tcPr>
            <w:tcW w:w="1283" w:type="dxa"/>
            <w:tcBorders>
              <w:top w:val="nil"/>
              <w:left w:val="nil"/>
              <w:bottom w:val="single" w:sz="4" w:space="0" w:color="auto"/>
              <w:right w:val="single" w:sz="4" w:space="0" w:color="auto"/>
            </w:tcBorders>
            <w:shd w:val="clear" w:color="auto" w:fill="auto"/>
            <w:noWrap/>
            <w:vAlign w:val="bottom"/>
            <w:hideMark/>
          </w:tcPr>
          <w:p w14:paraId="42989B91" w14:textId="4A6986C4"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14</w:t>
            </w:r>
          </w:p>
        </w:tc>
      </w:tr>
      <w:tr w:rsidR="001A25F5" w:rsidRPr="002D07B8" w14:paraId="42989B9C" w14:textId="77777777" w:rsidTr="00970F86">
        <w:trPr>
          <w:trHeight w:val="290"/>
        </w:trPr>
        <w:tc>
          <w:tcPr>
            <w:tcW w:w="2474" w:type="dxa"/>
            <w:tcBorders>
              <w:top w:val="nil"/>
              <w:left w:val="single" w:sz="4" w:space="0" w:color="auto"/>
              <w:bottom w:val="single" w:sz="4" w:space="0" w:color="auto"/>
              <w:right w:val="single" w:sz="4" w:space="0" w:color="auto"/>
            </w:tcBorders>
            <w:shd w:val="clear" w:color="auto" w:fill="auto"/>
            <w:vAlign w:val="center"/>
            <w:hideMark/>
          </w:tcPr>
          <w:p w14:paraId="42989B93" w14:textId="77777777" w:rsidR="001A25F5" w:rsidRPr="002D07B8" w:rsidRDefault="001A25F5" w:rsidP="001A25F5">
            <w:pPr>
              <w:rPr>
                <w:rFonts w:asciiTheme="minorHAnsi" w:hAnsiTheme="minorHAnsi" w:cstheme="minorHAnsi"/>
                <w:b/>
                <w:bCs/>
                <w:color w:val="000000"/>
                <w:szCs w:val="22"/>
              </w:rPr>
            </w:pPr>
            <w:r w:rsidRPr="002D07B8">
              <w:rPr>
                <w:rFonts w:asciiTheme="minorHAnsi" w:hAnsiTheme="minorHAnsi" w:cstheme="minorHAnsi"/>
                <w:b/>
                <w:bCs/>
                <w:color w:val="000000"/>
                <w:szCs w:val="22"/>
              </w:rPr>
              <w:t>26 Central Texas</w:t>
            </w:r>
          </w:p>
        </w:tc>
        <w:tc>
          <w:tcPr>
            <w:tcW w:w="1480" w:type="dxa"/>
            <w:tcBorders>
              <w:top w:val="nil"/>
              <w:left w:val="nil"/>
              <w:bottom w:val="single" w:sz="4" w:space="0" w:color="auto"/>
              <w:right w:val="single" w:sz="4" w:space="0" w:color="auto"/>
            </w:tcBorders>
            <w:shd w:val="clear" w:color="auto" w:fill="auto"/>
            <w:noWrap/>
            <w:vAlign w:val="bottom"/>
            <w:hideMark/>
          </w:tcPr>
          <w:p w14:paraId="42989B94" w14:textId="0CC30140"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819</w:t>
            </w:r>
          </w:p>
        </w:tc>
        <w:tc>
          <w:tcPr>
            <w:tcW w:w="1756" w:type="dxa"/>
            <w:tcBorders>
              <w:top w:val="nil"/>
              <w:left w:val="nil"/>
              <w:bottom w:val="single" w:sz="4" w:space="0" w:color="auto"/>
              <w:right w:val="single" w:sz="4" w:space="0" w:color="auto"/>
            </w:tcBorders>
            <w:shd w:val="clear" w:color="auto" w:fill="auto"/>
            <w:noWrap/>
            <w:vAlign w:val="bottom"/>
            <w:hideMark/>
          </w:tcPr>
          <w:p w14:paraId="42989B95" w14:textId="7BF9C90B"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8,185</w:t>
            </w:r>
          </w:p>
        </w:tc>
        <w:tc>
          <w:tcPr>
            <w:tcW w:w="1463" w:type="dxa"/>
            <w:tcBorders>
              <w:top w:val="nil"/>
              <w:left w:val="nil"/>
              <w:bottom w:val="single" w:sz="4" w:space="0" w:color="auto"/>
              <w:right w:val="single" w:sz="4" w:space="0" w:color="auto"/>
            </w:tcBorders>
            <w:shd w:val="clear" w:color="auto" w:fill="auto"/>
            <w:noWrap/>
            <w:vAlign w:val="bottom"/>
            <w:hideMark/>
          </w:tcPr>
          <w:p w14:paraId="42989B96" w14:textId="5163CE4F"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8,306</w:t>
            </w:r>
          </w:p>
        </w:tc>
        <w:tc>
          <w:tcPr>
            <w:tcW w:w="1283" w:type="dxa"/>
            <w:tcBorders>
              <w:top w:val="nil"/>
              <w:left w:val="nil"/>
              <w:bottom w:val="single" w:sz="4" w:space="0" w:color="auto"/>
              <w:right w:val="single" w:sz="4" w:space="0" w:color="auto"/>
            </w:tcBorders>
            <w:shd w:val="clear" w:color="auto" w:fill="auto"/>
            <w:noWrap/>
            <w:vAlign w:val="bottom"/>
            <w:hideMark/>
          </w:tcPr>
          <w:p w14:paraId="42989B97" w14:textId="6627C83E"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1.48%</w:t>
            </w:r>
          </w:p>
        </w:tc>
        <w:tc>
          <w:tcPr>
            <w:tcW w:w="1283" w:type="dxa"/>
            <w:tcBorders>
              <w:top w:val="nil"/>
              <w:left w:val="nil"/>
              <w:bottom w:val="single" w:sz="4" w:space="0" w:color="auto"/>
              <w:right w:val="single" w:sz="4" w:space="0" w:color="auto"/>
            </w:tcBorders>
            <w:shd w:val="clear" w:color="auto" w:fill="auto"/>
            <w:noWrap/>
            <w:vAlign w:val="bottom"/>
            <w:hideMark/>
          </w:tcPr>
          <w:p w14:paraId="42989B98" w14:textId="098404E4"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1,461</w:t>
            </w:r>
          </w:p>
        </w:tc>
        <w:tc>
          <w:tcPr>
            <w:tcW w:w="1486" w:type="dxa"/>
            <w:tcBorders>
              <w:top w:val="nil"/>
              <w:left w:val="nil"/>
              <w:bottom w:val="single" w:sz="4" w:space="0" w:color="auto"/>
              <w:right w:val="single" w:sz="4" w:space="0" w:color="auto"/>
            </w:tcBorders>
            <w:shd w:val="clear" w:color="auto" w:fill="auto"/>
            <w:noWrap/>
            <w:vAlign w:val="bottom"/>
            <w:hideMark/>
          </w:tcPr>
          <w:p w14:paraId="42989B99" w14:textId="594167F1"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819</w:t>
            </w:r>
          </w:p>
        </w:tc>
        <w:tc>
          <w:tcPr>
            <w:tcW w:w="1553" w:type="dxa"/>
            <w:tcBorders>
              <w:top w:val="nil"/>
              <w:left w:val="nil"/>
              <w:bottom w:val="single" w:sz="4" w:space="0" w:color="auto"/>
              <w:right w:val="single" w:sz="4" w:space="0" w:color="auto"/>
            </w:tcBorders>
            <w:shd w:val="clear" w:color="auto" w:fill="auto"/>
            <w:noWrap/>
            <w:vAlign w:val="bottom"/>
            <w:hideMark/>
          </w:tcPr>
          <w:p w14:paraId="42989B9A" w14:textId="780E1B53"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2,280</w:t>
            </w:r>
          </w:p>
        </w:tc>
        <w:tc>
          <w:tcPr>
            <w:tcW w:w="1283" w:type="dxa"/>
            <w:tcBorders>
              <w:top w:val="nil"/>
              <w:left w:val="nil"/>
              <w:bottom w:val="single" w:sz="4" w:space="0" w:color="auto"/>
              <w:right w:val="single" w:sz="4" w:space="0" w:color="auto"/>
            </w:tcBorders>
            <w:shd w:val="clear" w:color="auto" w:fill="auto"/>
            <w:noWrap/>
            <w:vAlign w:val="bottom"/>
            <w:hideMark/>
          </w:tcPr>
          <w:p w14:paraId="42989B9B" w14:textId="08E0FB81"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21</w:t>
            </w:r>
          </w:p>
        </w:tc>
      </w:tr>
      <w:tr w:rsidR="001A25F5" w:rsidRPr="002D07B8" w14:paraId="42989BA6" w14:textId="77777777" w:rsidTr="00970F86">
        <w:trPr>
          <w:trHeight w:val="290"/>
        </w:trPr>
        <w:tc>
          <w:tcPr>
            <w:tcW w:w="2474" w:type="dxa"/>
            <w:tcBorders>
              <w:top w:val="nil"/>
              <w:left w:val="single" w:sz="4" w:space="0" w:color="auto"/>
              <w:bottom w:val="single" w:sz="4" w:space="0" w:color="auto"/>
              <w:right w:val="single" w:sz="4" w:space="0" w:color="auto"/>
            </w:tcBorders>
            <w:shd w:val="clear" w:color="auto" w:fill="auto"/>
            <w:vAlign w:val="center"/>
            <w:hideMark/>
          </w:tcPr>
          <w:p w14:paraId="42989B9D" w14:textId="77777777" w:rsidR="001A25F5" w:rsidRPr="002D07B8" w:rsidRDefault="001A25F5" w:rsidP="001A25F5">
            <w:pPr>
              <w:rPr>
                <w:rFonts w:asciiTheme="minorHAnsi" w:hAnsiTheme="minorHAnsi" w:cstheme="minorHAnsi"/>
                <w:b/>
                <w:bCs/>
                <w:color w:val="000000"/>
                <w:szCs w:val="22"/>
              </w:rPr>
            </w:pPr>
            <w:r w:rsidRPr="002D07B8">
              <w:rPr>
                <w:rFonts w:asciiTheme="minorHAnsi" w:hAnsiTheme="minorHAnsi" w:cstheme="minorHAnsi"/>
                <w:b/>
                <w:bCs/>
                <w:color w:val="000000"/>
                <w:szCs w:val="22"/>
              </w:rPr>
              <w:t>27 Middle Rio Grande</w:t>
            </w:r>
          </w:p>
        </w:tc>
        <w:tc>
          <w:tcPr>
            <w:tcW w:w="1480" w:type="dxa"/>
            <w:tcBorders>
              <w:top w:val="nil"/>
              <w:left w:val="nil"/>
              <w:bottom w:val="single" w:sz="4" w:space="0" w:color="auto"/>
              <w:right w:val="single" w:sz="4" w:space="0" w:color="auto"/>
            </w:tcBorders>
            <w:shd w:val="clear" w:color="auto" w:fill="auto"/>
            <w:noWrap/>
            <w:vAlign w:val="bottom"/>
            <w:hideMark/>
          </w:tcPr>
          <w:p w14:paraId="42989B9E" w14:textId="0CD5824F"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366</w:t>
            </w:r>
          </w:p>
        </w:tc>
        <w:tc>
          <w:tcPr>
            <w:tcW w:w="1756" w:type="dxa"/>
            <w:tcBorders>
              <w:top w:val="nil"/>
              <w:left w:val="nil"/>
              <w:bottom w:val="single" w:sz="4" w:space="0" w:color="auto"/>
              <w:right w:val="single" w:sz="4" w:space="0" w:color="auto"/>
            </w:tcBorders>
            <w:shd w:val="clear" w:color="auto" w:fill="auto"/>
            <w:noWrap/>
            <w:vAlign w:val="bottom"/>
            <w:hideMark/>
          </w:tcPr>
          <w:p w14:paraId="42989B9F" w14:textId="49F72571"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3,434</w:t>
            </w:r>
          </w:p>
        </w:tc>
        <w:tc>
          <w:tcPr>
            <w:tcW w:w="1463" w:type="dxa"/>
            <w:tcBorders>
              <w:top w:val="nil"/>
              <w:left w:val="nil"/>
              <w:bottom w:val="single" w:sz="4" w:space="0" w:color="auto"/>
              <w:right w:val="single" w:sz="4" w:space="0" w:color="auto"/>
            </w:tcBorders>
            <w:shd w:val="clear" w:color="auto" w:fill="auto"/>
            <w:noWrap/>
            <w:vAlign w:val="bottom"/>
            <w:hideMark/>
          </w:tcPr>
          <w:p w14:paraId="42989BA0" w14:textId="060AA620"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3,430</w:t>
            </w:r>
          </w:p>
        </w:tc>
        <w:tc>
          <w:tcPr>
            <w:tcW w:w="1283"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42989BA1" w14:textId="7B840EE5"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-0.12%</w:t>
            </w:r>
          </w:p>
        </w:tc>
        <w:tc>
          <w:tcPr>
            <w:tcW w:w="1283" w:type="dxa"/>
            <w:tcBorders>
              <w:top w:val="nil"/>
              <w:left w:val="nil"/>
              <w:bottom w:val="single" w:sz="4" w:space="0" w:color="auto"/>
              <w:right w:val="single" w:sz="4" w:space="0" w:color="auto"/>
            </w:tcBorders>
            <w:shd w:val="clear" w:color="auto" w:fill="auto"/>
            <w:noWrap/>
            <w:vAlign w:val="bottom"/>
            <w:hideMark/>
          </w:tcPr>
          <w:p w14:paraId="42989BA2" w14:textId="69C7FCEC"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1,165</w:t>
            </w:r>
          </w:p>
        </w:tc>
        <w:tc>
          <w:tcPr>
            <w:tcW w:w="1486" w:type="dxa"/>
            <w:tcBorders>
              <w:top w:val="nil"/>
              <w:left w:val="nil"/>
              <w:bottom w:val="single" w:sz="4" w:space="0" w:color="auto"/>
              <w:right w:val="single" w:sz="4" w:space="0" w:color="auto"/>
            </w:tcBorders>
            <w:shd w:val="clear" w:color="auto" w:fill="auto"/>
            <w:noWrap/>
            <w:vAlign w:val="bottom"/>
            <w:hideMark/>
          </w:tcPr>
          <w:p w14:paraId="42989BA3" w14:textId="5EB0243B"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366</w:t>
            </w:r>
          </w:p>
        </w:tc>
        <w:tc>
          <w:tcPr>
            <w:tcW w:w="1553" w:type="dxa"/>
            <w:tcBorders>
              <w:top w:val="nil"/>
              <w:left w:val="nil"/>
              <w:bottom w:val="single" w:sz="4" w:space="0" w:color="auto"/>
              <w:right w:val="single" w:sz="4" w:space="0" w:color="auto"/>
            </w:tcBorders>
            <w:shd w:val="clear" w:color="auto" w:fill="auto"/>
            <w:noWrap/>
            <w:vAlign w:val="bottom"/>
            <w:hideMark/>
          </w:tcPr>
          <w:p w14:paraId="42989BA4" w14:textId="6C691A35"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1,531</w:t>
            </w:r>
          </w:p>
        </w:tc>
        <w:tc>
          <w:tcPr>
            <w:tcW w:w="1283"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42989BA5" w14:textId="276B9188"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-1</w:t>
            </w:r>
          </w:p>
        </w:tc>
      </w:tr>
      <w:tr w:rsidR="001A25F5" w:rsidRPr="002D07B8" w14:paraId="42989BB0" w14:textId="77777777" w:rsidTr="00970F86">
        <w:trPr>
          <w:trHeight w:val="290"/>
        </w:trPr>
        <w:tc>
          <w:tcPr>
            <w:tcW w:w="2474" w:type="dxa"/>
            <w:tcBorders>
              <w:top w:val="nil"/>
              <w:left w:val="single" w:sz="4" w:space="0" w:color="auto"/>
              <w:bottom w:val="single" w:sz="4" w:space="0" w:color="auto"/>
              <w:right w:val="single" w:sz="4" w:space="0" w:color="auto"/>
            </w:tcBorders>
            <w:shd w:val="clear" w:color="auto" w:fill="auto"/>
            <w:vAlign w:val="center"/>
            <w:hideMark/>
          </w:tcPr>
          <w:p w14:paraId="42989BA7" w14:textId="77777777" w:rsidR="001A25F5" w:rsidRPr="002D07B8" w:rsidRDefault="001A25F5" w:rsidP="001A25F5">
            <w:pPr>
              <w:rPr>
                <w:rFonts w:asciiTheme="minorHAnsi" w:hAnsiTheme="minorHAnsi" w:cstheme="minorHAnsi"/>
                <w:b/>
                <w:bCs/>
                <w:color w:val="000000"/>
                <w:szCs w:val="22"/>
              </w:rPr>
            </w:pPr>
            <w:r w:rsidRPr="002D07B8">
              <w:rPr>
                <w:rFonts w:asciiTheme="minorHAnsi" w:hAnsiTheme="minorHAnsi" w:cstheme="minorHAnsi"/>
                <w:b/>
                <w:bCs/>
                <w:color w:val="000000"/>
                <w:szCs w:val="22"/>
              </w:rPr>
              <w:t>28 Gulf Coast</w:t>
            </w:r>
          </w:p>
        </w:tc>
        <w:tc>
          <w:tcPr>
            <w:tcW w:w="1480" w:type="dxa"/>
            <w:tcBorders>
              <w:top w:val="nil"/>
              <w:left w:val="nil"/>
              <w:bottom w:val="single" w:sz="4" w:space="0" w:color="auto"/>
              <w:right w:val="single" w:sz="4" w:space="0" w:color="auto"/>
            </w:tcBorders>
            <w:shd w:val="clear" w:color="auto" w:fill="auto"/>
            <w:noWrap/>
            <w:vAlign w:val="bottom"/>
            <w:hideMark/>
          </w:tcPr>
          <w:p w14:paraId="42989BA8" w14:textId="6C3F662D"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2,532</w:t>
            </w:r>
          </w:p>
        </w:tc>
        <w:tc>
          <w:tcPr>
            <w:tcW w:w="1756" w:type="dxa"/>
            <w:tcBorders>
              <w:top w:val="nil"/>
              <w:left w:val="nil"/>
              <w:bottom w:val="single" w:sz="4" w:space="0" w:color="auto"/>
              <w:right w:val="single" w:sz="4" w:space="0" w:color="auto"/>
            </w:tcBorders>
            <w:shd w:val="clear" w:color="auto" w:fill="auto"/>
            <w:noWrap/>
            <w:vAlign w:val="bottom"/>
            <w:hideMark/>
          </w:tcPr>
          <w:p w14:paraId="42989BA9" w14:textId="42C58F5B"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158,441</w:t>
            </w:r>
          </w:p>
        </w:tc>
        <w:tc>
          <w:tcPr>
            <w:tcW w:w="1463" w:type="dxa"/>
            <w:tcBorders>
              <w:top w:val="nil"/>
              <w:left w:val="nil"/>
              <w:bottom w:val="single" w:sz="4" w:space="0" w:color="auto"/>
              <w:right w:val="single" w:sz="4" w:space="0" w:color="auto"/>
            </w:tcBorders>
            <w:shd w:val="clear" w:color="auto" w:fill="auto"/>
            <w:noWrap/>
            <w:vAlign w:val="bottom"/>
            <w:hideMark/>
          </w:tcPr>
          <w:p w14:paraId="42989BAA" w14:textId="5A9EBF75"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161,725</w:t>
            </w:r>
          </w:p>
        </w:tc>
        <w:tc>
          <w:tcPr>
            <w:tcW w:w="1283" w:type="dxa"/>
            <w:tcBorders>
              <w:top w:val="nil"/>
              <w:left w:val="nil"/>
              <w:bottom w:val="single" w:sz="4" w:space="0" w:color="auto"/>
              <w:right w:val="single" w:sz="4" w:space="0" w:color="auto"/>
            </w:tcBorders>
            <w:shd w:val="clear" w:color="auto" w:fill="auto"/>
            <w:noWrap/>
            <w:vAlign w:val="bottom"/>
            <w:hideMark/>
          </w:tcPr>
          <w:p w14:paraId="42989BAB" w14:textId="56364606"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2.07%</w:t>
            </w:r>
          </w:p>
        </w:tc>
        <w:tc>
          <w:tcPr>
            <w:tcW w:w="1283" w:type="dxa"/>
            <w:tcBorders>
              <w:top w:val="nil"/>
              <w:left w:val="nil"/>
              <w:bottom w:val="single" w:sz="4" w:space="0" w:color="auto"/>
              <w:right w:val="single" w:sz="4" w:space="0" w:color="auto"/>
            </w:tcBorders>
            <w:shd w:val="clear" w:color="auto" w:fill="auto"/>
            <w:noWrap/>
            <w:vAlign w:val="bottom"/>
            <w:hideMark/>
          </w:tcPr>
          <w:p w14:paraId="42989BAC" w14:textId="756CEC45"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25,382</w:t>
            </w:r>
          </w:p>
        </w:tc>
        <w:tc>
          <w:tcPr>
            <w:tcW w:w="1486" w:type="dxa"/>
            <w:tcBorders>
              <w:top w:val="nil"/>
              <w:left w:val="nil"/>
              <w:bottom w:val="single" w:sz="4" w:space="0" w:color="auto"/>
              <w:right w:val="single" w:sz="4" w:space="0" w:color="auto"/>
            </w:tcBorders>
            <w:shd w:val="clear" w:color="auto" w:fill="auto"/>
            <w:noWrap/>
            <w:vAlign w:val="bottom"/>
            <w:hideMark/>
          </w:tcPr>
          <w:p w14:paraId="42989BAD" w14:textId="1A095225"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2,532</w:t>
            </w:r>
          </w:p>
        </w:tc>
        <w:tc>
          <w:tcPr>
            <w:tcW w:w="1553" w:type="dxa"/>
            <w:tcBorders>
              <w:top w:val="nil"/>
              <w:left w:val="nil"/>
              <w:bottom w:val="single" w:sz="4" w:space="0" w:color="auto"/>
              <w:right w:val="single" w:sz="4" w:space="0" w:color="auto"/>
            </w:tcBorders>
            <w:shd w:val="clear" w:color="auto" w:fill="auto"/>
            <w:noWrap/>
            <w:vAlign w:val="bottom"/>
            <w:hideMark/>
          </w:tcPr>
          <w:p w14:paraId="42989BAE" w14:textId="277B2A10"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27,914</w:t>
            </w:r>
          </w:p>
        </w:tc>
        <w:tc>
          <w:tcPr>
            <w:tcW w:w="1283" w:type="dxa"/>
            <w:tcBorders>
              <w:top w:val="nil"/>
              <w:left w:val="nil"/>
              <w:bottom w:val="single" w:sz="4" w:space="0" w:color="auto"/>
              <w:right w:val="single" w:sz="4" w:space="0" w:color="auto"/>
            </w:tcBorders>
            <w:shd w:val="clear" w:color="auto" w:fill="auto"/>
            <w:noWrap/>
            <w:vAlign w:val="bottom"/>
            <w:hideMark/>
          </w:tcPr>
          <w:p w14:paraId="42989BAF" w14:textId="7213EB23" w:rsidR="001A25F5" w:rsidRPr="002D07B8" w:rsidRDefault="001A25F5" w:rsidP="001A25F5">
            <w:pPr>
              <w:jc w:val="center"/>
              <w:rPr>
                <w:rFonts w:asciiTheme="minorHAnsi" w:hAnsiTheme="minorHAnsi" w:cstheme="minorHAnsi"/>
                <w:color w:val="000000"/>
                <w:szCs w:val="22"/>
              </w:rPr>
            </w:pPr>
            <w:r w:rsidRPr="002D07B8">
              <w:rPr>
                <w:rFonts w:asciiTheme="minorHAnsi" w:hAnsiTheme="minorHAnsi" w:cstheme="minorHAnsi"/>
                <w:color w:val="000000"/>
                <w:szCs w:val="22"/>
              </w:rPr>
              <w:t>515</w:t>
            </w:r>
          </w:p>
        </w:tc>
      </w:tr>
      <w:tr w:rsidR="001A25F5" w:rsidRPr="002D07B8" w14:paraId="42989BBA" w14:textId="77777777" w:rsidTr="00970F86">
        <w:trPr>
          <w:trHeight w:val="290"/>
        </w:trPr>
        <w:tc>
          <w:tcPr>
            <w:tcW w:w="247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2989BB1" w14:textId="77777777" w:rsidR="001A25F5" w:rsidRPr="002D07B8" w:rsidRDefault="001A25F5" w:rsidP="001A25F5">
            <w:pPr>
              <w:rPr>
                <w:rFonts w:asciiTheme="minorHAnsi" w:hAnsiTheme="minorHAnsi" w:cstheme="minorHAnsi"/>
                <w:b/>
                <w:bCs/>
                <w:color w:val="000000"/>
                <w:szCs w:val="22"/>
              </w:rPr>
            </w:pPr>
            <w:r w:rsidRPr="002D07B8">
              <w:rPr>
                <w:rFonts w:asciiTheme="minorHAnsi" w:hAnsiTheme="minorHAnsi" w:cstheme="minorHAnsi"/>
                <w:b/>
                <w:bCs/>
                <w:color w:val="000000"/>
                <w:szCs w:val="22"/>
              </w:rPr>
              <w:t>29 System</w:t>
            </w:r>
          </w:p>
        </w:tc>
        <w:tc>
          <w:tcPr>
            <w:tcW w:w="1480" w:type="dxa"/>
            <w:tcBorders>
              <w:top w:val="nil"/>
              <w:left w:val="nil"/>
              <w:bottom w:val="single" w:sz="4" w:space="0" w:color="auto"/>
              <w:right w:val="single" w:sz="4" w:space="0" w:color="auto"/>
            </w:tcBorders>
            <w:shd w:val="clear" w:color="auto" w:fill="F2F2F2" w:themeFill="background1" w:themeFillShade="F2"/>
            <w:noWrap/>
            <w:vAlign w:val="bottom"/>
            <w:hideMark/>
          </w:tcPr>
          <w:p w14:paraId="42989BB2" w14:textId="3F49E796" w:rsidR="001A25F5" w:rsidRPr="002D07B8" w:rsidRDefault="001A25F5" w:rsidP="001A25F5">
            <w:pPr>
              <w:jc w:val="center"/>
              <w:rPr>
                <w:rFonts w:asciiTheme="minorHAnsi" w:hAnsiTheme="minorHAnsi" w:cstheme="minorHAnsi"/>
                <w:b/>
                <w:bCs/>
                <w:color w:val="000000"/>
                <w:szCs w:val="22"/>
              </w:rPr>
            </w:pPr>
            <w:r w:rsidRPr="002D07B8">
              <w:rPr>
                <w:rFonts w:asciiTheme="minorHAnsi" w:hAnsiTheme="minorHAnsi" w:cstheme="minorHAnsi"/>
                <w:b/>
                <w:bCs/>
                <w:color w:val="000000"/>
                <w:szCs w:val="22"/>
              </w:rPr>
              <w:t>8,073</w:t>
            </w:r>
          </w:p>
        </w:tc>
        <w:tc>
          <w:tcPr>
            <w:tcW w:w="1756" w:type="dxa"/>
            <w:tcBorders>
              <w:top w:val="nil"/>
              <w:left w:val="nil"/>
              <w:bottom w:val="single" w:sz="4" w:space="0" w:color="auto"/>
              <w:right w:val="single" w:sz="4" w:space="0" w:color="auto"/>
            </w:tcBorders>
            <w:shd w:val="clear" w:color="auto" w:fill="F2F2F2" w:themeFill="background1" w:themeFillShade="F2"/>
            <w:noWrap/>
            <w:vAlign w:val="bottom"/>
            <w:hideMark/>
          </w:tcPr>
          <w:p w14:paraId="42989BB3" w14:textId="4EFB5CE3" w:rsidR="001A25F5" w:rsidRPr="002D07B8" w:rsidRDefault="001A25F5" w:rsidP="001A25F5">
            <w:pPr>
              <w:jc w:val="center"/>
              <w:rPr>
                <w:rFonts w:asciiTheme="minorHAnsi" w:hAnsiTheme="minorHAnsi" w:cstheme="minorHAnsi"/>
                <w:b/>
                <w:bCs/>
                <w:color w:val="000000"/>
                <w:szCs w:val="22"/>
              </w:rPr>
            </w:pPr>
            <w:r w:rsidRPr="002D07B8">
              <w:rPr>
                <w:rFonts w:asciiTheme="minorHAnsi" w:hAnsiTheme="minorHAnsi" w:cstheme="minorHAnsi"/>
                <w:b/>
                <w:bCs/>
                <w:color w:val="000000"/>
                <w:szCs w:val="22"/>
              </w:rPr>
              <w:t>676,103</w:t>
            </w:r>
          </w:p>
        </w:tc>
        <w:tc>
          <w:tcPr>
            <w:tcW w:w="1463" w:type="dxa"/>
            <w:tcBorders>
              <w:top w:val="nil"/>
              <w:left w:val="nil"/>
              <w:bottom w:val="single" w:sz="4" w:space="0" w:color="auto"/>
              <w:right w:val="single" w:sz="4" w:space="0" w:color="auto"/>
            </w:tcBorders>
            <w:shd w:val="clear" w:color="auto" w:fill="F2F2F2" w:themeFill="background1" w:themeFillShade="F2"/>
            <w:noWrap/>
            <w:vAlign w:val="bottom"/>
            <w:hideMark/>
          </w:tcPr>
          <w:p w14:paraId="42989BB4" w14:textId="287779BC" w:rsidR="001A25F5" w:rsidRPr="002D07B8" w:rsidRDefault="001A25F5" w:rsidP="001A25F5">
            <w:pPr>
              <w:jc w:val="center"/>
              <w:rPr>
                <w:rFonts w:asciiTheme="minorHAnsi" w:hAnsiTheme="minorHAnsi" w:cstheme="minorHAnsi"/>
                <w:b/>
                <w:bCs/>
                <w:color w:val="000000"/>
                <w:szCs w:val="22"/>
              </w:rPr>
            </w:pPr>
            <w:r w:rsidRPr="002D07B8">
              <w:rPr>
                <w:rFonts w:asciiTheme="minorHAnsi" w:hAnsiTheme="minorHAnsi" w:cstheme="minorHAnsi"/>
                <w:b/>
                <w:bCs/>
                <w:color w:val="000000"/>
                <w:szCs w:val="22"/>
              </w:rPr>
              <w:t>692,321</w:t>
            </w:r>
          </w:p>
        </w:tc>
        <w:tc>
          <w:tcPr>
            <w:tcW w:w="1283" w:type="dxa"/>
            <w:tcBorders>
              <w:top w:val="nil"/>
              <w:left w:val="nil"/>
              <w:bottom w:val="single" w:sz="4" w:space="0" w:color="auto"/>
              <w:right w:val="single" w:sz="4" w:space="0" w:color="auto"/>
            </w:tcBorders>
            <w:shd w:val="clear" w:color="auto" w:fill="F2F2F2" w:themeFill="background1" w:themeFillShade="F2"/>
            <w:noWrap/>
            <w:vAlign w:val="bottom"/>
            <w:hideMark/>
          </w:tcPr>
          <w:p w14:paraId="42989BB5" w14:textId="5133FD0F" w:rsidR="001A25F5" w:rsidRPr="002D07B8" w:rsidRDefault="001A25F5" w:rsidP="001A25F5">
            <w:pPr>
              <w:jc w:val="center"/>
              <w:rPr>
                <w:rFonts w:asciiTheme="minorHAnsi" w:hAnsiTheme="minorHAnsi" w:cstheme="minorHAnsi"/>
                <w:b/>
                <w:bCs/>
                <w:color w:val="000000"/>
                <w:szCs w:val="22"/>
              </w:rPr>
            </w:pPr>
            <w:r w:rsidRPr="002D07B8">
              <w:rPr>
                <w:rFonts w:asciiTheme="minorHAnsi" w:hAnsiTheme="minorHAnsi" w:cstheme="minorHAnsi"/>
                <w:b/>
                <w:bCs/>
                <w:color w:val="000000"/>
                <w:szCs w:val="22"/>
              </w:rPr>
              <w:t>2.40%</w:t>
            </w:r>
          </w:p>
        </w:tc>
        <w:tc>
          <w:tcPr>
            <w:tcW w:w="1283" w:type="dxa"/>
            <w:tcBorders>
              <w:top w:val="nil"/>
              <w:left w:val="nil"/>
              <w:bottom w:val="single" w:sz="4" w:space="0" w:color="auto"/>
              <w:right w:val="single" w:sz="4" w:space="0" w:color="auto"/>
            </w:tcBorders>
            <w:shd w:val="clear" w:color="auto" w:fill="F2F2F2" w:themeFill="background1" w:themeFillShade="F2"/>
            <w:noWrap/>
            <w:vAlign w:val="bottom"/>
            <w:hideMark/>
          </w:tcPr>
          <w:p w14:paraId="42989BB6" w14:textId="14351EF0" w:rsidR="001A25F5" w:rsidRPr="002D07B8" w:rsidRDefault="001A25F5" w:rsidP="001A25F5">
            <w:pPr>
              <w:jc w:val="center"/>
              <w:rPr>
                <w:rFonts w:asciiTheme="minorHAnsi" w:hAnsiTheme="minorHAnsi" w:cstheme="minorHAnsi"/>
                <w:b/>
                <w:bCs/>
                <w:color w:val="000000"/>
                <w:szCs w:val="22"/>
              </w:rPr>
            </w:pPr>
            <w:r w:rsidRPr="002D07B8">
              <w:rPr>
                <w:rFonts w:asciiTheme="minorHAnsi" w:hAnsiTheme="minorHAnsi" w:cstheme="minorHAnsi"/>
                <w:b/>
                <w:bCs/>
                <w:color w:val="000000"/>
                <w:szCs w:val="22"/>
              </w:rPr>
              <w:t>84,216</w:t>
            </w:r>
          </w:p>
        </w:tc>
        <w:tc>
          <w:tcPr>
            <w:tcW w:w="1486" w:type="dxa"/>
            <w:tcBorders>
              <w:top w:val="nil"/>
              <w:left w:val="nil"/>
              <w:bottom w:val="single" w:sz="4" w:space="0" w:color="auto"/>
              <w:right w:val="single" w:sz="4" w:space="0" w:color="auto"/>
            </w:tcBorders>
            <w:shd w:val="clear" w:color="auto" w:fill="F2F2F2" w:themeFill="background1" w:themeFillShade="F2"/>
            <w:noWrap/>
            <w:vAlign w:val="bottom"/>
            <w:hideMark/>
          </w:tcPr>
          <w:p w14:paraId="42989BB7" w14:textId="2BCDDCB9" w:rsidR="001A25F5" w:rsidRPr="002D07B8" w:rsidRDefault="001A25F5" w:rsidP="001A25F5">
            <w:pPr>
              <w:jc w:val="center"/>
              <w:rPr>
                <w:rFonts w:asciiTheme="minorHAnsi" w:hAnsiTheme="minorHAnsi" w:cstheme="minorHAnsi"/>
                <w:b/>
                <w:bCs/>
                <w:color w:val="000000"/>
                <w:szCs w:val="22"/>
              </w:rPr>
            </w:pPr>
            <w:r w:rsidRPr="002D07B8">
              <w:rPr>
                <w:rFonts w:asciiTheme="minorHAnsi" w:hAnsiTheme="minorHAnsi" w:cstheme="minorHAnsi"/>
                <w:b/>
                <w:bCs/>
                <w:color w:val="000000"/>
                <w:szCs w:val="22"/>
              </w:rPr>
              <w:t>8,073</w:t>
            </w:r>
          </w:p>
        </w:tc>
        <w:tc>
          <w:tcPr>
            <w:tcW w:w="1553" w:type="dxa"/>
            <w:tcBorders>
              <w:top w:val="nil"/>
              <w:left w:val="nil"/>
              <w:bottom w:val="single" w:sz="4" w:space="0" w:color="auto"/>
              <w:right w:val="single" w:sz="4" w:space="0" w:color="auto"/>
            </w:tcBorders>
            <w:shd w:val="clear" w:color="auto" w:fill="F2F2F2" w:themeFill="background1" w:themeFillShade="F2"/>
            <w:noWrap/>
            <w:vAlign w:val="bottom"/>
            <w:hideMark/>
          </w:tcPr>
          <w:p w14:paraId="42989BB8" w14:textId="0307BCE6" w:rsidR="001A25F5" w:rsidRPr="002D07B8" w:rsidRDefault="001A25F5" w:rsidP="001A25F5">
            <w:pPr>
              <w:jc w:val="center"/>
              <w:rPr>
                <w:rFonts w:asciiTheme="minorHAnsi" w:hAnsiTheme="minorHAnsi" w:cstheme="minorHAnsi"/>
                <w:b/>
                <w:bCs/>
                <w:color w:val="000000"/>
                <w:szCs w:val="22"/>
              </w:rPr>
            </w:pPr>
            <w:r w:rsidRPr="002D07B8">
              <w:rPr>
                <w:rFonts w:asciiTheme="minorHAnsi" w:hAnsiTheme="minorHAnsi" w:cstheme="minorHAnsi"/>
                <w:b/>
                <w:bCs/>
                <w:color w:val="000000"/>
                <w:szCs w:val="22"/>
              </w:rPr>
              <w:t>92,289</w:t>
            </w:r>
          </w:p>
        </w:tc>
        <w:tc>
          <w:tcPr>
            <w:tcW w:w="1283" w:type="dxa"/>
            <w:tcBorders>
              <w:top w:val="nil"/>
              <w:left w:val="nil"/>
              <w:bottom w:val="single" w:sz="4" w:space="0" w:color="auto"/>
              <w:right w:val="single" w:sz="4" w:space="0" w:color="auto"/>
            </w:tcBorders>
            <w:shd w:val="clear" w:color="auto" w:fill="F2F2F2" w:themeFill="background1" w:themeFillShade="F2"/>
            <w:noWrap/>
            <w:vAlign w:val="bottom"/>
            <w:hideMark/>
          </w:tcPr>
          <w:p w14:paraId="42989BB9" w14:textId="53DC1D53" w:rsidR="001A25F5" w:rsidRPr="002D07B8" w:rsidRDefault="001A25F5" w:rsidP="001A25F5">
            <w:pPr>
              <w:jc w:val="center"/>
              <w:rPr>
                <w:rFonts w:asciiTheme="minorHAnsi" w:hAnsiTheme="minorHAnsi" w:cstheme="minorHAnsi"/>
                <w:b/>
                <w:bCs/>
                <w:color w:val="000000"/>
                <w:szCs w:val="22"/>
              </w:rPr>
            </w:pPr>
            <w:r w:rsidRPr="002D07B8">
              <w:rPr>
                <w:rFonts w:asciiTheme="minorHAnsi" w:hAnsiTheme="minorHAnsi" w:cstheme="minorHAnsi"/>
                <w:b/>
                <w:bCs/>
                <w:color w:val="000000"/>
                <w:szCs w:val="22"/>
              </w:rPr>
              <w:t>3,098</w:t>
            </w:r>
          </w:p>
        </w:tc>
      </w:tr>
    </w:tbl>
    <w:p w14:paraId="42989BBB" w14:textId="77777777" w:rsidR="00F32E58" w:rsidRPr="002D07B8" w:rsidRDefault="00F32E58" w:rsidP="00FA4BD9">
      <w:pPr>
        <w:pStyle w:val="Title"/>
        <w:rPr>
          <w:rFonts w:asciiTheme="minorHAnsi" w:hAnsiTheme="minorHAnsi" w:cstheme="minorHAnsi"/>
        </w:rPr>
        <w:sectPr w:rsidR="00F32E58" w:rsidRPr="002D07B8" w:rsidSect="00E97C36">
          <w:pgSz w:w="15840" w:h="12240" w:orient="landscape" w:code="1"/>
          <w:pgMar w:top="720" w:right="720" w:bottom="720" w:left="720" w:header="720" w:footer="720" w:gutter="0"/>
          <w:lnNumType w:countBy="1"/>
          <w:cols w:space="720"/>
          <w:docGrid w:linePitch="360"/>
        </w:sectPr>
      </w:pPr>
    </w:p>
    <w:p w14:paraId="42989D45" w14:textId="77777777" w:rsidR="00005F1A" w:rsidRPr="002D07B8" w:rsidRDefault="00005F1A" w:rsidP="00FA4BD9">
      <w:pPr>
        <w:pStyle w:val="Title"/>
        <w:suppressLineNumbers/>
        <w:rPr>
          <w:rFonts w:asciiTheme="minorHAnsi" w:hAnsiTheme="minorHAnsi" w:cstheme="minorHAnsi"/>
        </w:rPr>
      </w:pPr>
      <w:r w:rsidRPr="002D07B8">
        <w:rPr>
          <w:rFonts w:asciiTheme="minorHAnsi" w:hAnsiTheme="minorHAnsi" w:cstheme="minorHAnsi"/>
        </w:rPr>
        <w:t>Claimant Reemployment within 10 Weeks</w:t>
      </w:r>
    </w:p>
    <w:p w14:paraId="42989D46" w14:textId="244E4549" w:rsidR="00E97C36" w:rsidRPr="002D07B8" w:rsidRDefault="00D2091E" w:rsidP="008C09A8">
      <w:pPr>
        <w:pStyle w:val="Title"/>
        <w:suppressLineNumbers/>
        <w:rPr>
          <w:rFonts w:asciiTheme="minorHAnsi" w:hAnsiTheme="minorHAnsi" w:cstheme="minorHAnsi"/>
          <w:sz w:val="16"/>
        </w:rPr>
      </w:pPr>
      <w:r w:rsidRPr="002D07B8">
        <w:rPr>
          <w:rFonts w:asciiTheme="minorHAnsi" w:hAnsiTheme="minorHAnsi" w:cstheme="minorHAnsi"/>
        </w:rPr>
        <w:t>May</w:t>
      </w:r>
      <w:r w:rsidR="004F3D54" w:rsidRPr="002D07B8">
        <w:rPr>
          <w:rFonts w:asciiTheme="minorHAnsi" w:hAnsiTheme="minorHAnsi" w:cstheme="minorHAnsi"/>
        </w:rPr>
        <w:t xml:space="preserve"> 201</w:t>
      </w:r>
      <w:r w:rsidRPr="002D07B8">
        <w:rPr>
          <w:rFonts w:asciiTheme="minorHAnsi" w:hAnsiTheme="minorHAnsi" w:cstheme="minorHAnsi"/>
        </w:rPr>
        <w:t>8</w:t>
      </w:r>
      <w:r w:rsidR="004F3D54" w:rsidRPr="002D07B8">
        <w:rPr>
          <w:rFonts w:asciiTheme="minorHAnsi" w:hAnsiTheme="minorHAnsi" w:cstheme="minorHAnsi"/>
        </w:rPr>
        <w:t xml:space="preserve"> to </w:t>
      </w:r>
      <w:r w:rsidRPr="002D07B8">
        <w:rPr>
          <w:rFonts w:asciiTheme="minorHAnsi" w:hAnsiTheme="minorHAnsi" w:cstheme="minorHAnsi"/>
        </w:rPr>
        <w:t>April</w:t>
      </w:r>
      <w:r w:rsidR="004F3D54" w:rsidRPr="002D07B8">
        <w:rPr>
          <w:rFonts w:asciiTheme="minorHAnsi" w:hAnsiTheme="minorHAnsi" w:cstheme="minorHAnsi"/>
        </w:rPr>
        <w:t xml:space="preserve"> 201</w:t>
      </w:r>
      <w:r w:rsidRPr="002D07B8">
        <w:rPr>
          <w:rFonts w:asciiTheme="minorHAnsi" w:hAnsiTheme="minorHAnsi" w:cstheme="minorHAnsi"/>
        </w:rPr>
        <w:t>9</w:t>
      </w:r>
      <w:r w:rsidR="004F3D54" w:rsidRPr="002D07B8">
        <w:rPr>
          <w:rFonts w:asciiTheme="minorHAnsi" w:hAnsiTheme="minorHAnsi" w:cstheme="minorHAnsi"/>
        </w:rPr>
        <w:t xml:space="preserve"> </w:t>
      </w:r>
      <w:r w:rsidR="00005F1A" w:rsidRPr="002D07B8">
        <w:rPr>
          <w:rFonts w:asciiTheme="minorHAnsi" w:hAnsiTheme="minorHAnsi" w:cstheme="minorHAnsi"/>
        </w:rPr>
        <w:t>Performance</w:t>
      </w:r>
      <w:r w:rsidR="00FA4BD9" w:rsidRPr="002D07B8">
        <w:rPr>
          <w:rFonts w:asciiTheme="minorHAnsi" w:hAnsiTheme="minorHAnsi" w:cstheme="minorHAnsi"/>
        </w:rPr>
        <w:t xml:space="preserve"> (Perf)</w:t>
      </w:r>
      <w:r w:rsidR="00005F1A" w:rsidRPr="002D07B8">
        <w:rPr>
          <w:rFonts w:asciiTheme="minorHAnsi" w:hAnsiTheme="minorHAnsi" w:cstheme="minorHAnsi"/>
        </w:rPr>
        <w:t xml:space="preserve"> for Each Claim Type </w:t>
      </w:r>
      <w:r w:rsidR="00FA4BD9" w:rsidRPr="002D07B8">
        <w:rPr>
          <w:rFonts w:asciiTheme="minorHAnsi" w:hAnsiTheme="minorHAnsi" w:cstheme="minorHAnsi"/>
        </w:rPr>
        <w:t>&amp; New Sub</w:t>
      </w:r>
      <w:r w:rsidR="004F3D54" w:rsidRPr="002D07B8">
        <w:rPr>
          <w:rFonts w:asciiTheme="minorHAnsi" w:hAnsiTheme="minorHAnsi" w:cstheme="minorHAnsi"/>
        </w:rPr>
        <w:t>t</w:t>
      </w:r>
      <w:r w:rsidR="00FA4BD9" w:rsidRPr="002D07B8">
        <w:rPr>
          <w:rFonts w:asciiTheme="minorHAnsi" w:hAnsiTheme="minorHAnsi" w:cstheme="minorHAnsi"/>
        </w:rPr>
        <w:t>argets (SubTgt)</w:t>
      </w:r>
      <w:r w:rsidR="008C09A8" w:rsidRPr="002D07B8">
        <w:rPr>
          <w:rFonts w:asciiTheme="minorHAnsi" w:hAnsiTheme="minorHAnsi" w:cstheme="minorHAnsi"/>
          <w:sz w:val="16"/>
        </w:rPr>
        <w:t xml:space="preserve"> </w:t>
      </w:r>
    </w:p>
    <w:tbl>
      <w:tblPr>
        <w:tblW w:w="14357" w:type="dxa"/>
        <w:tblInd w:w="-10" w:type="dxa"/>
        <w:tblLook w:val="04A0" w:firstRow="1" w:lastRow="0" w:firstColumn="1" w:lastColumn="0" w:noHBand="0" w:noVBand="1"/>
      </w:tblPr>
      <w:tblGrid>
        <w:gridCol w:w="2540"/>
        <w:gridCol w:w="987"/>
        <w:gridCol w:w="987"/>
        <w:gridCol w:w="987"/>
        <w:gridCol w:w="1260"/>
        <w:gridCol w:w="1078"/>
        <w:gridCol w:w="875"/>
        <w:gridCol w:w="980"/>
        <w:gridCol w:w="875"/>
        <w:gridCol w:w="875"/>
        <w:gridCol w:w="875"/>
        <w:gridCol w:w="1078"/>
        <w:gridCol w:w="960"/>
      </w:tblGrid>
      <w:tr w:rsidR="001376A0" w:rsidRPr="002D07B8" w14:paraId="02D0711A" w14:textId="77777777" w:rsidTr="001376A0">
        <w:trPr>
          <w:trHeight w:val="718"/>
        </w:trPr>
        <w:tc>
          <w:tcPr>
            <w:tcW w:w="25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423553" w14:textId="77777777" w:rsidR="001376A0" w:rsidRPr="002D07B8" w:rsidRDefault="001376A0" w:rsidP="001376A0">
            <w:pPr>
              <w:jc w:val="center"/>
              <w:rPr>
                <w:rFonts w:asciiTheme="minorHAnsi" w:hAnsiTheme="minorHAnsi" w:cstheme="minorHAnsi"/>
                <w:b/>
                <w:bCs/>
                <w:color w:val="000000"/>
                <w:sz w:val="20"/>
                <w:szCs w:val="20"/>
              </w:rPr>
            </w:pPr>
            <w:r w:rsidRPr="002D07B8">
              <w:rPr>
                <w:rFonts w:asciiTheme="minorHAnsi" w:hAnsiTheme="minorHAnsi" w:cstheme="minorHAnsi"/>
                <w:b/>
                <w:bCs/>
                <w:color w:val="000000"/>
                <w:sz w:val="20"/>
                <w:szCs w:val="20"/>
              </w:rPr>
              <w:t>Board</w:t>
            </w:r>
          </w:p>
        </w:tc>
        <w:tc>
          <w:tcPr>
            <w:tcW w:w="987" w:type="dxa"/>
            <w:tcBorders>
              <w:top w:val="single" w:sz="8" w:space="0" w:color="auto"/>
              <w:left w:val="nil"/>
              <w:bottom w:val="single" w:sz="8" w:space="0" w:color="auto"/>
              <w:right w:val="single" w:sz="4" w:space="0" w:color="auto"/>
            </w:tcBorders>
            <w:shd w:val="clear" w:color="auto" w:fill="auto"/>
            <w:vAlign w:val="bottom"/>
            <w:hideMark/>
          </w:tcPr>
          <w:p w14:paraId="7804848B" w14:textId="77777777" w:rsidR="001376A0" w:rsidRPr="002D07B8" w:rsidRDefault="001376A0" w:rsidP="001376A0">
            <w:pPr>
              <w:jc w:val="center"/>
              <w:rPr>
                <w:rFonts w:asciiTheme="minorHAnsi" w:hAnsiTheme="minorHAnsi" w:cstheme="minorHAnsi"/>
                <w:color w:val="000000"/>
                <w:sz w:val="20"/>
                <w:szCs w:val="20"/>
              </w:rPr>
            </w:pPr>
            <w:r w:rsidRPr="002D07B8">
              <w:rPr>
                <w:rFonts w:asciiTheme="minorHAnsi" w:hAnsiTheme="minorHAnsi" w:cstheme="minorHAnsi"/>
                <w:color w:val="000000"/>
                <w:sz w:val="20"/>
                <w:szCs w:val="20"/>
              </w:rPr>
              <w:t>UCX Perf</w:t>
            </w:r>
          </w:p>
        </w:tc>
        <w:tc>
          <w:tcPr>
            <w:tcW w:w="987" w:type="dxa"/>
            <w:tcBorders>
              <w:top w:val="single" w:sz="8" w:space="0" w:color="auto"/>
              <w:left w:val="single" w:sz="4" w:space="0" w:color="auto"/>
              <w:bottom w:val="single" w:sz="8" w:space="0" w:color="auto"/>
              <w:right w:val="single" w:sz="4" w:space="0" w:color="auto"/>
            </w:tcBorders>
            <w:shd w:val="clear" w:color="auto" w:fill="auto"/>
            <w:vAlign w:val="bottom"/>
            <w:hideMark/>
          </w:tcPr>
          <w:p w14:paraId="605DCF11" w14:textId="77777777" w:rsidR="001376A0" w:rsidRPr="002D07B8" w:rsidRDefault="001376A0" w:rsidP="001376A0">
            <w:pPr>
              <w:jc w:val="center"/>
              <w:rPr>
                <w:rFonts w:asciiTheme="minorHAnsi" w:hAnsiTheme="minorHAnsi" w:cstheme="minorHAnsi"/>
                <w:color w:val="000000"/>
                <w:sz w:val="20"/>
                <w:szCs w:val="20"/>
              </w:rPr>
            </w:pPr>
            <w:r w:rsidRPr="002D07B8">
              <w:rPr>
                <w:rFonts w:asciiTheme="minorHAnsi" w:hAnsiTheme="minorHAnsi" w:cstheme="minorHAnsi"/>
                <w:color w:val="000000"/>
                <w:sz w:val="20"/>
                <w:szCs w:val="20"/>
              </w:rPr>
              <w:t>Fed Perf</w:t>
            </w:r>
          </w:p>
        </w:tc>
        <w:tc>
          <w:tcPr>
            <w:tcW w:w="987" w:type="dxa"/>
            <w:tcBorders>
              <w:top w:val="single" w:sz="8" w:space="0" w:color="auto"/>
              <w:left w:val="nil"/>
              <w:bottom w:val="single" w:sz="8" w:space="0" w:color="auto"/>
              <w:right w:val="single" w:sz="4" w:space="0" w:color="auto"/>
            </w:tcBorders>
            <w:shd w:val="clear" w:color="auto" w:fill="auto"/>
            <w:vAlign w:val="bottom"/>
            <w:hideMark/>
          </w:tcPr>
          <w:p w14:paraId="09DDA1B6" w14:textId="77777777" w:rsidR="001376A0" w:rsidRPr="002D07B8" w:rsidRDefault="001376A0" w:rsidP="001376A0">
            <w:pPr>
              <w:jc w:val="center"/>
              <w:rPr>
                <w:rFonts w:asciiTheme="minorHAnsi" w:hAnsiTheme="minorHAnsi" w:cstheme="minorHAnsi"/>
                <w:color w:val="000000"/>
                <w:sz w:val="20"/>
                <w:szCs w:val="20"/>
              </w:rPr>
            </w:pPr>
            <w:r w:rsidRPr="002D07B8">
              <w:rPr>
                <w:rFonts w:asciiTheme="minorHAnsi" w:hAnsiTheme="minorHAnsi" w:cstheme="minorHAnsi"/>
                <w:color w:val="000000"/>
                <w:sz w:val="20"/>
                <w:szCs w:val="20"/>
              </w:rPr>
              <w:t>Oil-Gas Perf</w:t>
            </w:r>
          </w:p>
        </w:tc>
        <w:tc>
          <w:tcPr>
            <w:tcW w:w="1260" w:type="dxa"/>
            <w:tcBorders>
              <w:top w:val="single" w:sz="8" w:space="0" w:color="auto"/>
              <w:left w:val="nil"/>
              <w:bottom w:val="single" w:sz="8" w:space="0" w:color="auto"/>
              <w:right w:val="single" w:sz="4" w:space="0" w:color="auto"/>
            </w:tcBorders>
            <w:shd w:val="clear" w:color="auto" w:fill="auto"/>
            <w:vAlign w:val="bottom"/>
            <w:hideMark/>
          </w:tcPr>
          <w:p w14:paraId="16917120" w14:textId="77777777" w:rsidR="001376A0" w:rsidRPr="002D07B8" w:rsidRDefault="001376A0" w:rsidP="001376A0">
            <w:pPr>
              <w:jc w:val="center"/>
              <w:rPr>
                <w:rFonts w:asciiTheme="minorHAnsi" w:hAnsiTheme="minorHAnsi" w:cstheme="minorHAnsi"/>
                <w:color w:val="000000"/>
                <w:sz w:val="20"/>
                <w:szCs w:val="20"/>
              </w:rPr>
            </w:pPr>
            <w:r w:rsidRPr="002D07B8">
              <w:rPr>
                <w:rFonts w:asciiTheme="minorHAnsi" w:hAnsiTheme="minorHAnsi" w:cstheme="minorHAnsi"/>
                <w:color w:val="000000"/>
                <w:sz w:val="20"/>
                <w:szCs w:val="20"/>
              </w:rPr>
              <w:t>Non-Oil-Gas Perf</w:t>
            </w:r>
          </w:p>
        </w:tc>
        <w:tc>
          <w:tcPr>
            <w:tcW w:w="1078" w:type="dxa"/>
            <w:tcBorders>
              <w:top w:val="single" w:sz="8" w:space="0" w:color="auto"/>
              <w:left w:val="nil"/>
              <w:bottom w:val="single" w:sz="8" w:space="0" w:color="auto"/>
              <w:right w:val="single" w:sz="4" w:space="0" w:color="auto"/>
            </w:tcBorders>
            <w:shd w:val="clear" w:color="auto" w:fill="auto"/>
            <w:vAlign w:val="bottom"/>
            <w:hideMark/>
          </w:tcPr>
          <w:p w14:paraId="64ADA054" w14:textId="77777777" w:rsidR="001376A0" w:rsidRPr="002D07B8" w:rsidRDefault="001376A0" w:rsidP="001376A0">
            <w:pPr>
              <w:jc w:val="center"/>
              <w:rPr>
                <w:rFonts w:asciiTheme="minorHAnsi" w:hAnsiTheme="minorHAnsi" w:cstheme="minorHAnsi"/>
                <w:color w:val="000000"/>
                <w:sz w:val="20"/>
                <w:szCs w:val="20"/>
              </w:rPr>
            </w:pPr>
            <w:r w:rsidRPr="002D07B8">
              <w:rPr>
                <w:rFonts w:asciiTheme="minorHAnsi" w:hAnsiTheme="minorHAnsi" w:cstheme="minorHAnsi"/>
                <w:color w:val="000000"/>
                <w:sz w:val="20"/>
                <w:szCs w:val="20"/>
              </w:rPr>
              <w:t>Unknown Industry Perf</w:t>
            </w:r>
          </w:p>
        </w:tc>
        <w:tc>
          <w:tcPr>
            <w:tcW w:w="875" w:type="dxa"/>
            <w:tcBorders>
              <w:top w:val="single" w:sz="8" w:space="0" w:color="auto"/>
              <w:left w:val="nil"/>
              <w:bottom w:val="single" w:sz="8" w:space="0" w:color="auto"/>
              <w:right w:val="single" w:sz="8" w:space="0" w:color="auto"/>
            </w:tcBorders>
            <w:shd w:val="clear" w:color="auto" w:fill="auto"/>
            <w:vAlign w:val="bottom"/>
            <w:hideMark/>
          </w:tcPr>
          <w:p w14:paraId="73ECB032" w14:textId="77777777" w:rsidR="001376A0" w:rsidRPr="002D07B8" w:rsidRDefault="001376A0" w:rsidP="001376A0">
            <w:pPr>
              <w:jc w:val="center"/>
              <w:rPr>
                <w:rFonts w:asciiTheme="minorHAnsi" w:hAnsiTheme="minorHAnsi" w:cstheme="minorHAnsi"/>
                <w:color w:val="000000"/>
                <w:sz w:val="20"/>
                <w:szCs w:val="20"/>
              </w:rPr>
            </w:pPr>
            <w:r w:rsidRPr="002D07B8">
              <w:rPr>
                <w:rFonts w:asciiTheme="minorHAnsi" w:hAnsiTheme="minorHAnsi" w:cstheme="minorHAnsi"/>
                <w:color w:val="000000"/>
                <w:sz w:val="20"/>
                <w:szCs w:val="20"/>
              </w:rPr>
              <w:t>Total Perf</w:t>
            </w:r>
          </w:p>
        </w:tc>
        <w:tc>
          <w:tcPr>
            <w:tcW w:w="980" w:type="dxa"/>
            <w:tcBorders>
              <w:top w:val="single" w:sz="8" w:space="0" w:color="auto"/>
              <w:left w:val="nil"/>
              <w:bottom w:val="single" w:sz="8" w:space="0" w:color="auto"/>
              <w:right w:val="single" w:sz="4" w:space="0" w:color="auto"/>
            </w:tcBorders>
            <w:shd w:val="clear" w:color="auto" w:fill="auto"/>
            <w:vAlign w:val="bottom"/>
            <w:hideMark/>
          </w:tcPr>
          <w:p w14:paraId="5A306DC4" w14:textId="77777777" w:rsidR="001376A0" w:rsidRPr="002D07B8" w:rsidRDefault="001376A0" w:rsidP="001376A0">
            <w:pPr>
              <w:jc w:val="center"/>
              <w:rPr>
                <w:rFonts w:asciiTheme="minorHAnsi" w:hAnsiTheme="minorHAnsi" w:cstheme="minorHAnsi"/>
                <w:color w:val="000000"/>
                <w:sz w:val="20"/>
                <w:szCs w:val="20"/>
              </w:rPr>
            </w:pPr>
            <w:r w:rsidRPr="002D07B8">
              <w:rPr>
                <w:rFonts w:asciiTheme="minorHAnsi" w:hAnsiTheme="minorHAnsi" w:cstheme="minorHAnsi"/>
                <w:color w:val="000000"/>
                <w:sz w:val="20"/>
                <w:szCs w:val="20"/>
              </w:rPr>
              <w:t>UCX SubTgt</w:t>
            </w:r>
          </w:p>
        </w:tc>
        <w:tc>
          <w:tcPr>
            <w:tcW w:w="875" w:type="dxa"/>
            <w:tcBorders>
              <w:top w:val="single" w:sz="8" w:space="0" w:color="auto"/>
              <w:left w:val="nil"/>
              <w:bottom w:val="single" w:sz="8" w:space="0" w:color="auto"/>
              <w:right w:val="single" w:sz="4" w:space="0" w:color="auto"/>
            </w:tcBorders>
            <w:shd w:val="clear" w:color="auto" w:fill="auto"/>
            <w:vAlign w:val="bottom"/>
            <w:hideMark/>
          </w:tcPr>
          <w:p w14:paraId="0EEFDEEF" w14:textId="77777777" w:rsidR="001376A0" w:rsidRPr="002D07B8" w:rsidRDefault="001376A0" w:rsidP="001376A0">
            <w:pPr>
              <w:jc w:val="center"/>
              <w:rPr>
                <w:rFonts w:asciiTheme="minorHAnsi" w:hAnsiTheme="minorHAnsi" w:cstheme="minorHAnsi"/>
                <w:color w:val="000000"/>
                <w:sz w:val="20"/>
                <w:szCs w:val="20"/>
              </w:rPr>
            </w:pPr>
            <w:r w:rsidRPr="002D07B8">
              <w:rPr>
                <w:rFonts w:asciiTheme="minorHAnsi" w:hAnsiTheme="minorHAnsi" w:cstheme="minorHAnsi"/>
                <w:color w:val="000000"/>
                <w:sz w:val="20"/>
                <w:szCs w:val="20"/>
              </w:rPr>
              <w:t>Fed SubTgt</w:t>
            </w:r>
          </w:p>
        </w:tc>
        <w:tc>
          <w:tcPr>
            <w:tcW w:w="875" w:type="dxa"/>
            <w:tcBorders>
              <w:top w:val="single" w:sz="8" w:space="0" w:color="auto"/>
              <w:left w:val="nil"/>
              <w:bottom w:val="single" w:sz="8" w:space="0" w:color="auto"/>
              <w:right w:val="single" w:sz="4" w:space="0" w:color="auto"/>
            </w:tcBorders>
            <w:shd w:val="clear" w:color="auto" w:fill="auto"/>
            <w:vAlign w:val="bottom"/>
            <w:hideMark/>
          </w:tcPr>
          <w:p w14:paraId="23482B6D" w14:textId="77777777" w:rsidR="001376A0" w:rsidRPr="002D07B8" w:rsidRDefault="001376A0" w:rsidP="001376A0">
            <w:pPr>
              <w:jc w:val="center"/>
              <w:rPr>
                <w:rFonts w:asciiTheme="minorHAnsi" w:hAnsiTheme="minorHAnsi" w:cstheme="minorHAnsi"/>
                <w:color w:val="000000"/>
                <w:sz w:val="20"/>
                <w:szCs w:val="20"/>
              </w:rPr>
            </w:pPr>
            <w:r w:rsidRPr="002D07B8">
              <w:rPr>
                <w:rFonts w:asciiTheme="minorHAnsi" w:hAnsiTheme="minorHAnsi" w:cstheme="minorHAnsi"/>
                <w:color w:val="000000"/>
                <w:sz w:val="20"/>
                <w:szCs w:val="20"/>
              </w:rPr>
              <w:t>Oil-Gas SubTgt</w:t>
            </w:r>
          </w:p>
        </w:tc>
        <w:tc>
          <w:tcPr>
            <w:tcW w:w="875" w:type="dxa"/>
            <w:tcBorders>
              <w:top w:val="single" w:sz="8" w:space="0" w:color="auto"/>
              <w:left w:val="nil"/>
              <w:bottom w:val="single" w:sz="8" w:space="0" w:color="auto"/>
              <w:right w:val="single" w:sz="4" w:space="0" w:color="auto"/>
            </w:tcBorders>
            <w:shd w:val="clear" w:color="auto" w:fill="auto"/>
            <w:vAlign w:val="bottom"/>
            <w:hideMark/>
          </w:tcPr>
          <w:p w14:paraId="22B6BBB5" w14:textId="77777777" w:rsidR="001376A0" w:rsidRPr="002D07B8" w:rsidRDefault="001376A0" w:rsidP="001376A0">
            <w:pPr>
              <w:jc w:val="center"/>
              <w:rPr>
                <w:rFonts w:asciiTheme="minorHAnsi" w:hAnsiTheme="minorHAnsi" w:cstheme="minorHAnsi"/>
                <w:color w:val="000000"/>
                <w:sz w:val="20"/>
                <w:szCs w:val="20"/>
              </w:rPr>
            </w:pPr>
            <w:r w:rsidRPr="002D07B8">
              <w:rPr>
                <w:rFonts w:asciiTheme="minorHAnsi" w:hAnsiTheme="minorHAnsi" w:cstheme="minorHAnsi"/>
                <w:color w:val="000000"/>
                <w:sz w:val="20"/>
                <w:szCs w:val="20"/>
              </w:rPr>
              <w:t>Non-Oil-Gas SubTgt</w:t>
            </w:r>
          </w:p>
        </w:tc>
        <w:tc>
          <w:tcPr>
            <w:tcW w:w="1078" w:type="dxa"/>
            <w:tcBorders>
              <w:top w:val="single" w:sz="8" w:space="0" w:color="auto"/>
              <w:left w:val="nil"/>
              <w:bottom w:val="single" w:sz="8" w:space="0" w:color="auto"/>
              <w:right w:val="single" w:sz="4" w:space="0" w:color="auto"/>
            </w:tcBorders>
            <w:shd w:val="clear" w:color="auto" w:fill="auto"/>
            <w:vAlign w:val="bottom"/>
            <w:hideMark/>
          </w:tcPr>
          <w:p w14:paraId="574BD0B1" w14:textId="77777777" w:rsidR="001376A0" w:rsidRPr="002D07B8" w:rsidRDefault="001376A0" w:rsidP="001376A0">
            <w:pPr>
              <w:jc w:val="center"/>
              <w:rPr>
                <w:rFonts w:asciiTheme="minorHAnsi" w:hAnsiTheme="minorHAnsi" w:cstheme="minorHAnsi"/>
                <w:color w:val="000000"/>
                <w:sz w:val="20"/>
                <w:szCs w:val="20"/>
              </w:rPr>
            </w:pPr>
            <w:r w:rsidRPr="002D07B8">
              <w:rPr>
                <w:rFonts w:asciiTheme="minorHAnsi" w:hAnsiTheme="minorHAnsi" w:cstheme="minorHAnsi"/>
                <w:color w:val="000000"/>
                <w:sz w:val="20"/>
                <w:szCs w:val="20"/>
              </w:rPr>
              <w:t>Unknown Industry SubTgt</w:t>
            </w:r>
          </w:p>
        </w:tc>
        <w:tc>
          <w:tcPr>
            <w:tcW w:w="960" w:type="dxa"/>
            <w:tcBorders>
              <w:top w:val="single" w:sz="8" w:space="0" w:color="auto"/>
              <w:left w:val="nil"/>
              <w:bottom w:val="single" w:sz="8" w:space="0" w:color="auto"/>
              <w:right w:val="single" w:sz="8" w:space="0" w:color="auto"/>
            </w:tcBorders>
            <w:shd w:val="clear" w:color="auto" w:fill="auto"/>
            <w:vAlign w:val="bottom"/>
            <w:hideMark/>
          </w:tcPr>
          <w:p w14:paraId="1291EA26" w14:textId="77777777" w:rsidR="001376A0" w:rsidRPr="002D07B8" w:rsidRDefault="001376A0" w:rsidP="001376A0">
            <w:pPr>
              <w:jc w:val="center"/>
              <w:rPr>
                <w:rFonts w:asciiTheme="minorHAnsi" w:hAnsiTheme="minorHAnsi" w:cstheme="minorHAnsi"/>
                <w:color w:val="000000"/>
                <w:sz w:val="20"/>
                <w:szCs w:val="20"/>
              </w:rPr>
            </w:pPr>
            <w:r w:rsidRPr="002D07B8">
              <w:rPr>
                <w:rFonts w:asciiTheme="minorHAnsi" w:hAnsiTheme="minorHAnsi" w:cstheme="minorHAnsi"/>
                <w:color w:val="000000"/>
                <w:sz w:val="20"/>
                <w:szCs w:val="20"/>
              </w:rPr>
              <w:t>Blended Target</w:t>
            </w:r>
          </w:p>
        </w:tc>
      </w:tr>
      <w:tr w:rsidR="001376A0" w:rsidRPr="002D07B8" w14:paraId="3E1EF2B7" w14:textId="77777777" w:rsidTr="001376A0">
        <w:trPr>
          <w:trHeight w:val="290"/>
        </w:trPr>
        <w:tc>
          <w:tcPr>
            <w:tcW w:w="2540" w:type="dxa"/>
            <w:tcBorders>
              <w:top w:val="nil"/>
              <w:left w:val="single" w:sz="8" w:space="0" w:color="auto"/>
              <w:bottom w:val="single" w:sz="4" w:space="0" w:color="auto"/>
              <w:right w:val="single" w:sz="8" w:space="0" w:color="auto"/>
            </w:tcBorders>
            <w:shd w:val="clear" w:color="auto" w:fill="auto"/>
            <w:noWrap/>
            <w:vAlign w:val="center"/>
            <w:hideMark/>
          </w:tcPr>
          <w:p w14:paraId="118F95E4" w14:textId="77777777" w:rsidR="001376A0" w:rsidRPr="002D07B8" w:rsidRDefault="001376A0" w:rsidP="001376A0">
            <w:pPr>
              <w:rPr>
                <w:rFonts w:asciiTheme="minorHAnsi" w:hAnsiTheme="minorHAnsi" w:cstheme="minorHAnsi"/>
                <w:b/>
                <w:bCs/>
                <w:color w:val="000000"/>
                <w:szCs w:val="22"/>
              </w:rPr>
            </w:pPr>
            <w:r w:rsidRPr="002D07B8">
              <w:rPr>
                <w:rFonts w:asciiTheme="minorHAnsi" w:hAnsiTheme="minorHAnsi" w:cstheme="minorHAnsi"/>
                <w:b/>
                <w:bCs/>
                <w:color w:val="000000"/>
                <w:szCs w:val="22"/>
              </w:rPr>
              <w:t>1 Panhandle</w:t>
            </w:r>
          </w:p>
        </w:tc>
        <w:tc>
          <w:tcPr>
            <w:tcW w:w="987" w:type="dxa"/>
            <w:tcBorders>
              <w:top w:val="nil"/>
              <w:left w:val="nil"/>
              <w:bottom w:val="single" w:sz="4" w:space="0" w:color="auto"/>
              <w:right w:val="single" w:sz="4" w:space="0" w:color="auto"/>
            </w:tcBorders>
            <w:shd w:val="clear" w:color="auto" w:fill="auto"/>
            <w:noWrap/>
            <w:vAlign w:val="bottom"/>
            <w:hideMark/>
          </w:tcPr>
          <w:p w14:paraId="4C75FC15"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100.00%</w:t>
            </w:r>
          </w:p>
        </w:tc>
        <w:tc>
          <w:tcPr>
            <w:tcW w:w="987" w:type="dxa"/>
            <w:tcBorders>
              <w:top w:val="nil"/>
              <w:left w:val="nil"/>
              <w:bottom w:val="single" w:sz="4" w:space="0" w:color="auto"/>
              <w:right w:val="single" w:sz="4" w:space="0" w:color="auto"/>
            </w:tcBorders>
            <w:shd w:val="clear" w:color="auto" w:fill="auto"/>
            <w:noWrap/>
            <w:vAlign w:val="bottom"/>
            <w:hideMark/>
          </w:tcPr>
          <w:p w14:paraId="6554A192"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75.00%</w:t>
            </w:r>
          </w:p>
        </w:tc>
        <w:tc>
          <w:tcPr>
            <w:tcW w:w="987" w:type="dxa"/>
            <w:tcBorders>
              <w:top w:val="nil"/>
              <w:left w:val="nil"/>
              <w:bottom w:val="single" w:sz="4" w:space="0" w:color="auto"/>
              <w:right w:val="single" w:sz="4" w:space="0" w:color="auto"/>
            </w:tcBorders>
            <w:shd w:val="clear" w:color="auto" w:fill="auto"/>
            <w:noWrap/>
            <w:vAlign w:val="bottom"/>
            <w:hideMark/>
          </w:tcPr>
          <w:p w14:paraId="7AC7461C"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83.33%</w:t>
            </w:r>
          </w:p>
        </w:tc>
        <w:tc>
          <w:tcPr>
            <w:tcW w:w="1260" w:type="dxa"/>
            <w:tcBorders>
              <w:top w:val="nil"/>
              <w:left w:val="nil"/>
              <w:bottom w:val="single" w:sz="4" w:space="0" w:color="auto"/>
              <w:right w:val="single" w:sz="4" w:space="0" w:color="auto"/>
            </w:tcBorders>
            <w:shd w:val="clear" w:color="auto" w:fill="auto"/>
            <w:noWrap/>
            <w:vAlign w:val="bottom"/>
            <w:hideMark/>
          </w:tcPr>
          <w:p w14:paraId="49D9ABD7"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67.13%</w:t>
            </w:r>
          </w:p>
        </w:tc>
        <w:tc>
          <w:tcPr>
            <w:tcW w:w="1078" w:type="dxa"/>
            <w:tcBorders>
              <w:top w:val="nil"/>
              <w:left w:val="nil"/>
              <w:bottom w:val="single" w:sz="4" w:space="0" w:color="auto"/>
              <w:right w:val="single" w:sz="4" w:space="0" w:color="auto"/>
            </w:tcBorders>
            <w:shd w:val="clear" w:color="auto" w:fill="auto"/>
            <w:noWrap/>
            <w:vAlign w:val="bottom"/>
            <w:hideMark/>
          </w:tcPr>
          <w:p w14:paraId="3EA220C3"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60.00%</w:t>
            </w:r>
          </w:p>
        </w:tc>
        <w:tc>
          <w:tcPr>
            <w:tcW w:w="875" w:type="dxa"/>
            <w:tcBorders>
              <w:top w:val="nil"/>
              <w:left w:val="nil"/>
              <w:bottom w:val="single" w:sz="4" w:space="0" w:color="auto"/>
              <w:right w:val="single" w:sz="8" w:space="0" w:color="auto"/>
            </w:tcBorders>
            <w:shd w:val="clear" w:color="auto" w:fill="auto"/>
            <w:noWrap/>
            <w:vAlign w:val="bottom"/>
            <w:hideMark/>
          </w:tcPr>
          <w:p w14:paraId="6CCFA185"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68.44%</w:t>
            </w:r>
          </w:p>
        </w:tc>
        <w:tc>
          <w:tcPr>
            <w:tcW w:w="980" w:type="dxa"/>
            <w:tcBorders>
              <w:top w:val="nil"/>
              <w:left w:val="nil"/>
              <w:bottom w:val="single" w:sz="4" w:space="0" w:color="auto"/>
              <w:right w:val="single" w:sz="4" w:space="0" w:color="auto"/>
            </w:tcBorders>
            <w:shd w:val="clear" w:color="auto" w:fill="auto"/>
            <w:noWrap/>
            <w:vAlign w:val="bottom"/>
            <w:hideMark/>
          </w:tcPr>
          <w:p w14:paraId="74744C7F"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55.44%</w:t>
            </w:r>
          </w:p>
        </w:tc>
        <w:tc>
          <w:tcPr>
            <w:tcW w:w="875" w:type="dxa"/>
            <w:tcBorders>
              <w:top w:val="nil"/>
              <w:left w:val="nil"/>
              <w:bottom w:val="single" w:sz="4" w:space="0" w:color="auto"/>
              <w:right w:val="single" w:sz="4" w:space="0" w:color="auto"/>
            </w:tcBorders>
            <w:shd w:val="clear" w:color="auto" w:fill="auto"/>
            <w:noWrap/>
            <w:vAlign w:val="bottom"/>
            <w:hideMark/>
          </w:tcPr>
          <w:p w14:paraId="2CA7949B"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62.37%</w:t>
            </w:r>
          </w:p>
        </w:tc>
        <w:tc>
          <w:tcPr>
            <w:tcW w:w="875" w:type="dxa"/>
            <w:tcBorders>
              <w:top w:val="nil"/>
              <w:left w:val="nil"/>
              <w:bottom w:val="single" w:sz="4" w:space="0" w:color="auto"/>
              <w:right w:val="single" w:sz="4" w:space="0" w:color="auto"/>
            </w:tcBorders>
            <w:shd w:val="clear" w:color="auto" w:fill="auto"/>
            <w:noWrap/>
            <w:vAlign w:val="bottom"/>
            <w:hideMark/>
          </w:tcPr>
          <w:p w14:paraId="33FCCA83"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66.37%</w:t>
            </w:r>
          </w:p>
        </w:tc>
        <w:tc>
          <w:tcPr>
            <w:tcW w:w="875" w:type="dxa"/>
            <w:tcBorders>
              <w:top w:val="nil"/>
              <w:left w:val="nil"/>
              <w:bottom w:val="single" w:sz="4" w:space="0" w:color="auto"/>
              <w:right w:val="single" w:sz="4" w:space="0" w:color="auto"/>
            </w:tcBorders>
            <w:shd w:val="clear" w:color="auto" w:fill="auto"/>
            <w:noWrap/>
            <w:vAlign w:val="bottom"/>
            <w:hideMark/>
          </w:tcPr>
          <w:p w14:paraId="03F1D305"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59.69%</w:t>
            </w:r>
          </w:p>
        </w:tc>
        <w:tc>
          <w:tcPr>
            <w:tcW w:w="1078" w:type="dxa"/>
            <w:tcBorders>
              <w:top w:val="nil"/>
              <w:left w:val="nil"/>
              <w:bottom w:val="single" w:sz="4" w:space="0" w:color="auto"/>
              <w:right w:val="single" w:sz="4" w:space="0" w:color="auto"/>
            </w:tcBorders>
            <w:shd w:val="clear" w:color="auto" w:fill="auto"/>
            <w:noWrap/>
            <w:vAlign w:val="bottom"/>
            <w:hideMark/>
          </w:tcPr>
          <w:p w14:paraId="6F39089B"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54.08%</w:t>
            </w:r>
          </w:p>
        </w:tc>
        <w:tc>
          <w:tcPr>
            <w:tcW w:w="960" w:type="dxa"/>
            <w:tcBorders>
              <w:top w:val="nil"/>
              <w:left w:val="nil"/>
              <w:bottom w:val="single" w:sz="4" w:space="0" w:color="auto"/>
              <w:right w:val="single" w:sz="8" w:space="0" w:color="auto"/>
            </w:tcBorders>
            <w:shd w:val="clear" w:color="auto" w:fill="auto"/>
            <w:noWrap/>
            <w:vAlign w:val="bottom"/>
            <w:hideMark/>
          </w:tcPr>
          <w:p w14:paraId="7A0C1F70"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60.00%</w:t>
            </w:r>
          </w:p>
        </w:tc>
      </w:tr>
      <w:tr w:rsidR="001376A0" w:rsidRPr="002D07B8" w14:paraId="4AEAEE0F" w14:textId="77777777" w:rsidTr="001376A0">
        <w:trPr>
          <w:trHeight w:val="290"/>
        </w:trPr>
        <w:tc>
          <w:tcPr>
            <w:tcW w:w="2540" w:type="dxa"/>
            <w:tcBorders>
              <w:top w:val="nil"/>
              <w:left w:val="single" w:sz="8" w:space="0" w:color="auto"/>
              <w:bottom w:val="single" w:sz="4" w:space="0" w:color="auto"/>
              <w:right w:val="single" w:sz="8" w:space="0" w:color="auto"/>
            </w:tcBorders>
            <w:shd w:val="clear" w:color="auto" w:fill="auto"/>
            <w:noWrap/>
            <w:vAlign w:val="center"/>
            <w:hideMark/>
          </w:tcPr>
          <w:p w14:paraId="44522707" w14:textId="77777777" w:rsidR="001376A0" w:rsidRPr="002D07B8" w:rsidRDefault="001376A0" w:rsidP="001376A0">
            <w:pPr>
              <w:rPr>
                <w:rFonts w:asciiTheme="minorHAnsi" w:hAnsiTheme="minorHAnsi" w:cstheme="minorHAnsi"/>
                <w:b/>
                <w:bCs/>
                <w:color w:val="000000"/>
                <w:szCs w:val="22"/>
              </w:rPr>
            </w:pPr>
            <w:r w:rsidRPr="002D07B8">
              <w:rPr>
                <w:rFonts w:asciiTheme="minorHAnsi" w:hAnsiTheme="minorHAnsi" w:cstheme="minorHAnsi"/>
                <w:b/>
                <w:bCs/>
                <w:color w:val="000000"/>
                <w:szCs w:val="22"/>
              </w:rPr>
              <w:t>2 South Plains</w:t>
            </w:r>
          </w:p>
        </w:tc>
        <w:tc>
          <w:tcPr>
            <w:tcW w:w="987" w:type="dxa"/>
            <w:tcBorders>
              <w:top w:val="nil"/>
              <w:left w:val="nil"/>
              <w:bottom w:val="single" w:sz="4" w:space="0" w:color="auto"/>
              <w:right w:val="single" w:sz="4" w:space="0" w:color="auto"/>
            </w:tcBorders>
            <w:shd w:val="clear" w:color="auto" w:fill="auto"/>
            <w:noWrap/>
            <w:vAlign w:val="bottom"/>
            <w:hideMark/>
          </w:tcPr>
          <w:p w14:paraId="1EB01B80"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NA</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14:paraId="651BBCD0"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66.67%</w:t>
            </w:r>
          </w:p>
        </w:tc>
        <w:tc>
          <w:tcPr>
            <w:tcW w:w="987" w:type="dxa"/>
            <w:tcBorders>
              <w:top w:val="nil"/>
              <w:left w:val="nil"/>
              <w:bottom w:val="single" w:sz="4" w:space="0" w:color="auto"/>
              <w:right w:val="single" w:sz="4" w:space="0" w:color="auto"/>
            </w:tcBorders>
            <w:shd w:val="clear" w:color="auto" w:fill="auto"/>
            <w:noWrap/>
            <w:vAlign w:val="bottom"/>
            <w:hideMark/>
          </w:tcPr>
          <w:p w14:paraId="7427640E"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70.37%</w:t>
            </w:r>
          </w:p>
        </w:tc>
        <w:tc>
          <w:tcPr>
            <w:tcW w:w="1260" w:type="dxa"/>
            <w:tcBorders>
              <w:top w:val="nil"/>
              <w:left w:val="nil"/>
              <w:bottom w:val="single" w:sz="4" w:space="0" w:color="auto"/>
              <w:right w:val="single" w:sz="4" w:space="0" w:color="auto"/>
            </w:tcBorders>
            <w:shd w:val="clear" w:color="auto" w:fill="auto"/>
            <w:noWrap/>
            <w:vAlign w:val="bottom"/>
            <w:hideMark/>
          </w:tcPr>
          <w:p w14:paraId="26366DE4"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60.40%</w:t>
            </w:r>
          </w:p>
        </w:tc>
        <w:tc>
          <w:tcPr>
            <w:tcW w:w="107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11228099"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50.00%</w:t>
            </w:r>
          </w:p>
        </w:tc>
        <w:tc>
          <w:tcPr>
            <w:tcW w:w="875" w:type="dxa"/>
            <w:tcBorders>
              <w:top w:val="nil"/>
              <w:left w:val="nil"/>
              <w:bottom w:val="single" w:sz="4" w:space="0" w:color="auto"/>
              <w:right w:val="single" w:sz="8" w:space="0" w:color="auto"/>
            </w:tcBorders>
            <w:shd w:val="clear" w:color="auto" w:fill="auto"/>
            <w:noWrap/>
            <w:vAlign w:val="bottom"/>
            <w:hideMark/>
          </w:tcPr>
          <w:p w14:paraId="73AC2CF8"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60.99%</w:t>
            </w:r>
          </w:p>
        </w:tc>
        <w:tc>
          <w:tcPr>
            <w:tcW w:w="980" w:type="dxa"/>
            <w:tcBorders>
              <w:top w:val="nil"/>
              <w:left w:val="nil"/>
              <w:bottom w:val="single" w:sz="4" w:space="0" w:color="auto"/>
              <w:right w:val="single" w:sz="4" w:space="0" w:color="auto"/>
            </w:tcBorders>
            <w:shd w:val="clear" w:color="auto" w:fill="auto"/>
            <w:noWrap/>
            <w:vAlign w:val="bottom"/>
            <w:hideMark/>
          </w:tcPr>
          <w:p w14:paraId="2F46198F"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55.44%</w:t>
            </w:r>
          </w:p>
        </w:tc>
        <w:tc>
          <w:tcPr>
            <w:tcW w:w="875" w:type="dxa"/>
            <w:tcBorders>
              <w:top w:val="nil"/>
              <w:left w:val="nil"/>
              <w:bottom w:val="single" w:sz="4" w:space="0" w:color="auto"/>
              <w:right w:val="single" w:sz="4" w:space="0" w:color="auto"/>
            </w:tcBorders>
            <w:shd w:val="clear" w:color="auto" w:fill="auto"/>
            <w:noWrap/>
            <w:vAlign w:val="bottom"/>
            <w:hideMark/>
          </w:tcPr>
          <w:p w14:paraId="2F4F5958"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62.37%</w:t>
            </w:r>
          </w:p>
        </w:tc>
        <w:tc>
          <w:tcPr>
            <w:tcW w:w="875" w:type="dxa"/>
            <w:tcBorders>
              <w:top w:val="nil"/>
              <w:left w:val="nil"/>
              <w:bottom w:val="single" w:sz="4" w:space="0" w:color="auto"/>
              <w:right w:val="single" w:sz="4" w:space="0" w:color="auto"/>
            </w:tcBorders>
            <w:shd w:val="clear" w:color="auto" w:fill="auto"/>
            <w:noWrap/>
            <w:vAlign w:val="bottom"/>
            <w:hideMark/>
          </w:tcPr>
          <w:p w14:paraId="12234902"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66.37%</w:t>
            </w:r>
          </w:p>
        </w:tc>
        <w:tc>
          <w:tcPr>
            <w:tcW w:w="875" w:type="dxa"/>
            <w:tcBorders>
              <w:top w:val="nil"/>
              <w:left w:val="nil"/>
              <w:bottom w:val="single" w:sz="4" w:space="0" w:color="auto"/>
              <w:right w:val="single" w:sz="4" w:space="0" w:color="auto"/>
            </w:tcBorders>
            <w:shd w:val="clear" w:color="auto" w:fill="auto"/>
            <w:noWrap/>
            <w:vAlign w:val="bottom"/>
            <w:hideMark/>
          </w:tcPr>
          <w:p w14:paraId="6EB48281"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59.69%</w:t>
            </w:r>
          </w:p>
        </w:tc>
        <w:tc>
          <w:tcPr>
            <w:tcW w:w="107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1DFF7238"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52.04%</w:t>
            </w:r>
          </w:p>
        </w:tc>
        <w:tc>
          <w:tcPr>
            <w:tcW w:w="960" w:type="dxa"/>
            <w:tcBorders>
              <w:top w:val="nil"/>
              <w:left w:val="nil"/>
              <w:bottom w:val="single" w:sz="4" w:space="0" w:color="auto"/>
              <w:right w:val="single" w:sz="8" w:space="0" w:color="auto"/>
            </w:tcBorders>
            <w:shd w:val="clear" w:color="auto" w:fill="auto"/>
            <w:noWrap/>
            <w:vAlign w:val="bottom"/>
            <w:hideMark/>
          </w:tcPr>
          <w:p w14:paraId="6BCDA2C9"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60.00%</w:t>
            </w:r>
          </w:p>
        </w:tc>
      </w:tr>
      <w:tr w:rsidR="001376A0" w:rsidRPr="002D07B8" w14:paraId="66E23649" w14:textId="77777777" w:rsidTr="001376A0">
        <w:trPr>
          <w:trHeight w:val="290"/>
        </w:trPr>
        <w:tc>
          <w:tcPr>
            <w:tcW w:w="2540" w:type="dxa"/>
            <w:tcBorders>
              <w:top w:val="nil"/>
              <w:left w:val="single" w:sz="8" w:space="0" w:color="auto"/>
              <w:bottom w:val="single" w:sz="4" w:space="0" w:color="auto"/>
              <w:right w:val="single" w:sz="8" w:space="0" w:color="auto"/>
            </w:tcBorders>
            <w:shd w:val="clear" w:color="auto" w:fill="auto"/>
            <w:noWrap/>
            <w:vAlign w:val="center"/>
            <w:hideMark/>
          </w:tcPr>
          <w:p w14:paraId="31BB84CD" w14:textId="77777777" w:rsidR="001376A0" w:rsidRPr="002D07B8" w:rsidRDefault="001376A0" w:rsidP="001376A0">
            <w:pPr>
              <w:rPr>
                <w:rFonts w:asciiTheme="minorHAnsi" w:hAnsiTheme="minorHAnsi" w:cstheme="minorHAnsi"/>
                <w:b/>
                <w:bCs/>
                <w:color w:val="000000"/>
                <w:szCs w:val="22"/>
              </w:rPr>
            </w:pPr>
            <w:r w:rsidRPr="002D07B8">
              <w:rPr>
                <w:rFonts w:asciiTheme="minorHAnsi" w:hAnsiTheme="minorHAnsi" w:cstheme="minorHAnsi"/>
                <w:b/>
                <w:bCs/>
                <w:color w:val="000000"/>
                <w:szCs w:val="22"/>
              </w:rPr>
              <w:t>3 North Texas</w:t>
            </w:r>
          </w:p>
        </w:tc>
        <w:tc>
          <w:tcPr>
            <w:tcW w:w="987" w:type="dxa"/>
            <w:tcBorders>
              <w:top w:val="single" w:sz="4" w:space="0" w:color="auto"/>
              <w:left w:val="nil"/>
              <w:bottom w:val="single" w:sz="4" w:space="0" w:color="auto"/>
              <w:right w:val="single" w:sz="4" w:space="0" w:color="auto"/>
            </w:tcBorders>
            <w:shd w:val="clear" w:color="000000" w:fill="FFFF00"/>
            <w:noWrap/>
            <w:vAlign w:val="bottom"/>
            <w:hideMark/>
          </w:tcPr>
          <w:p w14:paraId="01E26DAA"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50.00%</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14:paraId="6695C748"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100.00%</w:t>
            </w:r>
          </w:p>
        </w:tc>
        <w:tc>
          <w:tcPr>
            <w:tcW w:w="98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1B0AFBAA"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61.54%</w:t>
            </w:r>
          </w:p>
        </w:tc>
        <w:tc>
          <w:tcPr>
            <w:tcW w:w="126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F655F75"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58.70%</w:t>
            </w:r>
          </w:p>
        </w:tc>
        <w:tc>
          <w:tcPr>
            <w:tcW w:w="1078" w:type="dxa"/>
            <w:tcBorders>
              <w:top w:val="nil"/>
              <w:left w:val="nil"/>
              <w:bottom w:val="single" w:sz="4" w:space="0" w:color="auto"/>
              <w:right w:val="single" w:sz="4" w:space="0" w:color="auto"/>
            </w:tcBorders>
            <w:shd w:val="clear" w:color="auto" w:fill="auto"/>
            <w:noWrap/>
            <w:vAlign w:val="bottom"/>
            <w:hideMark/>
          </w:tcPr>
          <w:p w14:paraId="3F0BD5E8"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75.00%</w:t>
            </w:r>
          </w:p>
        </w:tc>
        <w:tc>
          <w:tcPr>
            <w:tcW w:w="875" w:type="dxa"/>
            <w:tcBorders>
              <w:top w:val="nil"/>
              <w:left w:val="nil"/>
              <w:bottom w:val="single" w:sz="4" w:space="0" w:color="auto"/>
              <w:right w:val="single" w:sz="8" w:space="0" w:color="auto"/>
            </w:tcBorders>
            <w:shd w:val="clear" w:color="auto" w:fill="auto"/>
            <w:noWrap/>
            <w:vAlign w:val="bottom"/>
            <w:hideMark/>
          </w:tcPr>
          <w:p w14:paraId="441A0D48"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59.75%</w:t>
            </w:r>
          </w:p>
        </w:tc>
        <w:tc>
          <w:tcPr>
            <w:tcW w:w="980" w:type="dxa"/>
            <w:tcBorders>
              <w:top w:val="single" w:sz="4" w:space="0" w:color="auto"/>
              <w:left w:val="single" w:sz="8" w:space="0" w:color="auto"/>
              <w:bottom w:val="single" w:sz="4" w:space="0" w:color="auto"/>
              <w:right w:val="single" w:sz="4" w:space="0" w:color="auto"/>
            </w:tcBorders>
            <w:shd w:val="clear" w:color="000000" w:fill="FFFF00"/>
            <w:noWrap/>
            <w:vAlign w:val="bottom"/>
            <w:hideMark/>
          </w:tcPr>
          <w:p w14:paraId="367C617E"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52.72%</w:t>
            </w:r>
          </w:p>
        </w:tc>
        <w:tc>
          <w:tcPr>
            <w:tcW w:w="875" w:type="dxa"/>
            <w:tcBorders>
              <w:top w:val="nil"/>
              <w:left w:val="nil"/>
              <w:bottom w:val="single" w:sz="4" w:space="0" w:color="auto"/>
              <w:right w:val="single" w:sz="4" w:space="0" w:color="auto"/>
            </w:tcBorders>
            <w:shd w:val="clear" w:color="auto" w:fill="auto"/>
            <w:noWrap/>
            <w:vAlign w:val="bottom"/>
            <w:hideMark/>
          </w:tcPr>
          <w:p w14:paraId="5CB4EC8C"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62.37%</w:t>
            </w:r>
          </w:p>
        </w:tc>
        <w:tc>
          <w:tcPr>
            <w:tcW w:w="87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3E3A588"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63.95%</w:t>
            </w:r>
          </w:p>
        </w:tc>
        <w:tc>
          <w:tcPr>
            <w:tcW w:w="87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F5210BE"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59.19%</w:t>
            </w:r>
          </w:p>
        </w:tc>
        <w:tc>
          <w:tcPr>
            <w:tcW w:w="1078" w:type="dxa"/>
            <w:tcBorders>
              <w:top w:val="nil"/>
              <w:left w:val="nil"/>
              <w:bottom w:val="single" w:sz="4" w:space="0" w:color="auto"/>
              <w:right w:val="single" w:sz="4" w:space="0" w:color="auto"/>
            </w:tcBorders>
            <w:shd w:val="clear" w:color="auto" w:fill="auto"/>
            <w:noWrap/>
            <w:vAlign w:val="bottom"/>
            <w:hideMark/>
          </w:tcPr>
          <w:p w14:paraId="3A594E06"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54.08%</w:t>
            </w:r>
          </w:p>
        </w:tc>
        <w:tc>
          <w:tcPr>
            <w:tcW w:w="960" w:type="dxa"/>
            <w:tcBorders>
              <w:top w:val="nil"/>
              <w:left w:val="nil"/>
              <w:bottom w:val="single" w:sz="4" w:space="0" w:color="auto"/>
              <w:right w:val="single" w:sz="8" w:space="0" w:color="auto"/>
            </w:tcBorders>
            <w:shd w:val="clear" w:color="auto" w:fill="auto"/>
            <w:noWrap/>
            <w:vAlign w:val="bottom"/>
            <w:hideMark/>
          </w:tcPr>
          <w:p w14:paraId="0F12FF8B"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59.41%</w:t>
            </w:r>
          </w:p>
        </w:tc>
      </w:tr>
      <w:tr w:rsidR="001376A0" w:rsidRPr="002D07B8" w14:paraId="43FFD1B5" w14:textId="77777777" w:rsidTr="001376A0">
        <w:trPr>
          <w:trHeight w:val="290"/>
        </w:trPr>
        <w:tc>
          <w:tcPr>
            <w:tcW w:w="2540" w:type="dxa"/>
            <w:tcBorders>
              <w:top w:val="nil"/>
              <w:left w:val="single" w:sz="8" w:space="0" w:color="auto"/>
              <w:bottom w:val="single" w:sz="4" w:space="0" w:color="auto"/>
              <w:right w:val="single" w:sz="8" w:space="0" w:color="auto"/>
            </w:tcBorders>
            <w:shd w:val="clear" w:color="auto" w:fill="auto"/>
            <w:noWrap/>
            <w:vAlign w:val="center"/>
            <w:hideMark/>
          </w:tcPr>
          <w:p w14:paraId="0F49709B" w14:textId="77777777" w:rsidR="001376A0" w:rsidRPr="002D07B8" w:rsidRDefault="001376A0" w:rsidP="001376A0">
            <w:pPr>
              <w:rPr>
                <w:rFonts w:asciiTheme="minorHAnsi" w:hAnsiTheme="minorHAnsi" w:cstheme="minorHAnsi"/>
                <w:b/>
                <w:bCs/>
                <w:color w:val="000000"/>
                <w:szCs w:val="22"/>
              </w:rPr>
            </w:pPr>
            <w:r w:rsidRPr="002D07B8">
              <w:rPr>
                <w:rFonts w:asciiTheme="minorHAnsi" w:hAnsiTheme="minorHAnsi" w:cstheme="minorHAnsi"/>
                <w:b/>
                <w:bCs/>
                <w:color w:val="000000"/>
                <w:szCs w:val="22"/>
              </w:rPr>
              <w:t>4 North Central</w:t>
            </w:r>
          </w:p>
        </w:tc>
        <w:tc>
          <w:tcPr>
            <w:tcW w:w="987" w:type="dxa"/>
            <w:tcBorders>
              <w:top w:val="nil"/>
              <w:left w:val="nil"/>
              <w:bottom w:val="single" w:sz="4" w:space="0" w:color="auto"/>
              <w:right w:val="single" w:sz="4" w:space="0" w:color="auto"/>
            </w:tcBorders>
            <w:shd w:val="clear" w:color="auto" w:fill="auto"/>
            <w:noWrap/>
            <w:vAlign w:val="bottom"/>
            <w:hideMark/>
          </w:tcPr>
          <w:p w14:paraId="0F7194DF"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68.75%</w:t>
            </w:r>
          </w:p>
        </w:tc>
        <w:tc>
          <w:tcPr>
            <w:tcW w:w="98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1368E916"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44.00%</w:t>
            </w:r>
          </w:p>
        </w:tc>
        <w:tc>
          <w:tcPr>
            <w:tcW w:w="98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AC29BB4"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65.38%</w:t>
            </w:r>
          </w:p>
        </w:tc>
        <w:tc>
          <w:tcPr>
            <w:tcW w:w="126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DC1065"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56.12%</w:t>
            </w:r>
          </w:p>
        </w:tc>
        <w:tc>
          <w:tcPr>
            <w:tcW w:w="1078" w:type="dxa"/>
            <w:tcBorders>
              <w:top w:val="nil"/>
              <w:left w:val="nil"/>
              <w:bottom w:val="single" w:sz="4" w:space="0" w:color="auto"/>
              <w:right w:val="single" w:sz="4" w:space="0" w:color="auto"/>
            </w:tcBorders>
            <w:shd w:val="clear" w:color="auto" w:fill="auto"/>
            <w:noWrap/>
            <w:vAlign w:val="bottom"/>
            <w:hideMark/>
          </w:tcPr>
          <w:p w14:paraId="536DE1E2"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68.97%</w:t>
            </w:r>
          </w:p>
        </w:tc>
        <w:tc>
          <w:tcPr>
            <w:tcW w:w="875" w:type="dxa"/>
            <w:tcBorders>
              <w:top w:val="nil"/>
              <w:left w:val="nil"/>
              <w:bottom w:val="single" w:sz="4" w:space="0" w:color="auto"/>
              <w:right w:val="single" w:sz="8" w:space="0" w:color="auto"/>
            </w:tcBorders>
            <w:shd w:val="clear" w:color="auto" w:fill="auto"/>
            <w:noWrap/>
            <w:vAlign w:val="bottom"/>
            <w:hideMark/>
          </w:tcPr>
          <w:p w14:paraId="397F8A39"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56.47%</w:t>
            </w:r>
          </w:p>
        </w:tc>
        <w:tc>
          <w:tcPr>
            <w:tcW w:w="980" w:type="dxa"/>
            <w:tcBorders>
              <w:top w:val="nil"/>
              <w:left w:val="nil"/>
              <w:bottom w:val="single" w:sz="4" w:space="0" w:color="auto"/>
              <w:right w:val="single" w:sz="4" w:space="0" w:color="auto"/>
            </w:tcBorders>
            <w:shd w:val="clear" w:color="auto" w:fill="auto"/>
            <w:noWrap/>
            <w:vAlign w:val="bottom"/>
            <w:hideMark/>
          </w:tcPr>
          <w:p w14:paraId="6CE66E7E"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55.44%</w:t>
            </w:r>
          </w:p>
        </w:tc>
        <w:tc>
          <w:tcPr>
            <w:tcW w:w="87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F29C40B"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53.19%</w:t>
            </w:r>
          </w:p>
        </w:tc>
        <w:tc>
          <w:tcPr>
            <w:tcW w:w="87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052C5F7"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65.88%</w:t>
            </w:r>
          </w:p>
        </w:tc>
        <w:tc>
          <w:tcPr>
            <w:tcW w:w="87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2818B1E"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57.90%</w:t>
            </w:r>
          </w:p>
        </w:tc>
        <w:tc>
          <w:tcPr>
            <w:tcW w:w="1078" w:type="dxa"/>
            <w:tcBorders>
              <w:top w:val="nil"/>
              <w:left w:val="nil"/>
              <w:bottom w:val="single" w:sz="4" w:space="0" w:color="auto"/>
              <w:right w:val="single" w:sz="4" w:space="0" w:color="auto"/>
            </w:tcBorders>
            <w:shd w:val="clear" w:color="auto" w:fill="auto"/>
            <w:noWrap/>
            <w:vAlign w:val="bottom"/>
            <w:hideMark/>
          </w:tcPr>
          <w:p w14:paraId="1EC2D771"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54.08%</w:t>
            </w:r>
          </w:p>
        </w:tc>
        <w:tc>
          <w:tcPr>
            <w:tcW w:w="960" w:type="dxa"/>
            <w:tcBorders>
              <w:top w:val="nil"/>
              <w:left w:val="nil"/>
              <w:bottom w:val="single" w:sz="4" w:space="0" w:color="auto"/>
              <w:right w:val="single" w:sz="8" w:space="0" w:color="auto"/>
            </w:tcBorders>
            <w:shd w:val="clear" w:color="auto" w:fill="auto"/>
            <w:noWrap/>
            <w:vAlign w:val="bottom"/>
            <w:hideMark/>
          </w:tcPr>
          <w:p w14:paraId="33CFBFDA"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57.91%</w:t>
            </w:r>
          </w:p>
        </w:tc>
      </w:tr>
      <w:tr w:rsidR="001376A0" w:rsidRPr="002D07B8" w14:paraId="6B3E958A" w14:textId="77777777" w:rsidTr="001376A0">
        <w:trPr>
          <w:trHeight w:val="290"/>
        </w:trPr>
        <w:tc>
          <w:tcPr>
            <w:tcW w:w="2540" w:type="dxa"/>
            <w:tcBorders>
              <w:top w:val="nil"/>
              <w:left w:val="single" w:sz="8" w:space="0" w:color="auto"/>
              <w:bottom w:val="single" w:sz="4" w:space="0" w:color="auto"/>
              <w:right w:val="single" w:sz="8" w:space="0" w:color="auto"/>
            </w:tcBorders>
            <w:shd w:val="clear" w:color="auto" w:fill="auto"/>
            <w:noWrap/>
            <w:vAlign w:val="center"/>
            <w:hideMark/>
          </w:tcPr>
          <w:p w14:paraId="481CD97B" w14:textId="77777777" w:rsidR="001376A0" w:rsidRPr="002D07B8" w:rsidRDefault="001376A0" w:rsidP="001376A0">
            <w:pPr>
              <w:rPr>
                <w:rFonts w:asciiTheme="minorHAnsi" w:hAnsiTheme="minorHAnsi" w:cstheme="minorHAnsi"/>
                <w:b/>
                <w:bCs/>
                <w:color w:val="000000"/>
                <w:szCs w:val="22"/>
              </w:rPr>
            </w:pPr>
            <w:r w:rsidRPr="002D07B8">
              <w:rPr>
                <w:rFonts w:asciiTheme="minorHAnsi" w:hAnsiTheme="minorHAnsi" w:cstheme="minorHAnsi"/>
                <w:b/>
                <w:bCs/>
                <w:color w:val="000000"/>
                <w:szCs w:val="22"/>
              </w:rPr>
              <w:t>5 Tarrant County</w:t>
            </w:r>
          </w:p>
        </w:tc>
        <w:tc>
          <w:tcPr>
            <w:tcW w:w="987" w:type="dxa"/>
            <w:tcBorders>
              <w:top w:val="nil"/>
              <w:left w:val="nil"/>
              <w:bottom w:val="single" w:sz="4" w:space="0" w:color="auto"/>
              <w:right w:val="single" w:sz="4" w:space="0" w:color="auto"/>
            </w:tcBorders>
            <w:shd w:val="clear" w:color="auto" w:fill="auto"/>
            <w:noWrap/>
            <w:vAlign w:val="bottom"/>
            <w:hideMark/>
          </w:tcPr>
          <w:p w14:paraId="15D01D87"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57.14%</w:t>
            </w:r>
          </w:p>
        </w:tc>
        <w:tc>
          <w:tcPr>
            <w:tcW w:w="98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C096F59"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51.16%</w:t>
            </w:r>
          </w:p>
        </w:tc>
        <w:tc>
          <w:tcPr>
            <w:tcW w:w="987" w:type="dxa"/>
            <w:tcBorders>
              <w:top w:val="nil"/>
              <w:left w:val="nil"/>
              <w:bottom w:val="single" w:sz="4" w:space="0" w:color="auto"/>
              <w:right w:val="single" w:sz="4" w:space="0" w:color="auto"/>
            </w:tcBorders>
            <w:shd w:val="clear" w:color="auto" w:fill="auto"/>
            <w:noWrap/>
            <w:vAlign w:val="bottom"/>
            <w:hideMark/>
          </w:tcPr>
          <w:p w14:paraId="4101A916"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72.50%</w:t>
            </w:r>
          </w:p>
        </w:tc>
        <w:tc>
          <w:tcPr>
            <w:tcW w:w="1260" w:type="dxa"/>
            <w:tcBorders>
              <w:top w:val="nil"/>
              <w:left w:val="nil"/>
              <w:bottom w:val="single" w:sz="4" w:space="0" w:color="auto"/>
              <w:right w:val="single" w:sz="4" w:space="0" w:color="auto"/>
            </w:tcBorders>
            <w:shd w:val="clear" w:color="auto" w:fill="auto"/>
            <w:noWrap/>
            <w:vAlign w:val="bottom"/>
            <w:hideMark/>
          </w:tcPr>
          <w:p w14:paraId="77C07F4A"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59.63%</w:t>
            </w:r>
          </w:p>
        </w:tc>
        <w:tc>
          <w:tcPr>
            <w:tcW w:w="1078" w:type="dxa"/>
            <w:tcBorders>
              <w:top w:val="nil"/>
              <w:left w:val="nil"/>
              <w:bottom w:val="single" w:sz="4" w:space="0" w:color="auto"/>
              <w:right w:val="single" w:sz="4" w:space="0" w:color="auto"/>
            </w:tcBorders>
            <w:shd w:val="clear" w:color="auto" w:fill="auto"/>
            <w:noWrap/>
            <w:vAlign w:val="bottom"/>
            <w:hideMark/>
          </w:tcPr>
          <w:p w14:paraId="2EE032F8"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66.67%</w:t>
            </w:r>
          </w:p>
        </w:tc>
        <w:tc>
          <w:tcPr>
            <w:tcW w:w="875" w:type="dxa"/>
            <w:tcBorders>
              <w:top w:val="nil"/>
              <w:left w:val="nil"/>
              <w:bottom w:val="single" w:sz="4" w:space="0" w:color="auto"/>
              <w:right w:val="single" w:sz="8" w:space="0" w:color="auto"/>
            </w:tcBorders>
            <w:shd w:val="clear" w:color="auto" w:fill="auto"/>
            <w:noWrap/>
            <w:vAlign w:val="bottom"/>
            <w:hideMark/>
          </w:tcPr>
          <w:p w14:paraId="6A101BF3"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59.82%</w:t>
            </w:r>
          </w:p>
        </w:tc>
        <w:tc>
          <w:tcPr>
            <w:tcW w:w="980" w:type="dxa"/>
            <w:tcBorders>
              <w:top w:val="nil"/>
              <w:left w:val="nil"/>
              <w:bottom w:val="single" w:sz="4" w:space="0" w:color="auto"/>
              <w:right w:val="single" w:sz="4" w:space="0" w:color="auto"/>
            </w:tcBorders>
            <w:shd w:val="clear" w:color="auto" w:fill="auto"/>
            <w:noWrap/>
            <w:vAlign w:val="bottom"/>
            <w:hideMark/>
          </w:tcPr>
          <w:p w14:paraId="070D1A8A"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55.44%</w:t>
            </w:r>
          </w:p>
        </w:tc>
        <w:tc>
          <w:tcPr>
            <w:tcW w:w="87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1CBFCAC5"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56.77%</w:t>
            </w:r>
          </w:p>
        </w:tc>
        <w:tc>
          <w:tcPr>
            <w:tcW w:w="875" w:type="dxa"/>
            <w:tcBorders>
              <w:top w:val="nil"/>
              <w:left w:val="nil"/>
              <w:bottom w:val="single" w:sz="4" w:space="0" w:color="auto"/>
              <w:right w:val="single" w:sz="4" w:space="0" w:color="auto"/>
            </w:tcBorders>
            <w:shd w:val="clear" w:color="auto" w:fill="auto"/>
            <w:noWrap/>
            <w:vAlign w:val="bottom"/>
            <w:hideMark/>
          </w:tcPr>
          <w:p w14:paraId="04D2A89C"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66.37%</w:t>
            </w:r>
          </w:p>
        </w:tc>
        <w:tc>
          <w:tcPr>
            <w:tcW w:w="87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09B0F43"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59.66%</w:t>
            </w:r>
          </w:p>
        </w:tc>
        <w:tc>
          <w:tcPr>
            <w:tcW w:w="1078" w:type="dxa"/>
            <w:tcBorders>
              <w:top w:val="nil"/>
              <w:left w:val="nil"/>
              <w:bottom w:val="single" w:sz="4" w:space="0" w:color="auto"/>
              <w:right w:val="single" w:sz="4" w:space="0" w:color="auto"/>
            </w:tcBorders>
            <w:shd w:val="clear" w:color="auto" w:fill="auto"/>
            <w:noWrap/>
            <w:vAlign w:val="bottom"/>
            <w:hideMark/>
          </w:tcPr>
          <w:p w14:paraId="77A545B8"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54.08%</w:t>
            </w:r>
          </w:p>
        </w:tc>
        <w:tc>
          <w:tcPr>
            <w:tcW w:w="960" w:type="dxa"/>
            <w:tcBorders>
              <w:top w:val="nil"/>
              <w:left w:val="nil"/>
              <w:bottom w:val="single" w:sz="4" w:space="0" w:color="auto"/>
              <w:right w:val="single" w:sz="8" w:space="0" w:color="auto"/>
            </w:tcBorders>
            <w:shd w:val="clear" w:color="auto" w:fill="auto"/>
            <w:noWrap/>
            <w:vAlign w:val="bottom"/>
            <w:hideMark/>
          </w:tcPr>
          <w:p w14:paraId="1A708F85"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59.57%</w:t>
            </w:r>
          </w:p>
        </w:tc>
      </w:tr>
      <w:tr w:rsidR="001376A0" w:rsidRPr="002D07B8" w14:paraId="3027C518" w14:textId="77777777" w:rsidTr="001376A0">
        <w:trPr>
          <w:trHeight w:val="290"/>
        </w:trPr>
        <w:tc>
          <w:tcPr>
            <w:tcW w:w="2540" w:type="dxa"/>
            <w:tcBorders>
              <w:top w:val="nil"/>
              <w:left w:val="single" w:sz="8" w:space="0" w:color="auto"/>
              <w:bottom w:val="single" w:sz="4" w:space="0" w:color="auto"/>
              <w:right w:val="single" w:sz="8" w:space="0" w:color="auto"/>
            </w:tcBorders>
            <w:shd w:val="clear" w:color="auto" w:fill="auto"/>
            <w:noWrap/>
            <w:vAlign w:val="center"/>
            <w:hideMark/>
          </w:tcPr>
          <w:p w14:paraId="5AFBC020" w14:textId="77777777" w:rsidR="001376A0" w:rsidRPr="002D07B8" w:rsidRDefault="001376A0" w:rsidP="001376A0">
            <w:pPr>
              <w:rPr>
                <w:rFonts w:asciiTheme="minorHAnsi" w:hAnsiTheme="minorHAnsi" w:cstheme="minorHAnsi"/>
                <w:b/>
                <w:bCs/>
                <w:color w:val="000000"/>
                <w:szCs w:val="22"/>
              </w:rPr>
            </w:pPr>
            <w:r w:rsidRPr="002D07B8">
              <w:rPr>
                <w:rFonts w:asciiTheme="minorHAnsi" w:hAnsiTheme="minorHAnsi" w:cstheme="minorHAnsi"/>
                <w:b/>
                <w:bCs/>
                <w:color w:val="000000"/>
                <w:szCs w:val="22"/>
              </w:rPr>
              <w:t>6 Dallas</w:t>
            </w:r>
          </w:p>
        </w:tc>
        <w:tc>
          <w:tcPr>
            <w:tcW w:w="987" w:type="dxa"/>
            <w:tcBorders>
              <w:top w:val="single" w:sz="4" w:space="0" w:color="auto"/>
              <w:left w:val="nil"/>
              <w:bottom w:val="single" w:sz="4" w:space="0" w:color="auto"/>
              <w:right w:val="single" w:sz="4" w:space="0" w:color="auto"/>
            </w:tcBorders>
            <w:shd w:val="clear" w:color="000000" w:fill="FFFF00"/>
            <w:noWrap/>
            <w:vAlign w:val="bottom"/>
            <w:hideMark/>
          </w:tcPr>
          <w:p w14:paraId="0706622C"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50.00%</w:t>
            </w:r>
          </w:p>
        </w:tc>
        <w:tc>
          <w:tcPr>
            <w:tcW w:w="98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1AF0DD98"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52.81%</w:t>
            </w:r>
          </w:p>
        </w:tc>
        <w:tc>
          <w:tcPr>
            <w:tcW w:w="987" w:type="dxa"/>
            <w:tcBorders>
              <w:top w:val="nil"/>
              <w:left w:val="nil"/>
              <w:bottom w:val="single" w:sz="4" w:space="0" w:color="auto"/>
              <w:right w:val="single" w:sz="4" w:space="0" w:color="auto"/>
            </w:tcBorders>
            <w:shd w:val="clear" w:color="auto" w:fill="auto"/>
            <w:noWrap/>
            <w:vAlign w:val="bottom"/>
            <w:hideMark/>
          </w:tcPr>
          <w:p w14:paraId="2571DF1F"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72.41%</w:t>
            </w:r>
          </w:p>
        </w:tc>
        <w:tc>
          <w:tcPr>
            <w:tcW w:w="126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1C896601"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56.68%</w:t>
            </w:r>
          </w:p>
        </w:tc>
        <w:tc>
          <w:tcPr>
            <w:tcW w:w="1078" w:type="dxa"/>
            <w:tcBorders>
              <w:top w:val="nil"/>
              <w:left w:val="nil"/>
              <w:bottom w:val="single" w:sz="4" w:space="0" w:color="auto"/>
              <w:right w:val="single" w:sz="4" w:space="0" w:color="auto"/>
            </w:tcBorders>
            <w:shd w:val="clear" w:color="auto" w:fill="auto"/>
            <w:noWrap/>
            <w:vAlign w:val="bottom"/>
            <w:hideMark/>
          </w:tcPr>
          <w:p w14:paraId="5E1B019D"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58.67%</w:t>
            </w:r>
          </w:p>
        </w:tc>
        <w:tc>
          <w:tcPr>
            <w:tcW w:w="875" w:type="dxa"/>
            <w:tcBorders>
              <w:top w:val="nil"/>
              <w:left w:val="nil"/>
              <w:bottom w:val="single" w:sz="4" w:space="0" w:color="auto"/>
              <w:right w:val="single" w:sz="8" w:space="0" w:color="auto"/>
            </w:tcBorders>
            <w:shd w:val="clear" w:color="auto" w:fill="auto"/>
            <w:noWrap/>
            <w:vAlign w:val="bottom"/>
            <w:hideMark/>
          </w:tcPr>
          <w:p w14:paraId="4D19C84A"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56.72%</w:t>
            </w:r>
          </w:p>
        </w:tc>
        <w:tc>
          <w:tcPr>
            <w:tcW w:w="980" w:type="dxa"/>
            <w:tcBorders>
              <w:top w:val="single" w:sz="4" w:space="0" w:color="auto"/>
              <w:left w:val="single" w:sz="8" w:space="0" w:color="auto"/>
              <w:bottom w:val="single" w:sz="4" w:space="0" w:color="auto"/>
              <w:right w:val="single" w:sz="4" w:space="0" w:color="auto"/>
            </w:tcBorders>
            <w:shd w:val="clear" w:color="000000" w:fill="FFFF00"/>
            <w:noWrap/>
            <w:vAlign w:val="bottom"/>
            <w:hideMark/>
          </w:tcPr>
          <w:p w14:paraId="71259A11"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52.72%</w:t>
            </w:r>
          </w:p>
        </w:tc>
        <w:tc>
          <w:tcPr>
            <w:tcW w:w="87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A94808D"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57.59%</w:t>
            </w:r>
          </w:p>
        </w:tc>
        <w:tc>
          <w:tcPr>
            <w:tcW w:w="875" w:type="dxa"/>
            <w:tcBorders>
              <w:top w:val="nil"/>
              <w:left w:val="nil"/>
              <w:bottom w:val="single" w:sz="4" w:space="0" w:color="auto"/>
              <w:right w:val="single" w:sz="4" w:space="0" w:color="auto"/>
            </w:tcBorders>
            <w:shd w:val="clear" w:color="auto" w:fill="auto"/>
            <w:noWrap/>
            <w:vAlign w:val="bottom"/>
            <w:hideMark/>
          </w:tcPr>
          <w:p w14:paraId="3E147D29"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66.37%</w:t>
            </w:r>
          </w:p>
        </w:tc>
        <w:tc>
          <w:tcPr>
            <w:tcW w:w="87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31262DD"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58.18%</w:t>
            </w:r>
          </w:p>
        </w:tc>
        <w:tc>
          <w:tcPr>
            <w:tcW w:w="1078" w:type="dxa"/>
            <w:tcBorders>
              <w:top w:val="nil"/>
              <w:left w:val="nil"/>
              <w:bottom w:val="single" w:sz="4" w:space="0" w:color="auto"/>
              <w:right w:val="single" w:sz="4" w:space="0" w:color="auto"/>
            </w:tcBorders>
            <w:shd w:val="clear" w:color="auto" w:fill="auto"/>
            <w:noWrap/>
            <w:vAlign w:val="bottom"/>
            <w:hideMark/>
          </w:tcPr>
          <w:p w14:paraId="63679160"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54.08%</w:t>
            </w:r>
          </w:p>
        </w:tc>
        <w:tc>
          <w:tcPr>
            <w:tcW w:w="960" w:type="dxa"/>
            <w:tcBorders>
              <w:top w:val="nil"/>
              <w:left w:val="nil"/>
              <w:bottom w:val="single" w:sz="4" w:space="0" w:color="auto"/>
              <w:right w:val="single" w:sz="8" w:space="0" w:color="auto"/>
            </w:tcBorders>
            <w:shd w:val="clear" w:color="auto" w:fill="auto"/>
            <w:noWrap/>
            <w:vAlign w:val="bottom"/>
            <w:hideMark/>
          </w:tcPr>
          <w:p w14:paraId="1740E898"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58.12%</w:t>
            </w:r>
          </w:p>
        </w:tc>
      </w:tr>
      <w:tr w:rsidR="001376A0" w:rsidRPr="002D07B8" w14:paraId="22D95E21" w14:textId="77777777" w:rsidTr="001376A0">
        <w:trPr>
          <w:trHeight w:val="290"/>
        </w:trPr>
        <w:tc>
          <w:tcPr>
            <w:tcW w:w="2540" w:type="dxa"/>
            <w:tcBorders>
              <w:top w:val="nil"/>
              <w:left w:val="single" w:sz="8" w:space="0" w:color="auto"/>
              <w:bottom w:val="single" w:sz="4" w:space="0" w:color="auto"/>
              <w:right w:val="single" w:sz="8" w:space="0" w:color="auto"/>
            </w:tcBorders>
            <w:shd w:val="clear" w:color="auto" w:fill="auto"/>
            <w:noWrap/>
            <w:vAlign w:val="center"/>
            <w:hideMark/>
          </w:tcPr>
          <w:p w14:paraId="00C0F434" w14:textId="77777777" w:rsidR="001376A0" w:rsidRPr="002D07B8" w:rsidRDefault="001376A0" w:rsidP="001376A0">
            <w:pPr>
              <w:rPr>
                <w:rFonts w:asciiTheme="minorHAnsi" w:hAnsiTheme="minorHAnsi" w:cstheme="minorHAnsi"/>
                <w:b/>
                <w:bCs/>
                <w:color w:val="000000"/>
                <w:szCs w:val="22"/>
              </w:rPr>
            </w:pPr>
            <w:r w:rsidRPr="002D07B8">
              <w:rPr>
                <w:rFonts w:asciiTheme="minorHAnsi" w:hAnsiTheme="minorHAnsi" w:cstheme="minorHAnsi"/>
                <w:b/>
                <w:bCs/>
                <w:color w:val="000000"/>
                <w:szCs w:val="22"/>
              </w:rPr>
              <w:t>7 North East Texas</w:t>
            </w:r>
          </w:p>
        </w:tc>
        <w:tc>
          <w:tcPr>
            <w:tcW w:w="987" w:type="dxa"/>
            <w:tcBorders>
              <w:top w:val="single" w:sz="4" w:space="0" w:color="auto"/>
              <w:left w:val="nil"/>
              <w:bottom w:val="single" w:sz="4" w:space="0" w:color="auto"/>
              <w:right w:val="single" w:sz="4" w:space="0" w:color="auto"/>
            </w:tcBorders>
            <w:shd w:val="clear" w:color="000000" w:fill="FFFF00"/>
            <w:noWrap/>
            <w:vAlign w:val="bottom"/>
            <w:hideMark/>
          </w:tcPr>
          <w:p w14:paraId="05651123"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0.00%</w:t>
            </w:r>
          </w:p>
        </w:tc>
        <w:tc>
          <w:tcPr>
            <w:tcW w:w="98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114F1F92"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0.00%</w:t>
            </w:r>
          </w:p>
        </w:tc>
        <w:tc>
          <w:tcPr>
            <w:tcW w:w="98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37AD753"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60.00%</w:t>
            </w:r>
          </w:p>
        </w:tc>
        <w:tc>
          <w:tcPr>
            <w:tcW w:w="1260" w:type="dxa"/>
            <w:tcBorders>
              <w:top w:val="nil"/>
              <w:left w:val="nil"/>
              <w:bottom w:val="single" w:sz="4" w:space="0" w:color="auto"/>
              <w:right w:val="single" w:sz="4" w:space="0" w:color="auto"/>
            </w:tcBorders>
            <w:shd w:val="clear" w:color="auto" w:fill="auto"/>
            <w:noWrap/>
            <w:vAlign w:val="bottom"/>
            <w:hideMark/>
          </w:tcPr>
          <w:p w14:paraId="3AA356F6"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65.01%</w:t>
            </w:r>
          </w:p>
        </w:tc>
        <w:tc>
          <w:tcPr>
            <w:tcW w:w="1078" w:type="dxa"/>
            <w:tcBorders>
              <w:top w:val="nil"/>
              <w:left w:val="nil"/>
              <w:bottom w:val="single" w:sz="4" w:space="0" w:color="auto"/>
              <w:right w:val="single" w:sz="4" w:space="0" w:color="auto"/>
            </w:tcBorders>
            <w:shd w:val="clear" w:color="auto" w:fill="auto"/>
            <w:noWrap/>
            <w:vAlign w:val="bottom"/>
            <w:hideMark/>
          </w:tcPr>
          <w:p w14:paraId="274BF62F"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54.55%</w:t>
            </w:r>
          </w:p>
        </w:tc>
        <w:tc>
          <w:tcPr>
            <w:tcW w:w="875" w:type="dxa"/>
            <w:tcBorders>
              <w:top w:val="nil"/>
              <w:left w:val="nil"/>
              <w:bottom w:val="single" w:sz="4" w:space="0" w:color="auto"/>
              <w:right w:val="single" w:sz="8" w:space="0" w:color="auto"/>
            </w:tcBorders>
            <w:shd w:val="clear" w:color="auto" w:fill="auto"/>
            <w:noWrap/>
            <w:vAlign w:val="bottom"/>
            <w:hideMark/>
          </w:tcPr>
          <w:p w14:paraId="2830223F"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63.97%</w:t>
            </w:r>
          </w:p>
        </w:tc>
        <w:tc>
          <w:tcPr>
            <w:tcW w:w="980" w:type="dxa"/>
            <w:tcBorders>
              <w:top w:val="single" w:sz="4" w:space="0" w:color="auto"/>
              <w:left w:val="single" w:sz="8" w:space="0" w:color="auto"/>
              <w:bottom w:val="single" w:sz="4" w:space="0" w:color="auto"/>
              <w:right w:val="single" w:sz="4" w:space="0" w:color="auto"/>
            </w:tcBorders>
            <w:shd w:val="clear" w:color="000000" w:fill="FFFF00"/>
            <w:noWrap/>
            <w:vAlign w:val="bottom"/>
            <w:hideMark/>
          </w:tcPr>
          <w:p w14:paraId="599E9511"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27.72%</w:t>
            </w:r>
          </w:p>
        </w:tc>
        <w:tc>
          <w:tcPr>
            <w:tcW w:w="87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3C98046"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31.19%</w:t>
            </w:r>
          </w:p>
        </w:tc>
        <w:tc>
          <w:tcPr>
            <w:tcW w:w="87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44AC1C3"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63.19%</w:t>
            </w:r>
          </w:p>
        </w:tc>
        <w:tc>
          <w:tcPr>
            <w:tcW w:w="875" w:type="dxa"/>
            <w:tcBorders>
              <w:top w:val="nil"/>
              <w:left w:val="nil"/>
              <w:bottom w:val="single" w:sz="4" w:space="0" w:color="auto"/>
              <w:right w:val="single" w:sz="4" w:space="0" w:color="auto"/>
            </w:tcBorders>
            <w:shd w:val="clear" w:color="auto" w:fill="auto"/>
            <w:noWrap/>
            <w:vAlign w:val="bottom"/>
            <w:hideMark/>
          </w:tcPr>
          <w:p w14:paraId="52F848DB"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59.69%</w:t>
            </w:r>
          </w:p>
        </w:tc>
        <w:tc>
          <w:tcPr>
            <w:tcW w:w="1078" w:type="dxa"/>
            <w:tcBorders>
              <w:top w:val="nil"/>
              <w:left w:val="nil"/>
              <w:bottom w:val="single" w:sz="4" w:space="0" w:color="auto"/>
              <w:right w:val="single" w:sz="4" w:space="0" w:color="auto"/>
            </w:tcBorders>
            <w:shd w:val="clear" w:color="auto" w:fill="auto"/>
            <w:noWrap/>
            <w:vAlign w:val="bottom"/>
            <w:hideMark/>
          </w:tcPr>
          <w:p w14:paraId="1A0FCC6F"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54.08%</w:t>
            </w:r>
          </w:p>
        </w:tc>
        <w:tc>
          <w:tcPr>
            <w:tcW w:w="960" w:type="dxa"/>
            <w:tcBorders>
              <w:top w:val="nil"/>
              <w:left w:val="nil"/>
              <w:bottom w:val="single" w:sz="4" w:space="0" w:color="auto"/>
              <w:right w:val="single" w:sz="8" w:space="0" w:color="auto"/>
            </w:tcBorders>
            <w:shd w:val="clear" w:color="auto" w:fill="auto"/>
            <w:noWrap/>
            <w:vAlign w:val="bottom"/>
            <w:hideMark/>
          </w:tcPr>
          <w:p w14:paraId="6B226DC0"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59.34%</w:t>
            </w:r>
          </w:p>
        </w:tc>
      </w:tr>
      <w:tr w:rsidR="001376A0" w:rsidRPr="002D07B8" w14:paraId="0C3740C2" w14:textId="77777777" w:rsidTr="001376A0">
        <w:trPr>
          <w:trHeight w:val="290"/>
        </w:trPr>
        <w:tc>
          <w:tcPr>
            <w:tcW w:w="2540" w:type="dxa"/>
            <w:tcBorders>
              <w:top w:val="nil"/>
              <w:left w:val="single" w:sz="8" w:space="0" w:color="auto"/>
              <w:bottom w:val="single" w:sz="4" w:space="0" w:color="auto"/>
              <w:right w:val="single" w:sz="8" w:space="0" w:color="auto"/>
            </w:tcBorders>
            <w:shd w:val="clear" w:color="auto" w:fill="auto"/>
            <w:noWrap/>
            <w:vAlign w:val="center"/>
            <w:hideMark/>
          </w:tcPr>
          <w:p w14:paraId="07FCE9BD" w14:textId="77777777" w:rsidR="001376A0" w:rsidRPr="002D07B8" w:rsidRDefault="001376A0" w:rsidP="001376A0">
            <w:pPr>
              <w:rPr>
                <w:rFonts w:asciiTheme="minorHAnsi" w:hAnsiTheme="minorHAnsi" w:cstheme="minorHAnsi"/>
                <w:b/>
                <w:bCs/>
                <w:color w:val="000000"/>
                <w:szCs w:val="22"/>
              </w:rPr>
            </w:pPr>
            <w:r w:rsidRPr="002D07B8">
              <w:rPr>
                <w:rFonts w:asciiTheme="minorHAnsi" w:hAnsiTheme="minorHAnsi" w:cstheme="minorHAnsi"/>
                <w:b/>
                <w:bCs/>
                <w:color w:val="000000"/>
                <w:szCs w:val="22"/>
              </w:rPr>
              <w:t>8 East Texas</w:t>
            </w:r>
          </w:p>
        </w:tc>
        <w:tc>
          <w:tcPr>
            <w:tcW w:w="987" w:type="dxa"/>
            <w:tcBorders>
              <w:top w:val="nil"/>
              <w:left w:val="nil"/>
              <w:bottom w:val="single" w:sz="4" w:space="0" w:color="auto"/>
              <w:right w:val="single" w:sz="4" w:space="0" w:color="auto"/>
            </w:tcBorders>
            <w:shd w:val="clear" w:color="auto" w:fill="auto"/>
            <w:noWrap/>
            <w:vAlign w:val="bottom"/>
            <w:hideMark/>
          </w:tcPr>
          <w:p w14:paraId="0C9FB1A8"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66.67%</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14:paraId="656F4422"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66.67%</w:t>
            </w:r>
          </w:p>
        </w:tc>
        <w:tc>
          <w:tcPr>
            <w:tcW w:w="987" w:type="dxa"/>
            <w:tcBorders>
              <w:top w:val="nil"/>
              <w:left w:val="nil"/>
              <w:bottom w:val="single" w:sz="4" w:space="0" w:color="auto"/>
              <w:right w:val="single" w:sz="4" w:space="0" w:color="auto"/>
            </w:tcBorders>
            <w:shd w:val="clear" w:color="auto" w:fill="auto"/>
            <w:noWrap/>
            <w:vAlign w:val="bottom"/>
            <w:hideMark/>
          </w:tcPr>
          <w:p w14:paraId="7895BED7"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73.13%</w:t>
            </w:r>
          </w:p>
        </w:tc>
        <w:tc>
          <w:tcPr>
            <w:tcW w:w="1260" w:type="dxa"/>
            <w:tcBorders>
              <w:top w:val="nil"/>
              <w:left w:val="nil"/>
              <w:bottom w:val="single" w:sz="4" w:space="0" w:color="auto"/>
              <w:right w:val="single" w:sz="4" w:space="0" w:color="auto"/>
            </w:tcBorders>
            <w:shd w:val="clear" w:color="auto" w:fill="auto"/>
            <w:noWrap/>
            <w:vAlign w:val="bottom"/>
            <w:hideMark/>
          </w:tcPr>
          <w:p w14:paraId="23C72CED"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61.55%</w:t>
            </w:r>
          </w:p>
        </w:tc>
        <w:tc>
          <w:tcPr>
            <w:tcW w:w="1078" w:type="dxa"/>
            <w:tcBorders>
              <w:top w:val="nil"/>
              <w:left w:val="nil"/>
              <w:bottom w:val="single" w:sz="4" w:space="0" w:color="auto"/>
              <w:right w:val="single" w:sz="4" w:space="0" w:color="auto"/>
            </w:tcBorders>
            <w:shd w:val="clear" w:color="auto" w:fill="auto"/>
            <w:noWrap/>
            <w:vAlign w:val="bottom"/>
            <w:hideMark/>
          </w:tcPr>
          <w:p w14:paraId="2B134C74"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62.50%</w:t>
            </w:r>
          </w:p>
        </w:tc>
        <w:tc>
          <w:tcPr>
            <w:tcW w:w="875" w:type="dxa"/>
            <w:tcBorders>
              <w:top w:val="nil"/>
              <w:left w:val="nil"/>
              <w:bottom w:val="single" w:sz="4" w:space="0" w:color="auto"/>
              <w:right w:val="single" w:sz="8" w:space="0" w:color="auto"/>
            </w:tcBorders>
            <w:shd w:val="clear" w:color="auto" w:fill="auto"/>
            <w:noWrap/>
            <w:vAlign w:val="bottom"/>
            <w:hideMark/>
          </w:tcPr>
          <w:p w14:paraId="1E68B524"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62.54%</w:t>
            </w:r>
          </w:p>
        </w:tc>
        <w:tc>
          <w:tcPr>
            <w:tcW w:w="980" w:type="dxa"/>
            <w:tcBorders>
              <w:top w:val="nil"/>
              <w:left w:val="nil"/>
              <w:bottom w:val="single" w:sz="4" w:space="0" w:color="auto"/>
              <w:right w:val="single" w:sz="4" w:space="0" w:color="auto"/>
            </w:tcBorders>
            <w:shd w:val="clear" w:color="auto" w:fill="auto"/>
            <w:noWrap/>
            <w:vAlign w:val="bottom"/>
            <w:hideMark/>
          </w:tcPr>
          <w:p w14:paraId="31F9E5FE"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55.44%</w:t>
            </w:r>
          </w:p>
        </w:tc>
        <w:tc>
          <w:tcPr>
            <w:tcW w:w="875" w:type="dxa"/>
            <w:tcBorders>
              <w:top w:val="nil"/>
              <w:left w:val="nil"/>
              <w:bottom w:val="single" w:sz="4" w:space="0" w:color="auto"/>
              <w:right w:val="single" w:sz="4" w:space="0" w:color="auto"/>
            </w:tcBorders>
            <w:shd w:val="clear" w:color="auto" w:fill="auto"/>
            <w:noWrap/>
            <w:vAlign w:val="bottom"/>
            <w:hideMark/>
          </w:tcPr>
          <w:p w14:paraId="5AF918CA"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62.37%</w:t>
            </w:r>
          </w:p>
        </w:tc>
        <w:tc>
          <w:tcPr>
            <w:tcW w:w="875" w:type="dxa"/>
            <w:tcBorders>
              <w:top w:val="nil"/>
              <w:left w:val="nil"/>
              <w:bottom w:val="single" w:sz="4" w:space="0" w:color="auto"/>
              <w:right w:val="single" w:sz="4" w:space="0" w:color="auto"/>
            </w:tcBorders>
            <w:shd w:val="clear" w:color="auto" w:fill="auto"/>
            <w:noWrap/>
            <w:vAlign w:val="bottom"/>
            <w:hideMark/>
          </w:tcPr>
          <w:p w14:paraId="2138DD38"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66.37%</w:t>
            </w:r>
          </w:p>
        </w:tc>
        <w:tc>
          <w:tcPr>
            <w:tcW w:w="875" w:type="dxa"/>
            <w:tcBorders>
              <w:top w:val="nil"/>
              <w:left w:val="nil"/>
              <w:bottom w:val="single" w:sz="4" w:space="0" w:color="auto"/>
              <w:right w:val="single" w:sz="4" w:space="0" w:color="auto"/>
            </w:tcBorders>
            <w:shd w:val="clear" w:color="auto" w:fill="auto"/>
            <w:noWrap/>
            <w:vAlign w:val="bottom"/>
            <w:hideMark/>
          </w:tcPr>
          <w:p w14:paraId="1D8B6D09"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59.69%</w:t>
            </w:r>
          </w:p>
        </w:tc>
        <w:tc>
          <w:tcPr>
            <w:tcW w:w="1078" w:type="dxa"/>
            <w:tcBorders>
              <w:top w:val="nil"/>
              <w:left w:val="nil"/>
              <w:bottom w:val="single" w:sz="4" w:space="0" w:color="auto"/>
              <w:right w:val="single" w:sz="4" w:space="0" w:color="auto"/>
            </w:tcBorders>
            <w:shd w:val="clear" w:color="auto" w:fill="auto"/>
            <w:noWrap/>
            <w:vAlign w:val="bottom"/>
            <w:hideMark/>
          </w:tcPr>
          <w:p w14:paraId="08E2B4E2"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54.08%</w:t>
            </w:r>
          </w:p>
        </w:tc>
        <w:tc>
          <w:tcPr>
            <w:tcW w:w="960" w:type="dxa"/>
            <w:tcBorders>
              <w:top w:val="nil"/>
              <w:left w:val="nil"/>
              <w:bottom w:val="single" w:sz="4" w:space="0" w:color="auto"/>
              <w:right w:val="single" w:sz="8" w:space="0" w:color="auto"/>
            </w:tcBorders>
            <w:shd w:val="clear" w:color="auto" w:fill="auto"/>
            <w:noWrap/>
            <w:vAlign w:val="bottom"/>
            <w:hideMark/>
          </w:tcPr>
          <w:p w14:paraId="7C4207EE"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60.00%</w:t>
            </w:r>
          </w:p>
        </w:tc>
      </w:tr>
      <w:tr w:rsidR="001376A0" w:rsidRPr="002D07B8" w14:paraId="61FED9D3" w14:textId="77777777" w:rsidTr="001376A0">
        <w:trPr>
          <w:trHeight w:val="290"/>
        </w:trPr>
        <w:tc>
          <w:tcPr>
            <w:tcW w:w="2540" w:type="dxa"/>
            <w:tcBorders>
              <w:top w:val="nil"/>
              <w:left w:val="single" w:sz="8" w:space="0" w:color="auto"/>
              <w:bottom w:val="single" w:sz="4" w:space="0" w:color="auto"/>
              <w:right w:val="single" w:sz="8" w:space="0" w:color="auto"/>
            </w:tcBorders>
            <w:shd w:val="clear" w:color="auto" w:fill="auto"/>
            <w:noWrap/>
            <w:vAlign w:val="center"/>
            <w:hideMark/>
          </w:tcPr>
          <w:p w14:paraId="3EBBF95D" w14:textId="77777777" w:rsidR="001376A0" w:rsidRPr="002D07B8" w:rsidRDefault="001376A0" w:rsidP="001376A0">
            <w:pPr>
              <w:rPr>
                <w:rFonts w:asciiTheme="minorHAnsi" w:hAnsiTheme="minorHAnsi" w:cstheme="minorHAnsi"/>
                <w:b/>
                <w:bCs/>
                <w:color w:val="000000"/>
                <w:szCs w:val="22"/>
              </w:rPr>
            </w:pPr>
            <w:r w:rsidRPr="002D07B8">
              <w:rPr>
                <w:rFonts w:asciiTheme="minorHAnsi" w:hAnsiTheme="minorHAnsi" w:cstheme="minorHAnsi"/>
                <w:b/>
                <w:bCs/>
                <w:color w:val="000000"/>
                <w:szCs w:val="22"/>
              </w:rPr>
              <w:t>9 West Central Texas</w:t>
            </w:r>
          </w:p>
        </w:tc>
        <w:tc>
          <w:tcPr>
            <w:tcW w:w="987" w:type="dxa"/>
            <w:tcBorders>
              <w:top w:val="nil"/>
              <w:left w:val="nil"/>
              <w:bottom w:val="single" w:sz="4" w:space="0" w:color="auto"/>
              <w:right w:val="single" w:sz="4" w:space="0" w:color="auto"/>
            </w:tcBorders>
            <w:shd w:val="clear" w:color="auto" w:fill="auto"/>
            <w:noWrap/>
            <w:vAlign w:val="bottom"/>
            <w:hideMark/>
          </w:tcPr>
          <w:p w14:paraId="4C5A490A"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NA</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14:paraId="3EB0DFD2"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100.00%</w:t>
            </w:r>
          </w:p>
        </w:tc>
        <w:tc>
          <w:tcPr>
            <w:tcW w:w="987" w:type="dxa"/>
            <w:tcBorders>
              <w:top w:val="nil"/>
              <w:left w:val="nil"/>
              <w:bottom w:val="single" w:sz="4" w:space="0" w:color="auto"/>
              <w:right w:val="single" w:sz="4" w:space="0" w:color="auto"/>
            </w:tcBorders>
            <w:shd w:val="clear" w:color="auto" w:fill="auto"/>
            <w:noWrap/>
            <w:vAlign w:val="bottom"/>
            <w:hideMark/>
          </w:tcPr>
          <w:p w14:paraId="2287574E"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75.68%</w:t>
            </w:r>
          </w:p>
        </w:tc>
        <w:tc>
          <w:tcPr>
            <w:tcW w:w="1260" w:type="dxa"/>
            <w:tcBorders>
              <w:top w:val="nil"/>
              <w:left w:val="nil"/>
              <w:bottom w:val="single" w:sz="4" w:space="0" w:color="auto"/>
              <w:right w:val="single" w:sz="4" w:space="0" w:color="auto"/>
            </w:tcBorders>
            <w:shd w:val="clear" w:color="auto" w:fill="auto"/>
            <w:noWrap/>
            <w:vAlign w:val="bottom"/>
            <w:hideMark/>
          </w:tcPr>
          <w:p w14:paraId="3D2D00E9"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60.73%</w:t>
            </w:r>
          </w:p>
        </w:tc>
        <w:tc>
          <w:tcPr>
            <w:tcW w:w="1078" w:type="dxa"/>
            <w:tcBorders>
              <w:top w:val="nil"/>
              <w:left w:val="nil"/>
              <w:bottom w:val="single" w:sz="4" w:space="0" w:color="auto"/>
              <w:right w:val="single" w:sz="4" w:space="0" w:color="auto"/>
            </w:tcBorders>
            <w:shd w:val="clear" w:color="auto" w:fill="auto"/>
            <w:noWrap/>
            <w:vAlign w:val="bottom"/>
            <w:hideMark/>
          </w:tcPr>
          <w:p w14:paraId="0288BF9E"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100.00%</w:t>
            </w:r>
          </w:p>
        </w:tc>
        <w:tc>
          <w:tcPr>
            <w:tcW w:w="875" w:type="dxa"/>
            <w:tcBorders>
              <w:top w:val="nil"/>
              <w:left w:val="nil"/>
              <w:bottom w:val="single" w:sz="4" w:space="0" w:color="auto"/>
              <w:right w:val="single" w:sz="8" w:space="0" w:color="auto"/>
            </w:tcBorders>
            <w:shd w:val="clear" w:color="auto" w:fill="auto"/>
            <w:noWrap/>
            <w:vAlign w:val="bottom"/>
            <w:hideMark/>
          </w:tcPr>
          <w:p w14:paraId="532BC320"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63.64%</w:t>
            </w:r>
          </w:p>
        </w:tc>
        <w:tc>
          <w:tcPr>
            <w:tcW w:w="980" w:type="dxa"/>
            <w:tcBorders>
              <w:top w:val="nil"/>
              <w:left w:val="nil"/>
              <w:bottom w:val="single" w:sz="4" w:space="0" w:color="auto"/>
              <w:right w:val="single" w:sz="4" w:space="0" w:color="auto"/>
            </w:tcBorders>
            <w:shd w:val="clear" w:color="auto" w:fill="auto"/>
            <w:noWrap/>
            <w:vAlign w:val="bottom"/>
            <w:hideMark/>
          </w:tcPr>
          <w:p w14:paraId="50E97B57"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55.44%</w:t>
            </w:r>
          </w:p>
        </w:tc>
        <w:tc>
          <w:tcPr>
            <w:tcW w:w="875" w:type="dxa"/>
            <w:tcBorders>
              <w:top w:val="nil"/>
              <w:left w:val="nil"/>
              <w:bottom w:val="single" w:sz="4" w:space="0" w:color="auto"/>
              <w:right w:val="single" w:sz="4" w:space="0" w:color="auto"/>
            </w:tcBorders>
            <w:shd w:val="clear" w:color="auto" w:fill="auto"/>
            <w:noWrap/>
            <w:vAlign w:val="bottom"/>
            <w:hideMark/>
          </w:tcPr>
          <w:p w14:paraId="282DABD9"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62.37%</w:t>
            </w:r>
          </w:p>
        </w:tc>
        <w:tc>
          <w:tcPr>
            <w:tcW w:w="875" w:type="dxa"/>
            <w:tcBorders>
              <w:top w:val="nil"/>
              <w:left w:val="nil"/>
              <w:bottom w:val="single" w:sz="4" w:space="0" w:color="auto"/>
              <w:right w:val="single" w:sz="4" w:space="0" w:color="auto"/>
            </w:tcBorders>
            <w:shd w:val="clear" w:color="auto" w:fill="auto"/>
            <w:noWrap/>
            <w:vAlign w:val="bottom"/>
            <w:hideMark/>
          </w:tcPr>
          <w:p w14:paraId="7B26653E"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66.37%</w:t>
            </w:r>
          </w:p>
        </w:tc>
        <w:tc>
          <w:tcPr>
            <w:tcW w:w="875" w:type="dxa"/>
            <w:tcBorders>
              <w:top w:val="nil"/>
              <w:left w:val="nil"/>
              <w:bottom w:val="single" w:sz="4" w:space="0" w:color="auto"/>
              <w:right w:val="single" w:sz="4" w:space="0" w:color="auto"/>
            </w:tcBorders>
            <w:shd w:val="clear" w:color="auto" w:fill="auto"/>
            <w:noWrap/>
            <w:vAlign w:val="bottom"/>
            <w:hideMark/>
          </w:tcPr>
          <w:p w14:paraId="0B06EB52"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59.69%</w:t>
            </w:r>
          </w:p>
        </w:tc>
        <w:tc>
          <w:tcPr>
            <w:tcW w:w="1078" w:type="dxa"/>
            <w:tcBorders>
              <w:top w:val="nil"/>
              <w:left w:val="nil"/>
              <w:bottom w:val="single" w:sz="4" w:space="0" w:color="auto"/>
              <w:right w:val="single" w:sz="4" w:space="0" w:color="auto"/>
            </w:tcBorders>
            <w:shd w:val="clear" w:color="auto" w:fill="auto"/>
            <w:noWrap/>
            <w:vAlign w:val="bottom"/>
            <w:hideMark/>
          </w:tcPr>
          <w:p w14:paraId="237E5C91"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54.08%</w:t>
            </w:r>
          </w:p>
        </w:tc>
        <w:tc>
          <w:tcPr>
            <w:tcW w:w="960" w:type="dxa"/>
            <w:tcBorders>
              <w:top w:val="nil"/>
              <w:left w:val="nil"/>
              <w:bottom w:val="single" w:sz="4" w:space="0" w:color="auto"/>
              <w:right w:val="single" w:sz="8" w:space="0" w:color="auto"/>
            </w:tcBorders>
            <w:shd w:val="clear" w:color="auto" w:fill="auto"/>
            <w:noWrap/>
            <w:vAlign w:val="bottom"/>
            <w:hideMark/>
          </w:tcPr>
          <w:p w14:paraId="41B1EDDC"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60.00%</w:t>
            </w:r>
          </w:p>
        </w:tc>
      </w:tr>
      <w:tr w:rsidR="001376A0" w:rsidRPr="002D07B8" w14:paraId="3CDCD4AC" w14:textId="77777777" w:rsidTr="001376A0">
        <w:trPr>
          <w:trHeight w:val="290"/>
        </w:trPr>
        <w:tc>
          <w:tcPr>
            <w:tcW w:w="2540" w:type="dxa"/>
            <w:tcBorders>
              <w:top w:val="nil"/>
              <w:left w:val="single" w:sz="8" w:space="0" w:color="auto"/>
              <w:bottom w:val="single" w:sz="4" w:space="0" w:color="auto"/>
              <w:right w:val="single" w:sz="8" w:space="0" w:color="auto"/>
            </w:tcBorders>
            <w:shd w:val="clear" w:color="auto" w:fill="auto"/>
            <w:noWrap/>
            <w:vAlign w:val="center"/>
            <w:hideMark/>
          </w:tcPr>
          <w:p w14:paraId="08F769BE" w14:textId="77777777" w:rsidR="001376A0" w:rsidRPr="002D07B8" w:rsidRDefault="001376A0" w:rsidP="001376A0">
            <w:pPr>
              <w:rPr>
                <w:rFonts w:asciiTheme="minorHAnsi" w:hAnsiTheme="minorHAnsi" w:cstheme="minorHAnsi"/>
                <w:b/>
                <w:bCs/>
                <w:color w:val="000000"/>
                <w:szCs w:val="22"/>
              </w:rPr>
            </w:pPr>
            <w:r w:rsidRPr="002D07B8">
              <w:rPr>
                <w:rFonts w:asciiTheme="minorHAnsi" w:hAnsiTheme="minorHAnsi" w:cstheme="minorHAnsi"/>
                <w:b/>
                <w:bCs/>
                <w:color w:val="000000"/>
                <w:szCs w:val="22"/>
              </w:rPr>
              <w:t>10 Borderplex</w:t>
            </w:r>
          </w:p>
        </w:tc>
        <w:tc>
          <w:tcPr>
            <w:tcW w:w="987" w:type="dxa"/>
            <w:tcBorders>
              <w:top w:val="nil"/>
              <w:left w:val="nil"/>
              <w:bottom w:val="single" w:sz="4" w:space="0" w:color="auto"/>
              <w:right w:val="single" w:sz="4" w:space="0" w:color="auto"/>
            </w:tcBorders>
            <w:shd w:val="clear" w:color="auto" w:fill="auto"/>
            <w:noWrap/>
            <w:vAlign w:val="bottom"/>
            <w:hideMark/>
          </w:tcPr>
          <w:p w14:paraId="16A05BB1"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57.14%</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14:paraId="20EA5B96"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72.73%</w:t>
            </w:r>
          </w:p>
        </w:tc>
        <w:tc>
          <w:tcPr>
            <w:tcW w:w="987" w:type="dxa"/>
            <w:tcBorders>
              <w:top w:val="nil"/>
              <w:left w:val="nil"/>
              <w:bottom w:val="single" w:sz="4" w:space="0" w:color="auto"/>
              <w:right w:val="single" w:sz="4" w:space="0" w:color="auto"/>
            </w:tcBorders>
            <w:shd w:val="clear" w:color="auto" w:fill="auto"/>
            <w:noWrap/>
            <w:vAlign w:val="bottom"/>
            <w:hideMark/>
          </w:tcPr>
          <w:p w14:paraId="59C84B81"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70.73%</w:t>
            </w:r>
          </w:p>
        </w:tc>
        <w:tc>
          <w:tcPr>
            <w:tcW w:w="126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74056EAC"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57.00%</w:t>
            </w:r>
          </w:p>
        </w:tc>
        <w:tc>
          <w:tcPr>
            <w:tcW w:w="107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F73C262"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47.06%</w:t>
            </w:r>
          </w:p>
        </w:tc>
        <w:tc>
          <w:tcPr>
            <w:tcW w:w="875" w:type="dxa"/>
            <w:tcBorders>
              <w:top w:val="nil"/>
              <w:left w:val="nil"/>
              <w:bottom w:val="single" w:sz="4" w:space="0" w:color="auto"/>
              <w:right w:val="single" w:sz="8" w:space="0" w:color="auto"/>
            </w:tcBorders>
            <w:shd w:val="clear" w:color="auto" w:fill="auto"/>
            <w:noWrap/>
            <w:vAlign w:val="bottom"/>
            <w:hideMark/>
          </w:tcPr>
          <w:p w14:paraId="66F4F3DA"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57.39%</w:t>
            </w:r>
          </w:p>
        </w:tc>
        <w:tc>
          <w:tcPr>
            <w:tcW w:w="980" w:type="dxa"/>
            <w:tcBorders>
              <w:top w:val="nil"/>
              <w:left w:val="nil"/>
              <w:bottom w:val="single" w:sz="4" w:space="0" w:color="auto"/>
              <w:right w:val="single" w:sz="4" w:space="0" w:color="auto"/>
            </w:tcBorders>
            <w:shd w:val="clear" w:color="auto" w:fill="auto"/>
            <w:noWrap/>
            <w:vAlign w:val="bottom"/>
            <w:hideMark/>
          </w:tcPr>
          <w:p w14:paraId="5E3BF29F"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55.44%</w:t>
            </w:r>
          </w:p>
        </w:tc>
        <w:tc>
          <w:tcPr>
            <w:tcW w:w="875" w:type="dxa"/>
            <w:tcBorders>
              <w:top w:val="nil"/>
              <w:left w:val="nil"/>
              <w:bottom w:val="single" w:sz="4" w:space="0" w:color="auto"/>
              <w:right w:val="single" w:sz="4" w:space="0" w:color="auto"/>
            </w:tcBorders>
            <w:shd w:val="clear" w:color="auto" w:fill="auto"/>
            <w:noWrap/>
            <w:vAlign w:val="bottom"/>
            <w:hideMark/>
          </w:tcPr>
          <w:p w14:paraId="3CD7A457"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62.37%</w:t>
            </w:r>
          </w:p>
        </w:tc>
        <w:tc>
          <w:tcPr>
            <w:tcW w:w="875" w:type="dxa"/>
            <w:tcBorders>
              <w:top w:val="nil"/>
              <w:left w:val="nil"/>
              <w:bottom w:val="single" w:sz="4" w:space="0" w:color="auto"/>
              <w:right w:val="single" w:sz="4" w:space="0" w:color="auto"/>
            </w:tcBorders>
            <w:shd w:val="clear" w:color="auto" w:fill="auto"/>
            <w:noWrap/>
            <w:vAlign w:val="bottom"/>
            <w:hideMark/>
          </w:tcPr>
          <w:p w14:paraId="37C86AA2"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66.37%</w:t>
            </w:r>
          </w:p>
        </w:tc>
        <w:tc>
          <w:tcPr>
            <w:tcW w:w="87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1EAF9834"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58.34%</w:t>
            </w:r>
          </w:p>
        </w:tc>
        <w:tc>
          <w:tcPr>
            <w:tcW w:w="107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16EC414"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50.57%</w:t>
            </w:r>
          </w:p>
        </w:tc>
        <w:tc>
          <w:tcPr>
            <w:tcW w:w="960" w:type="dxa"/>
            <w:tcBorders>
              <w:top w:val="nil"/>
              <w:left w:val="nil"/>
              <w:bottom w:val="single" w:sz="4" w:space="0" w:color="auto"/>
              <w:right w:val="single" w:sz="8" w:space="0" w:color="auto"/>
            </w:tcBorders>
            <w:shd w:val="clear" w:color="auto" w:fill="auto"/>
            <w:noWrap/>
            <w:vAlign w:val="bottom"/>
            <w:hideMark/>
          </w:tcPr>
          <w:p w14:paraId="21650E28"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58.33%</w:t>
            </w:r>
          </w:p>
        </w:tc>
      </w:tr>
      <w:tr w:rsidR="001376A0" w:rsidRPr="002D07B8" w14:paraId="3F21C390" w14:textId="77777777" w:rsidTr="001376A0">
        <w:trPr>
          <w:trHeight w:val="290"/>
        </w:trPr>
        <w:tc>
          <w:tcPr>
            <w:tcW w:w="2540" w:type="dxa"/>
            <w:tcBorders>
              <w:top w:val="nil"/>
              <w:left w:val="single" w:sz="8" w:space="0" w:color="auto"/>
              <w:bottom w:val="single" w:sz="4" w:space="0" w:color="auto"/>
              <w:right w:val="single" w:sz="8" w:space="0" w:color="auto"/>
            </w:tcBorders>
            <w:shd w:val="clear" w:color="auto" w:fill="auto"/>
            <w:noWrap/>
            <w:vAlign w:val="center"/>
            <w:hideMark/>
          </w:tcPr>
          <w:p w14:paraId="7ED7908A" w14:textId="77777777" w:rsidR="001376A0" w:rsidRPr="002D07B8" w:rsidRDefault="001376A0" w:rsidP="001376A0">
            <w:pPr>
              <w:rPr>
                <w:rFonts w:asciiTheme="minorHAnsi" w:hAnsiTheme="minorHAnsi" w:cstheme="minorHAnsi"/>
                <w:b/>
                <w:bCs/>
                <w:color w:val="000000"/>
                <w:szCs w:val="22"/>
              </w:rPr>
            </w:pPr>
            <w:r w:rsidRPr="002D07B8">
              <w:rPr>
                <w:rFonts w:asciiTheme="minorHAnsi" w:hAnsiTheme="minorHAnsi" w:cstheme="minorHAnsi"/>
                <w:b/>
                <w:bCs/>
                <w:color w:val="000000"/>
                <w:szCs w:val="22"/>
              </w:rPr>
              <w:t>11 Permian Basin</w:t>
            </w:r>
          </w:p>
        </w:tc>
        <w:tc>
          <w:tcPr>
            <w:tcW w:w="987" w:type="dxa"/>
            <w:tcBorders>
              <w:top w:val="nil"/>
              <w:left w:val="nil"/>
              <w:bottom w:val="single" w:sz="4" w:space="0" w:color="auto"/>
              <w:right w:val="single" w:sz="4" w:space="0" w:color="auto"/>
            </w:tcBorders>
            <w:shd w:val="clear" w:color="auto" w:fill="auto"/>
            <w:noWrap/>
            <w:vAlign w:val="bottom"/>
            <w:hideMark/>
          </w:tcPr>
          <w:p w14:paraId="2ED0F7F8"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NA</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14:paraId="21C5A60F"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100.00%</w:t>
            </w:r>
          </w:p>
        </w:tc>
        <w:tc>
          <w:tcPr>
            <w:tcW w:w="987" w:type="dxa"/>
            <w:tcBorders>
              <w:top w:val="nil"/>
              <w:left w:val="nil"/>
              <w:bottom w:val="single" w:sz="4" w:space="0" w:color="auto"/>
              <w:right w:val="single" w:sz="4" w:space="0" w:color="auto"/>
            </w:tcBorders>
            <w:shd w:val="clear" w:color="auto" w:fill="auto"/>
            <w:noWrap/>
            <w:vAlign w:val="bottom"/>
            <w:hideMark/>
          </w:tcPr>
          <w:p w14:paraId="3680536F"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68.50%</w:t>
            </w:r>
          </w:p>
        </w:tc>
        <w:tc>
          <w:tcPr>
            <w:tcW w:w="1260" w:type="dxa"/>
            <w:tcBorders>
              <w:top w:val="nil"/>
              <w:left w:val="nil"/>
              <w:bottom w:val="single" w:sz="4" w:space="0" w:color="auto"/>
              <w:right w:val="single" w:sz="4" w:space="0" w:color="auto"/>
            </w:tcBorders>
            <w:shd w:val="clear" w:color="auto" w:fill="auto"/>
            <w:noWrap/>
            <w:vAlign w:val="bottom"/>
            <w:hideMark/>
          </w:tcPr>
          <w:p w14:paraId="740D95D3"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66.24%</w:t>
            </w:r>
          </w:p>
        </w:tc>
        <w:tc>
          <w:tcPr>
            <w:tcW w:w="107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839AAF3"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0.00%</w:t>
            </w:r>
          </w:p>
        </w:tc>
        <w:tc>
          <w:tcPr>
            <w:tcW w:w="875" w:type="dxa"/>
            <w:tcBorders>
              <w:top w:val="nil"/>
              <w:left w:val="nil"/>
              <w:bottom w:val="single" w:sz="4" w:space="0" w:color="auto"/>
              <w:right w:val="single" w:sz="8" w:space="0" w:color="auto"/>
            </w:tcBorders>
            <w:shd w:val="clear" w:color="auto" w:fill="auto"/>
            <w:noWrap/>
            <w:vAlign w:val="bottom"/>
            <w:hideMark/>
          </w:tcPr>
          <w:p w14:paraId="67600A4F"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66.39%</w:t>
            </w:r>
          </w:p>
        </w:tc>
        <w:tc>
          <w:tcPr>
            <w:tcW w:w="980" w:type="dxa"/>
            <w:tcBorders>
              <w:top w:val="nil"/>
              <w:left w:val="nil"/>
              <w:bottom w:val="single" w:sz="4" w:space="0" w:color="auto"/>
              <w:right w:val="single" w:sz="4" w:space="0" w:color="auto"/>
            </w:tcBorders>
            <w:shd w:val="clear" w:color="auto" w:fill="auto"/>
            <w:noWrap/>
            <w:vAlign w:val="bottom"/>
            <w:hideMark/>
          </w:tcPr>
          <w:p w14:paraId="6A787753"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55.44%</w:t>
            </w:r>
          </w:p>
        </w:tc>
        <w:tc>
          <w:tcPr>
            <w:tcW w:w="875" w:type="dxa"/>
            <w:tcBorders>
              <w:top w:val="nil"/>
              <w:left w:val="nil"/>
              <w:bottom w:val="single" w:sz="4" w:space="0" w:color="auto"/>
              <w:right w:val="single" w:sz="4" w:space="0" w:color="auto"/>
            </w:tcBorders>
            <w:shd w:val="clear" w:color="auto" w:fill="auto"/>
            <w:noWrap/>
            <w:vAlign w:val="bottom"/>
            <w:hideMark/>
          </w:tcPr>
          <w:p w14:paraId="2A86AA4F"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62.37%</w:t>
            </w:r>
          </w:p>
        </w:tc>
        <w:tc>
          <w:tcPr>
            <w:tcW w:w="875" w:type="dxa"/>
            <w:tcBorders>
              <w:top w:val="nil"/>
              <w:left w:val="nil"/>
              <w:bottom w:val="single" w:sz="4" w:space="0" w:color="auto"/>
              <w:right w:val="single" w:sz="4" w:space="0" w:color="auto"/>
            </w:tcBorders>
            <w:shd w:val="clear" w:color="auto" w:fill="auto"/>
            <w:noWrap/>
            <w:vAlign w:val="bottom"/>
            <w:hideMark/>
          </w:tcPr>
          <w:p w14:paraId="0B40558B"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66.37%</w:t>
            </w:r>
          </w:p>
        </w:tc>
        <w:tc>
          <w:tcPr>
            <w:tcW w:w="875" w:type="dxa"/>
            <w:tcBorders>
              <w:top w:val="nil"/>
              <w:left w:val="nil"/>
              <w:bottom w:val="single" w:sz="4" w:space="0" w:color="auto"/>
              <w:right w:val="single" w:sz="4" w:space="0" w:color="auto"/>
            </w:tcBorders>
            <w:shd w:val="clear" w:color="auto" w:fill="auto"/>
            <w:noWrap/>
            <w:vAlign w:val="bottom"/>
            <w:hideMark/>
          </w:tcPr>
          <w:p w14:paraId="3E1E7BDB"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59.69%</w:t>
            </w:r>
          </w:p>
        </w:tc>
        <w:tc>
          <w:tcPr>
            <w:tcW w:w="107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282498A"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27.04%</w:t>
            </w:r>
          </w:p>
        </w:tc>
        <w:tc>
          <w:tcPr>
            <w:tcW w:w="960" w:type="dxa"/>
            <w:tcBorders>
              <w:top w:val="nil"/>
              <w:left w:val="nil"/>
              <w:bottom w:val="single" w:sz="4" w:space="0" w:color="auto"/>
              <w:right w:val="single" w:sz="8" w:space="0" w:color="auto"/>
            </w:tcBorders>
            <w:shd w:val="clear" w:color="auto" w:fill="auto"/>
            <w:noWrap/>
            <w:vAlign w:val="bottom"/>
            <w:hideMark/>
          </w:tcPr>
          <w:p w14:paraId="4B4C09D3"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60.00%</w:t>
            </w:r>
          </w:p>
        </w:tc>
      </w:tr>
      <w:tr w:rsidR="001376A0" w:rsidRPr="002D07B8" w14:paraId="2507CEEF" w14:textId="77777777" w:rsidTr="001376A0">
        <w:trPr>
          <w:trHeight w:val="290"/>
        </w:trPr>
        <w:tc>
          <w:tcPr>
            <w:tcW w:w="2540" w:type="dxa"/>
            <w:tcBorders>
              <w:top w:val="nil"/>
              <w:left w:val="single" w:sz="8" w:space="0" w:color="auto"/>
              <w:bottom w:val="single" w:sz="4" w:space="0" w:color="auto"/>
              <w:right w:val="single" w:sz="8" w:space="0" w:color="auto"/>
            </w:tcBorders>
            <w:shd w:val="clear" w:color="auto" w:fill="auto"/>
            <w:noWrap/>
            <w:vAlign w:val="center"/>
            <w:hideMark/>
          </w:tcPr>
          <w:p w14:paraId="0D5831F9" w14:textId="77777777" w:rsidR="001376A0" w:rsidRPr="002D07B8" w:rsidRDefault="001376A0" w:rsidP="001376A0">
            <w:pPr>
              <w:rPr>
                <w:rFonts w:asciiTheme="minorHAnsi" w:hAnsiTheme="minorHAnsi" w:cstheme="minorHAnsi"/>
                <w:b/>
                <w:bCs/>
                <w:color w:val="000000"/>
                <w:szCs w:val="22"/>
              </w:rPr>
            </w:pPr>
            <w:r w:rsidRPr="002D07B8">
              <w:rPr>
                <w:rFonts w:asciiTheme="minorHAnsi" w:hAnsiTheme="minorHAnsi" w:cstheme="minorHAnsi"/>
                <w:b/>
                <w:bCs/>
                <w:color w:val="000000"/>
                <w:szCs w:val="22"/>
              </w:rPr>
              <w:t>12 Concho Valley</w:t>
            </w:r>
          </w:p>
        </w:tc>
        <w:tc>
          <w:tcPr>
            <w:tcW w:w="987" w:type="dxa"/>
            <w:tcBorders>
              <w:top w:val="single" w:sz="4" w:space="0" w:color="auto"/>
              <w:left w:val="nil"/>
              <w:bottom w:val="single" w:sz="4" w:space="0" w:color="auto"/>
              <w:right w:val="single" w:sz="4" w:space="0" w:color="auto"/>
            </w:tcBorders>
            <w:shd w:val="clear" w:color="000000" w:fill="FFFF00"/>
            <w:noWrap/>
            <w:vAlign w:val="bottom"/>
            <w:hideMark/>
          </w:tcPr>
          <w:p w14:paraId="0B81DBF3"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0.00%</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14:paraId="0FDFBF7D"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NA</w:t>
            </w:r>
          </w:p>
        </w:tc>
        <w:tc>
          <w:tcPr>
            <w:tcW w:w="98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15C1D975"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61.11%</w:t>
            </w:r>
          </w:p>
        </w:tc>
        <w:tc>
          <w:tcPr>
            <w:tcW w:w="1260" w:type="dxa"/>
            <w:tcBorders>
              <w:top w:val="nil"/>
              <w:left w:val="nil"/>
              <w:bottom w:val="single" w:sz="4" w:space="0" w:color="auto"/>
              <w:right w:val="single" w:sz="4" w:space="0" w:color="auto"/>
            </w:tcBorders>
            <w:shd w:val="clear" w:color="auto" w:fill="auto"/>
            <w:noWrap/>
            <w:vAlign w:val="bottom"/>
            <w:hideMark/>
          </w:tcPr>
          <w:p w14:paraId="48C01613"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63.83%</w:t>
            </w:r>
          </w:p>
        </w:tc>
        <w:tc>
          <w:tcPr>
            <w:tcW w:w="1078" w:type="dxa"/>
            <w:tcBorders>
              <w:top w:val="nil"/>
              <w:left w:val="nil"/>
              <w:bottom w:val="single" w:sz="4" w:space="0" w:color="auto"/>
              <w:right w:val="single" w:sz="4" w:space="0" w:color="auto"/>
            </w:tcBorders>
            <w:shd w:val="clear" w:color="auto" w:fill="auto"/>
            <w:noWrap/>
            <w:vAlign w:val="bottom"/>
            <w:hideMark/>
          </w:tcPr>
          <w:p w14:paraId="0C1BB611"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75.00%</w:t>
            </w:r>
          </w:p>
        </w:tc>
        <w:tc>
          <w:tcPr>
            <w:tcW w:w="875" w:type="dxa"/>
            <w:tcBorders>
              <w:top w:val="nil"/>
              <w:left w:val="nil"/>
              <w:bottom w:val="single" w:sz="4" w:space="0" w:color="auto"/>
              <w:right w:val="single" w:sz="8" w:space="0" w:color="auto"/>
            </w:tcBorders>
            <w:shd w:val="clear" w:color="auto" w:fill="auto"/>
            <w:noWrap/>
            <w:vAlign w:val="bottom"/>
            <w:hideMark/>
          </w:tcPr>
          <w:p w14:paraId="1E245184"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63.25%</w:t>
            </w:r>
          </w:p>
        </w:tc>
        <w:tc>
          <w:tcPr>
            <w:tcW w:w="980" w:type="dxa"/>
            <w:tcBorders>
              <w:top w:val="single" w:sz="4" w:space="0" w:color="auto"/>
              <w:left w:val="single" w:sz="8" w:space="0" w:color="auto"/>
              <w:bottom w:val="single" w:sz="4" w:space="0" w:color="auto"/>
              <w:right w:val="single" w:sz="4" w:space="0" w:color="auto"/>
            </w:tcBorders>
            <w:shd w:val="clear" w:color="000000" w:fill="FFFF00"/>
            <w:noWrap/>
            <w:vAlign w:val="bottom"/>
            <w:hideMark/>
          </w:tcPr>
          <w:p w14:paraId="7257F64A"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27.72%</w:t>
            </w:r>
          </w:p>
        </w:tc>
        <w:tc>
          <w:tcPr>
            <w:tcW w:w="875" w:type="dxa"/>
            <w:tcBorders>
              <w:top w:val="nil"/>
              <w:left w:val="nil"/>
              <w:bottom w:val="single" w:sz="4" w:space="0" w:color="auto"/>
              <w:right w:val="single" w:sz="4" w:space="0" w:color="auto"/>
            </w:tcBorders>
            <w:shd w:val="clear" w:color="auto" w:fill="auto"/>
            <w:noWrap/>
            <w:vAlign w:val="bottom"/>
            <w:hideMark/>
          </w:tcPr>
          <w:p w14:paraId="33905DB5"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62.37%</w:t>
            </w:r>
          </w:p>
        </w:tc>
        <w:tc>
          <w:tcPr>
            <w:tcW w:w="87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467C717"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63.74%</w:t>
            </w:r>
          </w:p>
        </w:tc>
        <w:tc>
          <w:tcPr>
            <w:tcW w:w="875" w:type="dxa"/>
            <w:tcBorders>
              <w:top w:val="nil"/>
              <w:left w:val="nil"/>
              <w:bottom w:val="single" w:sz="4" w:space="0" w:color="auto"/>
              <w:right w:val="single" w:sz="4" w:space="0" w:color="auto"/>
            </w:tcBorders>
            <w:shd w:val="clear" w:color="auto" w:fill="auto"/>
            <w:noWrap/>
            <w:vAlign w:val="bottom"/>
            <w:hideMark/>
          </w:tcPr>
          <w:p w14:paraId="5C4D8B21"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59.69%</w:t>
            </w:r>
          </w:p>
        </w:tc>
        <w:tc>
          <w:tcPr>
            <w:tcW w:w="1078" w:type="dxa"/>
            <w:tcBorders>
              <w:top w:val="nil"/>
              <w:left w:val="nil"/>
              <w:bottom w:val="single" w:sz="4" w:space="0" w:color="auto"/>
              <w:right w:val="single" w:sz="4" w:space="0" w:color="auto"/>
            </w:tcBorders>
            <w:shd w:val="clear" w:color="auto" w:fill="auto"/>
            <w:noWrap/>
            <w:vAlign w:val="bottom"/>
            <w:hideMark/>
          </w:tcPr>
          <w:p w14:paraId="25DF5FA9"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54.08%</w:t>
            </w:r>
          </w:p>
        </w:tc>
        <w:tc>
          <w:tcPr>
            <w:tcW w:w="960" w:type="dxa"/>
            <w:tcBorders>
              <w:top w:val="nil"/>
              <w:left w:val="nil"/>
              <w:bottom w:val="single" w:sz="4" w:space="0" w:color="auto"/>
              <w:right w:val="single" w:sz="8" w:space="0" w:color="auto"/>
            </w:tcBorders>
            <w:shd w:val="clear" w:color="auto" w:fill="auto"/>
            <w:noWrap/>
            <w:vAlign w:val="bottom"/>
            <w:hideMark/>
          </w:tcPr>
          <w:p w14:paraId="056594BD"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59.85%</w:t>
            </w:r>
          </w:p>
        </w:tc>
      </w:tr>
      <w:tr w:rsidR="001376A0" w:rsidRPr="002D07B8" w14:paraId="4C85FE25" w14:textId="77777777" w:rsidTr="001376A0">
        <w:trPr>
          <w:trHeight w:val="290"/>
        </w:trPr>
        <w:tc>
          <w:tcPr>
            <w:tcW w:w="2540" w:type="dxa"/>
            <w:tcBorders>
              <w:top w:val="nil"/>
              <w:left w:val="single" w:sz="8" w:space="0" w:color="auto"/>
              <w:bottom w:val="single" w:sz="4" w:space="0" w:color="auto"/>
              <w:right w:val="single" w:sz="8" w:space="0" w:color="auto"/>
            </w:tcBorders>
            <w:shd w:val="clear" w:color="auto" w:fill="auto"/>
            <w:noWrap/>
            <w:vAlign w:val="center"/>
            <w:hideMark/>
          </w:tcPr>
          <w:p w14:paraId="379A6A1C" w14:textId="77777777" w:rsidR="001376A0" w:rsidRPr="002D07B8" w:rsidRDefault="001376A0" w:rsidP="001376A0">
            <w:pPr>
              <w:rPr>
                <w:rFonts w:asciiTheme="minorHAnsi" w:hAnsiTheme="minorHAnsi" w:cstheme="minorHAnsi"/>
                <w:b/>
                <w:bCs/>
                <w:color w:val="000000"/>
                <w:szCs w:val="22"/>
              </w:rPr>
            </w:pPr>
            <w:r w:rsidRPr="002D07B8">
              <w:rPr>
                <w:rFonts w:asciiTheme="minorHAnsi" w:hAnsiTheme="minorHAnsi" w:cstheme="minorHAnsi"/>
                <w:b/>
                <w:bCs/>
                <w:color w:val="000000"/>
                <w:szCs w:val="22"/>
              </w:rPr>
              <w:t>13 Heart of Texas</w:t>
            </w:r>
          </w:p>
        </w:tc>
        <w:tc>
          <w:tcPr>
            <w:tcW w:w="987" w:type="dxa"/>
            <w:tcBorders>
              <w:top w:val="nil"/>
              <w:left w:val="nil"/>
              <w:bottom w:val="single" w:sz="4" w:space="0" w:color="auto"/>
              <w:right w:val="single" w:sz="4" w:space="0" w:color="auto"/>
            </w:tcBorders>
            <w:shd w:val="clear" w:color="auto" w:fill="auto"/>
            <w:noWrap/>
            <w:vAlign w:val="bottom"/>
            <w:hideMark/>
          </w:tcPr>
          <w:p w14:paraId="39E5925C"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100.00%</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14:paraId="372C9343"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62.50%</w:t>
            </w:r>
          </w:p>
        </w:tc>
        <w:tc>
          <w:tcPr>
            <w:tcW w:w="98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41A41E3"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60.00%</w:t>
            </w:r>
          </w:p>
        </w:tc>
        <w:tc>
          <w:tcPr>
            <w:tcW w:w="1260" w:type="dxa"/>
            <w:tcBorders>
              <w:top w:val="nil"/>
              <w:left w:val="nil"/>
              <w:bottom w:val="single" w:sz="4" w:space="0" w:color="auto"/>
              <w:right w:val="single" w:sz="4" w:space="0" w:color="auto"/>
            </w:tcBorders>
            <w:shd w:val="clear" w:color="auto" w:fill="auto"/>
            <w:noWrap/>
            <w:vAlign w:val="bottom"/>
            <w:hideMark/>
          </w:tcPr>
          <w:p w14:paraId="3E5E856B"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60.40%</w:t>
            </w:r>
          </w:p>
        </w:tc>
        <w:tc>
          <w:tcPr>
            <w:tcW w:w="1078" w:type="dxa"/>
            <w:tcBorders>
              <w:top w:val="nil"/>
              <w:left w:val="nil"/>
              <w:bottom w:val="single" w:sz="4" w:space="0" w:color="auto"/>
              <w:right w:val="single" w:sz="4" w:space="0" w:color="auto"/>
            </w:tcBorders>
            <w:shd w:val="clear" w:color="auto" w:fill="auto"/>
            <w:noWrap/>
            <w:vAlign w:val="bottom"/>
            <w:hideMark/>
          </w:tcPr>
          <w:p w14:paraId="4B313F8C"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66.67%</w:t>
            </w:r>
          </w:p>
        </w:tc>
        <w:tc>
          <w:tcPr>
            <w:tcW w:w="875" w:type="dxa"/>
            <w:tcBorders>
              <w:top w:val="nil"/>
              <w:left w:val="nil"/>
              <w:bottom w:val="single" w:sz="4" w:space="0" w:color="auto"/>
              <w:right w:val="single" w:sz="8" w:space="0" w:color="auto"/>
            </w:tcBorders>
            <w:shd w:val="clear" w:color="auto" w:fill="auto"/>
            <w:noWrap/>
            <w:vAlign w:val="bottom"/>
            <w:hideMark/>
          </w:tcPr>
          <w:p w14:paraId="3B5FCA5B"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60.62%</w:t>
            </w:r>
          </w:p>
        </w:tc>
        <w:tc>
          <w:tcPr>
            <w:tcW w:w="980" w:type="dxa"/>
            <w:tcBorders>
              <w:top w:val="nil"/>
              <w:left w:val="nil"/>
              <w:bottom w:val="single" w:sz="4" w:space="0" w:color="auto"/>
              <w:right w:val="single" w:sz="4" w:space="0" w:color="auto"/>
            </w:tcBorders>
            <w:shd w:val="clear" w:color="auto" w:fill="auto"/>
            <w:noWrap/>
            <w:vAlign w:val="bottom"/>
            <w:hideMark/>
          </w:tcPr>
          <w:p w14:paraId="64E2DF7F"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55.44%</w:t>
            </w:r>
          </w:p>
        </w:tc>
        <w:tc>
          <w:tcPr>
            <w:tcW w:w="875" w:type="dxa"/>
            <w:tcBorders>
              <w:top w:val="nil"/>
              <w:left w:val="nil"/>
              <w:bottom w:val="single" w:sz="4" w:space="0" w:color="auto"/>
              <w:right w:val="single" w:sz="4" w:space="0" w:color="auto"/>
            </w:tcBorders>
            <w:shd w:val="clear" w:color="auto" w:fill="auto"/>
            <w:noWrap/>
            <w:vAlign w:val="bottom"/>
            <w:hideMark/>
          </w:tcPr>
          <w:p w14:paraId="6EA4EE30"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62.37%</w:t>
            </w:r>
          </w:p>
        </w:tc>
        <w:tc>
          <w:tcPr>
            <w:tcW w:w="87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852AC96"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63.19%</w:t>
            </w:r>
          </w:p>
        </w:tc>
        <w:tc>
          <w:tcPr>
            <w:tcW w:w="875" w:type="dxa"/>
            <w:tcBorders>
              <w:top w:val="nil"/>
              <w:left w:val="nil"/>
              <w:bottom w:val="single" w:sz="4" w:space="0" w:color="auto"/>
              <w:right w:val="single" w:sz="4" w:space="0" w:color="auto"/>
            </w:tcBorders>
            <w:shd w:val="clear" w:color="auto" w:fill="auto"/>
            <w:noWrap/>
            <w:vAlign w:val="bottom"/>
            <w:hideMark/>
          </w:tcPr>
          <w:p w14:paraId="26B3C7CB"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59.69%</w:t>
            </w:r>
          </w:p>
        </w:tc>
        <w:tc>
          <w:tcPr>
            <w:tcW w:w="1078" w:type="dxa"/>
            <w:tcBorders>
              <w:top w:val="nil"/>
              <w:left w:val="nil"/>
              <w:bottom w:val="single" w:sz="4" w:space="0" w:color="auto"/>
              <w:right w:val="single" w:sz="4" w:space="0" w:color="auto"/>
            </w:tcBorders>
            <w:shd w:val="clear" w:color="auto" w:fill="auto"/>
            <w:noWrap/>
            <w:vAlign w:val="bottom"/>
            <w:hideMark/>
          </w:tcPr>
          <w:p w14:paraId="5A046D4B"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54.08%</w:t>
            </w:r>
          </w:p>
        </w:tc>
        <w:tc>
          <w:tcPr>
            <w:tcW w:w="960" w:type="dxa"/>
            <w:tcBorders>
              <w:top w:val="nil"/>
              <w:left w:val="nil"/>
              <w:bottom w:val="single" w:sz="4" w:space="0" w:color="auto"/>
              <w:right w:val="single" w:sz="8" w:space="0" w:color="auto"/>
            </w:tcBorders>
            <w:shd w:val="clear" w:color="auto" w:fill="auto"/>
            <w:noWrap/>
            <w:vAlign w:val="bottom"/>
            <w:hideMark/>
          </w:tcPr>
          <w:p w14:paraId="76E1B913"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59.80%</w:t>
            </w:r>
          </w:p>
        </w:tc>
      </w:tr>
      <w:tr w:rsidR="001376A0" w:rsidRPr="002D07B8" w14:paraId="56043742" w14:textId="77777777" w:rsidTr="001376A0">
        <w:trPr>
          <w:trHeight w:val="290"/>
        </w:trPr>
        <w:tc>
          <w:tcPr>
            <w:tcW w:w="2540" w:type="dxa"/>
            <w:tcBorders>
              <w:top w:val="nil"/>
              <w:left w:val="single" w:sz="8" w:space="0" w:color="auto"/>
              <w:bottom w:val="single" w:sz="4" w:space="0" w:color="auto"/>
              <w:right w:val="single" w:sz="8" w:space="0" w:color="auto"/>
            </w:tcBorders>
            <w:shd w:val="clear" w:color="auto" w:fill="auto"/>
            <w:noWrap/>
            <w:vAlign w:val="center"/>
            <w:hideMark/>
          </w:tcPr>
          <w:p w14:paraId="4B73AF2D" w14:textId="77777777" w:rsidR="001376A0" w:rsidRPr="002D07B8" w:rsidRDefault="001376A0" w:rsidP="001376A0">
            <w:pPr>
              <w:rPr>
                <w:rFonts w:asciiTheme="minorHAnsi" w:hAnsiTheme="minorHAnsi" w:cstheme="minorHAnsi"/>
                <w:b/>
                <w:bCs/>
                <w:color w:val="000000"/>
                <w:szCs w:val="22"/>
              </w:rPr>
            </w:pPr>
            <w:r w:rsidRPr="002D07B8">
              <w:rPr>
                <w:rFonts w:asciiTheme="minorHAnsi" w:hAnsiTheme="minorHAnsi" w:cstheme="minorHAnsi"/>
                <w:b/>
                <w:bCs/>
                <w:color w:val="000000"/>
                <w:szCs w:val="22"/>
              </w:rPr>
              <w:t>14 Capital Area</w:t>
            </w:r>
          </w:p>
        </w:tc>
        <w:tc>
          <w:tcPr>
            <w:tcW w:w="987" w:type="dxa"/>
            <w:tcBorders>
              <w:top w:val="single" w:sz="4" w:space="0" w:color="auto"/>
              <w:left w:val="nil"/>
              <w:bottom w:val="single" w:sz="4" w:space="0" w:color="auto"/>
              <w:right w:val="single" w:sz="4" w:space="0" w:color="auto"/>
            </w:tcBorders>
            <w:shd w:val="clear" w:color="000000" w:fill="FFFF00"/>
            <w:noWrap/>
            <w:vAlign w:val="bottom"/>
            <w:hideMark/>
          </w:tcPr>
          <w:p w14:paraId="3014341B"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33.33%</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14:paraId="121FB2B9"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93.33%</w:t>
            </w:r>
          </w:p>
        </w:tc>
        <w:tc>
          <w:tcPr>
            <w:tcW w:w="98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5181E8C"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62.50%</w:t>
            </w:r>
          </w:p>
        </w:tc>
        <w:tc>
          <w:tcPr>
            <w:tcW w:w="1260" w:type="dxa"/>
            <w:tcBorders>
              <w:top w:val="nil"/>
              <w:left w:val="nil"/>
              <w:bottom w:val="single" w:sz="4" w:space="0" w:color="auto"/>
              <w:right w:val="single" w:sz="4" w:space="0" w:color="auto"/>
            </w:tcBorders>
            <w:shd w:val="clear" w:color="auto" w:fill="auto"/>
            <w:noWrap/>
            <w:vAlign w:val="bottom"/>
            <w:hideMark/>
          </w:tcPr>
          <w:p w14:paraId="6958DBAA"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61.99%</w:t>
            </w:r>
          </w:p>
        </w:tc>
        <w:tc>
          <w:tcPr>
            <w:tcW w:w="1078" w:type="dxa"/>
            <w:tcBorders>
              <w:top w:val="nil"/>
              <w:left w:val="nil"/>
              <w:bottom w:val="single" w:sz="4" w:space="0" w:color="auto"/>
              <w:right w:val="single" w:sz="4" w:space="0" w:color="auto"/>
            </w:tcBorders>
            <w:shd w:val="clear" w:color="auto" w:fill="auto"/>
            <w:noWrap/>
            <w:vAlign w:val="bottom"/>
            <w:hideMark/>
          </w:tcPr>
          <w:p w14:paraId="10EFFDCD"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60.00%</w:t>
            </w:r>
          </w:p>
        </w:tc>
        <w:tc>
          <w:tcPr>
            <w:tcW w:w="875" w:type="dxa"/>
            <w:tcBorders>
              <w:top w:val="nil"/>
              <w:left w:val="nil"/>
              <w:bottom w:val="single" w:sz="4" w:space="0" w:color="auto"/>
              <w:right w:val="single" w:sz="8" w:space="0" w:color="auto"/>
            </w:tcBorders>
            <w:shd w:val="clear" w:color="auto" w:fill="auto"/>
            <w:noWrap/>
            <w:vAlign w:val="bottom"/>
            <w:hideMark/>
          </w:tcPr>
          <w:p w14:paraId="61E84A4F"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62.61%</w:t>
            </w:r>
          </w:p>
        </w:tc>
        <w:tc>
          <w:tcPr>
            <w:tcW w:w="980" w:type="dxa"/>
            <w:tcBorders>
              <w:top w:val="single" w:sz="4" w:space="0" w:color="auto"/>
              <w:left w:val="single" w:sz="8" w:space="0" w:color="auto"/>
              <w:bottom w:val="single" w:sz="4" w:space="0" w:color="auto"/>
              <w:right w:val="single" w:sz="4" w:space="0" w:color="auto"/>
            </w:tcBorders>
            <w:shd w:val="clear" w:color="000000" w:fill="FFFF00"/>
            <w:noWrap/>
            <w:vAlign w:val="bottom"/>
            <w:hideMark/>
          </w:tcPr>
          <w:p w14:paraId="27779251"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44.39%</w:t>
            </w:r>
          </w:p>
        </w:tc>
        <w:tc>
          <w:tcPr>
            <w:tcW w:w="875" w:type="dxa"/>
            <w:tcBorders>
              <w:top w:val="nil"/>
              <w:left w:val="nil"/>
              <w:bottom w:val="single" w:sz="4" w:space="0" w:color="auto"/>
              <w:right w:val="single" w:sz="4" w:space="0" w:color="auto"/>
            </w:tcBorders>
            <w:shd w:val="clear" w:color="auto" w:fill="auto"/>
            <w:noWrap/>
            <w:vAlign w:val="bottom"/>
            <w:hideMark/>
          </w:tcPr>
          <w:p w14:paraId="3134EA32"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62.37%</w:t>
            </w:r>
          </w:p>
        </w:tc>
        <w:tc>
          <w:tcPr>
            <w:tcW w:w="87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093F8D"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64.44%</w:t>
            </w:r>
          </w:p>
        </w:tc>
        <w:tc>
          <w:tcPr>
            <w:tcW w:w="875" w:type="dxa"/>
            <w:tcBorders>
              <w:top w:val="nil"/>
              <w:left w:val="nil"/>
              <w:bottom w:val="single" w:sz="4" w:space="0" w:color="auto"/>
              <w:right w:val="single" w:sz="4" w:space="0" w:color="auto"/>
            </w:tcBorders>
            <w:shd w:val="clear" w:color="auto" w:fill="auto"/>
            <w:noWrap/>
            <w:vAlign w:val="bottom"/>
            <w:hideMark/>
          </w:tcPr>
          <w:p w14:paraId="3BD7F7B0"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59.69%</w:t>
            </w:r>
          </w:p>
        </w:tc>
        <w:tc>
          <w:tcPr>
            <w:tcW w:w="1078" w:type="dxa"/>
            <w:tcBorders>
              <w:top w:val="nil"/>
              <w:left w:val="nil"/>
              <w:bottom w:val="single" w:sz="4" w:space="0" w:color="auto"/>
              <w:right w:val="single" w:sz="4" w:space="0" w:color="auto"/>
            </w:tcBorders>
            <w:shd w:val="clear" w:color="auto" w:fill="auto"/>
            <w:noWrap/>
            <w:vAlign w:val="bottom"/>
            <w:hideMark/>
          </w:tcPr>
          <w:p w14:paraId="6745F141"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54.08%</w:t>
            </w:r>
          </w:p>
        </w:tc>
        <w:tc>
          <w:tcPr>
            <w:tcW w:w="960" w:type="dxa"/>
            <w:tcBorders>
              <w:top w:val="nil"/>
              <w:left w:val="nil"/>
              <w:bottom w:val="single" w:sz="4" w:space="0" w:color="auto"/>
              <w:right w:val="single" w:sz="8" w:space="0" w:color="auto"/>
            </w:tcBorders>
            <w:shd w:val="clear" w:color="auto" w:fill="auto"/>
            <w:noWrap/>
            <w:vAlign w:val="bottom"/>
            <w:hideMark/>
          </w:tcPr>
          <w:p w14:paraId="01452E0C"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59.62%</w:t>
            </w:r>
          </w:p>
        </w:tc>
      </w:tr>
      <w:tr w:rsidR="001376A0" w:rsidRPr="002D07B8" w14:paraId="13FABFB6" w14:textId="77777777" w:rsidTr="001376A0">
        <w:trPr>
          <w:trHeight w:val="290"/>
        </w:trPr>
        <w:tc>
          <w:tcPr>
            <w:tcW w:w="2540" w:type="dxa"/>
            <w:tcBorders>
              <w:top w:val="nil"/>
              <w:left w:val="single" w:sz="8" w:space="0" w:color="auto"/>
              <w:bottom w:val="single" w:sz="4" w:space="0" w:color="auto"/>
              <w:right w:val="single" w:sz="8" w:space="0" w:color="auto"/>
            </w:tcBorders>
            <w:shd w:val="clear" w:color="auto" w:fill="auto"/>
            <w:noWrap/>
            <w:vAlign w:val="center"/>
            <w:hideMark/>
          </w:tcPr>
          <w:p w14:paraId="7AC8C1F4" w14:textId="77777777" w:rsidR="001376A0" w:rsidRPr="002D07B8" w:rsidRDefault="001376A0" w:rsidP="001376A0">
            <w:pPr>
              <w:rPr>
                <w:rFonts w:asciiTheme="minorHAnsi" w:hAnsiTheme="minorHAnsi" w:cstheme="minorHAnsi"/>
                <w:b/>
                <w:bCs/>
                <w:color w:val="000000"/>
                <w:szCs w:val="22"/>
              </w:rPr>
            </w:pPr>
            <w:r w:rsidRPr="002D07B8">
              <w:rPr>
                <w:rFonts w:asciiTheme="minorHAnsi" w:hAnsiTheme="minorHAnsi" w:cstheme="minorHAnsi"/>
                <w:b/>
                <w:bCs/>
                <w:color w:val="000000"/>
                <w:szCs w:val="22"/>
              </w:rPr>
              <w:t>15 Rural Capital</w:t>
            </w:r>
          </w:p>
        </w:tc>
        <w:tc>
          <w:tcPr>
            <w:tcW w:w="987" w:type="dxa"/>
            <w:tcBorders>
              <w:top w:val="single" w:sz="4" w:space="0" w:color="auto"/>
              <w:left w:val="nil"/>
              <w:bottom w:val="single" w:sz="4" w:space="0" w:color="auto"/>
              <w:right w:val="single" w:sz="4" w:space="0" w:color="auto"/>
            </w:tcBorders>
            <w:shd w:val="clear" w:color="000000" w:fill="FFFF00"/>
            <w:noWrap/>
            <w:vAlign w:val="bottom"/>
            <w:hideMark/>
          </w:tcPr>
          <w:p w14:paraId="02C5B74A"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50.00%</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14:paraId="761538EB"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78.57%</w:t>
            </w:r>
          </w:p>
        </w:tc>
        <w:tc>
          <w:tcPr>
            <w:tcW w:w="98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7358191"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60.00%</w:t>
            </w:r>
          </w:p>
        </w:tc>
        <w:tc>
          <w:tcPr>
            <w:tcW w:w="1260" w:type="dxa"/>
            <w:tcBorders>
              <w:top w:val="nil"/>
              <w:left w:val="nil"/>
              <w:bottom w:val="single" w:sz="4" w:space="0" w:color="auto"/>
              <w:right w:val="single" w:sz="4" w:space="0" w:color="auto"/>
            </w:tcBorders>
            <w:shd w:val="clear" w:color="auto" w:fill="auto"/>
            <w:noWrap/>
            <w:vAlign w:val="bottom"/>
            <w:hideMark/>
          </w:tcPr>
          <w:p w14:paraId="4AB85B56"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60.86%</w:t>
            </w:r>
          </w:p>
        </w:tc>
        <w:tc>
          <w:tcPr>
            <w:tcW w:w="1078" w:type="dxa"/>
            <w:tcBorders>
              <w:top w:val="nil"/>
              <w:left w:val="nil"/>
              <w:bottom w:val="single" w:sz="4" w:space="0" w:color="auto"/>
              <w:right w:val="single" w:sz="4" w:space="0" w:color="auto"/>
            </w:tcBorders>
            <w:shd w:val="clear" w:color="auto" w:fill="auto"/>
            <w:noWrap/>
            <w:vAlign w:val="bottom"/>
            <w:hideMark/>
          </w:tcPr>
          <w:p w14:paraId="1D94CCE8"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56.52%</w:t>
            </w:r>
          </w:p>
        </w:tc>
        <w:tc>
          <w:tcPr>
            <w:tcW w:w="875" w:type="dxa"/>
            <w:tcBorders>
              <w:top w:val="nil"/>
              <w:left w:val="nil"/>
              <w:bottom w:val="single" w:sz="4" w:space="0" w:color="auto"/>
              <w:right w:val="single" w:sz="8" w:space="0" w:color="auto"/>
            </w:tcBorders>
            <w:shd w:val="clear" w:color="auto" w:fill="auto"/>
            <w:noWrap/>
            <w:vAlign w:val="bottom"/>
            <w:hideMark/>
          </w:tcPr>
          <w:p w14:paraId="7085B1E0"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60.91%</w:t>
            </w:r>
          </w:p>
        </w:tc>
        <w:tc>
          <w:tcPr>
            <w:tcW w:w="980" w:type="dxa"/>
            <w:tcBorders>
              <w:top w:val="single" w:sz="4" w:space="0" w:color="auto"/>
              <w:left w:val="single" w:sz="8" w:space="0" w:color="auto"/>
              <w:bottom w:val="single" w:sz="4" w:space="0" w:color="auto"/>
              <w:right w:val="single" w:sz="4" w:space="0" w:color="auto"/>
            </w:tcBorders>
            <w:shd w:val="clear" w:color="000000" w:fill="FFFF00"/>
            <w:noWrap/>
            <w:vAlign w:val="bottom"/>
            <w:hideMark/>
          </w:tcPr>
          <w:p w14:paraId="5405D729"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52.72%</w:t>
            </w:r>
          </w:p>
        </w:tc>
        <w:tc>
          <w:tcPr>
            <w:tcW w:w="875" w:type="dxa"/>
            <w:tcBorders>
              <w:top w:val="nil"/>
              <w:left w:val="nil"/>
              <w:bottom w:val="single" w:sz="4" w:space="0" w:color="auto"/>
              <w:right w:val="single" w:sz="4" w:space="0" w:color="auto"/>
            </w:tcBorders>
            <w:shd w:val="clear" w:color="auto" w:fill="auto"/>
            <w:noWrap/>
            <w:vAlign w:val="bottom"/>
            <w:hideMark/>
          </w:tcPr>
          <w:p w14:paraId="7F1C123D"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62.37%</w:t>
            </w:r>
          </w:p>
        </w:tc>
        <w:tc>
          <w:tcPr>
            <w:tcW w:w="87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72F49FE6"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63.19%</w:t>
            </w:r>
          </w:p>
        </w:tc>
        <w:tc>
          <w:tcPr>
            <w:tcW w:w="875" w:type="dxa"/>
            <w:tcBorders>
              <w:top w:val="nil"/>
              <w:left w:val="nil"/>
              <w:bottom w:val="single" w:sz="4" w:space="0" w:color="auto"/>
              <w:right w:val="single" w:sz="4" w:space="0" w:color="auto"/>
            </w:tcBorders>
            <w:shd w:val="clear" w:color="auto" w:fill="auto"/>
            <w:noWrap/>
            <w:vAlign w:val="bottom"/>
            <w:hideMark/>
          </w:tcPr>
          <w:p w14:paraId="2DA73091"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59.69%</w:t>
            </w:r>
          </w:p>
        </w:tc>
        <w:tc>
          <w:tcPr>
            <w:tcW w:w="1078" w:type="dxa"/>
            <w:tcBorders>
              <w:top w:val="nil"/>
              <w:left w:val="nil"/>
              <w:bottom w:val="single" w:sz="4" w:space="0" w:color="auto"/>
              <w:right w:val="single" w:sz="4" w:space="0" w:color="auto"/>
            </w:tcBorders>
            <w:shd w:val="clear" w:color="auto" w:fill="auto"/>
            <w:noWrap/>
            <w:vAlign w:val="bottom"/>
            <w:hideMark/>
          </w:tcPr>
          <w:p w14:paraId="01FF07D1"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54.08%</w:t>
            </w:r>
          </w:p>
        </w:tc>
        <w:tc>
          <w:tcPr>
            <w:tcW w:w="960" w:type="dxa"/>
            <w:tcBorders>
              <w:top w:val="nil"/>
              <w:left w:val="nil"/>
              <w:bottom w:val="single" w:sz="4" w:space="0" w:color="auto"/>
              <w:right w:val="single" w:sz="8" w:space="0" w:color="auto"/>
            </w:tcBorders>
            <w:shd w:val="clear" w:color="auto" w:fill="auto"/>
            <w:noWrap/>
            <w:vAlign w:val="bottom"/>
            <w:hideMark/>
          </w:tcPr>
          <w:p w14:paraId="2FDB87F0"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59.61%</w:t>
            </w:r>
          </w:p>
        </w:tc>
      </w:tr>
      <w:tr w:rsidR="001376A0" w:rsidRPr="002D07B8" w14:paraId="14E0E56E" w14:textId="77777777" w:rsidTr="001376A0">
        <w:trPr>
          <w:trHeight w:val="290"/>
        </w:trPr>
        <w:tc>
          <w:tcPr>
            <w:tcW w:w="2540" w:type="dxa"/>
            <w:tcBorders>
              <w:top w:val="nil"/>
              <w:left w:val="single" w:sz="8" w:space="0" w:color="auto"/>
              <w:bottom w:val="single" w:sz="4" w:space="0" w:color="auto"/>
              <w:right w:val="single" w:sz="8" w:space="0" w:color="auto"/>
            </w:tcBorders>
            <w:shd w:val="clear" w:color="auto" w:fill="auto"/>
            <w:noWrap/>
            <w:vAlign w:val="center"/>
            <w:hideMark/>
          </w:tcPr>
          <w:p w14:paraId="1599521B" w14:textId="77777777" w:rsidR="001376A0" w:rsidRPr="002D07B8" w:rsidRDefault="001376A0" w:rsidP="001376A0">
            <w:pPr>
              <w:rPr>
                <w:rFonts w:asciiTheme="minorHAnsi" w:hAnsiTheme="minorHAnsi" w:cstheme="minorHAnsi"/>
                <w:b/>
                <w:bCs/>
                <w:color w:val="000000"/>
                <w:szCs w:val="22"/>
              </w:rPr>
            </w:pPr>
            <w:r w:rsidRPr="002D07B8">
              <w:rPr>
                <w:rFonts w:asciiTheme="minorHAnsi" w:hAnsiTheme="minorHAnsi" w:cstheme="minorHAnsi"/>
                <w:b/>
                <w:bCs/>
                <w:color w:val="000000"/>
                <w:szCs w:val="22"/>
              </w:rPr>
              <w:t>16 Brazos Valley</w:t>
            </w:r>
          </w:p>
        </w:tc>
        <w:tc>
          <w:tcPr>
            <w:tcW w:w="987" w:type="dxa"/>
            <w:tcBorders>
              <w:top w:val="nil"/>
              <w:left w:val="nil"/>
              <w:bottom w:val="single" w:sz="4" w:space="0" w:color="auto"/>
              <w:right w:val="single" w:sz="4" w:space="0" w:color="auto"/>
            </w:tcBorders>
            <w:shd w:val="clear" w:color="auto" w:fill="auto"/>
            <w:noWrap/>
            <w:vAlign w:val="bottom"/>
            <w:hideMark/>
          </w:tcPr>
          <w:p w14:paraId="35EF96FF"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66.67%</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14:paraId="43808F86"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NA</w:t>
            </w:r>
          </w:p>
        </w:tc>
        <w:tc>
          <w:tcPr>
            <w:tcW w:w="987" w:type="dxa"/>
            <w:tcBorders>
              <w:top w:val="nil"/>
              <w:left w:val="nil"/>
              <w:bottom w:val="single" w:sz="4" w:space="0" w:color="auto"/>
              <w:right w:val="single" w:sz="4" w:space="0" w:color="auto"/>
            </w:tcBorders>
            <w:shd w:val="clear" w:color="auto" w:fill="auto"/>
            <w:noWrap/>
            <w:vAlign w:val="bottom"/>
            <w:hideMark/>
          </w:tcPr>
          <w:p w14:paraId="360EEE2F"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86.67%</w:t>
            </w:r>
          </w:p>
        </w:tc>
        <w:tc>
          <w:tcPr>
            <w:tcW w:w="1260" w:type="dxa"/>
            <w:tcBorders>
              <w:top w:val="nil"/>
              <w:left w:val="nil"/>
              <w:bottom w:val="single" w:sz="4" w:space="0" w:color="auto"/>
              <w:right w:val="single" w:sz="4" w:space="0" w:color="auto"/>
            </w:tcBorders>
            <w:shd w:val="clear" w:color="auto" w:fill="auto"/>
            <w:noWrap/>
            <w:vAlign w:val="bottom"/>
            <w:hideMark/>
          </w:tcPr>
          <w:p w14:paraId="75D44721"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71.83%</w:t>
            </w:r>
          </w:p>
        </w:tc>
        <w:tc>
          <w:tcPr>
            <w:tcW w:w="1078" w:type="dxa"/>
            <w:tcBorders>
              <w:top w:val="nil"/>
              <w:left w:val="nil"/>
              <w:bottom w:val="single" w:sz="4" w:space="0" w:color="auto"/>
              <w:right w:val="single" w:sz="4" w:space="0" w:color="auto"/>
            </w:tcBorders>
            <w:shd w:val="clear" w:color="auto" w:fill="auto"/>
            <w:noWrap/>
            <w:vAlign w:val="bottom"/>
            <w:hideMark/>
          </w:tcPr>
          <w:p w14:paraId="6BB9B6D2"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100.00%</w:t>
            </w:r>
          </w:p>
        </w:tc>
        <w:tc>
          <w:tcPr>
            <w:tcW w:w="875" w:type="dxa"/>
            <w:tcBorders>
              <w:top w:val="nil"/>
              <w:left w:val="nil"/>
              <w:bottom w:val="single" w:sz="4" w:space="0" w:color="auto"/>
              <w:right w:val="single" w:sz="8" w:space="0" w:color="auto"/>
            </w:tcBorders>
            <w:shd w:val="clear" w:color="auto" w:fill="auto"/>
            <w:noWrap/>
            <w:vAlign w:val="bottom"/>
            <w:hideMark/>
          </w:tcPr>
          <w:p w14:paraId="4EA77D9D"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72.84%</w:t>
            </w:r>
          </w:p>
        </w:tc>
        <w:tc>
          <w:tcPr>
            <w:tcW w:w="980" w:type="dxa"/>
            <w:tcBorders>
              <w:top w:val="nil"/>
              <w:left w:val="nil"/>
              <w:bottom w:val="single" w:sz="4" w:space="0" w:color="auto"/>
              <w:right w:val="single" w:sz="4" w:space="0" w:color="auto"/>
            </w:tcBorders>
            <w:shd w:val="clear" w:color="auto" w:fill="auto"/>
            <w:noWrap/>
            <w:vAlign w:val="bottom"/>
            <w:hideMark/>
          </w:tcPr>
          <w:p w14:paraId="0A8ADC76"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55.44%</w:t>
            </w:r>
          </w:p>
        </w:tc>
        <w:tc>
          <w:tcPr>
            <w:tcW w:w="875" w:type="dxa"/>
            <w:tcBorders>
              <w:top w:val="nil"/>
              <w:left w:val="nil"/>
              <w:bottom w:val="single" w:sz="4" w:space="0" w:color="auto"/>
              <w:right w:val="single" w:sz="4" w:space="0" w:color="auto"/>
            </w:tcBorders>
            <w:shd w:val="clear" w:color="auto" w:fill="auto"/>
            <w:noWrap/>
            <w:vAlign w:val="bottom"/>
            <w:hideMark/>
          </w:tcPr>
          <w:p w14:paraId="0C3847FA"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62.37%</w:t>
            </w:r>
          </w:p>
        </w:tc>
        <w:tc>
          <w:tcPr>
            <w:tcW w:w="875" w:type="dxa"/>
            <w:tcBorders>
              <w:top w:val="nil"/>
              <w:left w:val="nil"/>
              <w:bottom w:val="single" w:sz="4" w:space="0" w:color="auto"/>
              <w:right w:val="single" w:sz="4" w:space="0" w:color="auto"/>
            </w:tcBorders>
            <w:shd w:val="clear" w:color="auto" w:fill="auto"/>
            <w:noWrap/>
            <w:vAlign w:val="bottom"/>
            <w:hideMark/>
          </w:tcPr>
          <w:p w14:paraId="662E02A2"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66.37%</w:t>
            </w:r>
          </w:p>
        </w:tc>
        <w:tc>
          <w:tcPr>
            <w:tcW w:w="875" w:type="dxa"/>
            <w:tcBorders>
              <w:top w:val="nil"/>
              <w:left w:val="nil"/>
              <w:bottom w:val="single" w:sz="4" w:space="0" w:color="auto"/>
              <w:right w:val="single" w:sz="4" w:space="0" w:color="auto"/>
            </w:tcBorders>
            <w:shd w:val="clear" w:color="auto" w:fill="auto"/>
            <w:noWrap/>
            <w:vAlign w:val="bottom"/>
            <w:hideMark/>
          </w:tcPr>
          <w:p w14:paraId="0E27DF44"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59.69%</w:t>
            </w:r>
          </w:p>
        </w:tc>
        <w:tc>
          <w:tcPr>
            <w:tcW w:w="1078" w:type="dxa"/>
            <w:tcBorders>
              <w:top w:val="nil"/>
              <w:left w:val="nil"/>
              <w:bottom w:val="single" w:sz="4" w:space="0" w:color="auto"/>
              <w:right w:val="single" w:sz="4" w:space="0" w:color="auto"/>
            </w:tcBorders>
            <w:shd w:val="clear" w:color="auto" w:fill="auto"/>
            <w:noWrap/>
            <w:vAlign w:val="bottom"/>
            <w:hideMark/>
          </w:tcPr>
          <w:p w14:paraId="2AACE216"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54.08%</w:t>
            </w:r>
          </w:p>
        </w:tc>
        <w:tc>
          <w:tcPr>
            <w:tcW w:w="960" w:type="dxa"/>
            <w:tcBorders>
              <w:top w:val="nil"/>
              <w:left w:val="nil"/>
              <w:bottom w:val="single" w:sz="4" w:space="0" w:color="auto"/>
              <w:right w:val="single" w:sz="8" w:space="0" w:color="auto"/>
            </w:tcBorders>
            <w:shd w:val="clear" w:color="auto" w:fill="auto"/>
            <w:noWrap/>
            <w:vAlign w:val="bottom"/>
            <w:hideMark/>
          </w:tcPr>
          <w:p w14:paraId="456A2A2D"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60.00%</w:t>
            </w:r>
          </w:p>
        </w:tc>
      </w:tr>
      <w:tr w:rsidR="001376A0" w:rsidRPr="002D07B8" w14:paraId="5A540438" w14:textId="77777777" w:rsidTr="001376A0">
        <w:trPr>
          <w:trHeight w:val="290"/>
        </w:trPr>
        <w:tc>
          <w:tcPr>
            <w:tcW w:w="2540" w:type="dxa"/>
            <w:tcBorders>
              <w:top w:val="nil"/>
              <w:left w:val="single" w:sz="8" w:space="0" w:color="auto"/>
              <w:bottom w:val="single" w:sz="4" w:space="0" w:color="auto"/>
              <w:right w:val="single" w:sz="8" w:space="0" w:color="auto"/>
            </w:tcBorders>
            <w:shd w:val="clear" w:color="auto" w:fill="auto"/>
            <w:noWrap/>
            <w:vAlign w:val="center"/>
            <w:hideMark/>
          </w:tcPr>
          <w:p w14:paraId="12CE61B7" w14:textId="77777777" w:rsidR="001376A0" w:rsidRPr="002D07B8" w:rsidRDefault="001376A0" w:rsidP="001376A0">
            <w:pPr>
              <w:rPr>
                <w:rFonts w:asciiTheme="minorHAnsi" w:hAnsiTheme="minorHAnsi" w:cstheme="minorHAnsi"/>
                <w:b/>
                <w:bCs/>
                <w:color w:val="000000"/>
                <w:szCs w:val="22"/>
              </w:rPr>
            </w:pPr>
            <w:r w:rsidRPr="002D07B8">
              <w:rPr>
                <w:rFonts w:asciiTheme="minorHAnsi" w:hAnsiTheme="minorHAnsi" w:cstheme="minorHAnsi"/>
                <w:b/>
                <w:bCs/>
                <w:color w:val="000000"/>
                <w:szCs w:val="22"/>
              </w:rPr>
              <w:t>17 Deep East Texas</w:t>
            </w:r>
          </w:p>
        </w:tc>
        <w:tc>
          <w:tcPr>
            <w:tcW w:w="987" w:type="dxa"/>
            <w:tcBorders>
              <w:top w:val="single" w:sz="4" w:space="0" w:color="auto"/>
              <w:left w:val="nil"/>
              <w:bottom w:val="single" w:sz="4" w:space="0" w:color="auto"/>
              <w:right w:val="single" w:sz="4" w:space="0" w:color="auto"/>
            </w:tcBorders>
            <w:shd w:val="clear" w:color="000000" w:fill="FFFF00"/>
            <w:noWrap/>
            <w:vAlign w:val="bottom"/>
            <w:hideMark/>
          </w:tcPr>
          <w:p w14:paraId="1287582A"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50.00%</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14:paraId="6D4DFCF3"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100.00%</w:t>
            </w:r>
          </w:p>
        </w:tc>
        <w:tc>
          <w:tcPr>
            <w:tcW w:w="987" w:type="dxa"/>
            <w:tcBorders>
              <w:top w:val="nil"/>
              <w:left w:val="nil"/>
              <w:bottom w:val="single" w:sz="4" w:space="0" w:color="auto"/>
              <w:right w:val="single" w:sz="4" w:space="0" w:color="auto"/>
            </w:tcBorders>
            <w:shd w:val="clear" w:color="auto" w:fill="auto"/>
            <w:noWrap/>
            <w:vAlign w:val="bottom"/>
            <w:hideMark/>
          </w:tcPr>
          <w:p w14:paraId="63EDF13C"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70.67%</w:t>
            </w:r>
          </w:p>
        </w:tc>
        <w:tc>
          <w:tcPr>
            <w:tcW w:w="1260" w:type="dxa"/>
            <w:tcBorders>
              <w:top w:val="nil"/>
              <w:left w:val="nil"/>
              <w:bottom w:val="single" w:sz="4" w:space="0" w:color="auto"/>
              <w:right w:val="single" w:sz="4" w:space="0" w:color="auto"/>
            </w:tcBorders>
            <w:shd w:val="clear" w:color="auto" w:fill="auto"/>
            <w:noWrap/>
            <w:vAlign w:val="bottom"/>
            <w:hideMark/>
          </w:tcPr>
          <w:p w14:paraId="3A4C677C"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62.89%</w:t>
            </w:r>
          </w:p>
        </w:tc>
        <w:tc>
          <w:tcPr>
            <w:tcW w:w="107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02ACDF9"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42.11%</w:t>
            </w:r>
          </w:p>
        </w:tc>
        <w:tc>
          <w:tcPr>
            <w:tcW w:w="875" w:type="dxa"/>
            <w:tcBorders>
              <w:top w:val="nil"/>
              <w:left w:val="nil"/>
              <w:bottom w:val="single" w:sz="4" w:space="0" w:color="auto"/>
              <w:right w:val="single" w:sz="8" w:space="0" w:color="auto"/>
            </w:tcBorders>
            <w:shd w:val="clear" w:color="auto" w:fill="auto"/>
            <w:noWrap/>
            <w:vAlign w:val="bottom"/>
            <w:hideMark/>
          </w:tcPr>
          <w:p w14:paraId="252C9FB4"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63.33%</w:t>
            </w:r>
          </w:p>
        </w:tc>
        <w:tc>
          <w:tcPr>
            <w:tcW w:w="980" w:type="dxa"/>
            <w:tcBorders>
              <w:top w:val="single" w:sz="4" w:space="0" w:color="auto"/>
              <w:left w:val="single" w:sz="8" w:space="0" w:color="auto"/>
              <w:bottom w:val="single" w:sz="4" w:space="0" w:color="auto"/>
              <w:right w:val="single" w:sz="4" w:space="0" w:color="auto"/>
            </w:tcBorders>
            <w:shd w:val="clear" w:color="000000" w:fill="FFFF00"/>
            <w:noWrap/>
            <w:vAlign w:val="bottom"/>
            <w:hideMark/>
          </w:tcPr>
          <w:p w14:paraId="3BF7727D"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52.72%</w:t>
            </w:r>
          </w:p>
        </w:tc>
        <w:tc>
          <w:tcPr>
            <w:tcW w:w="875" w:type="dxa"/>
            <w:tcBorders>
              <w:top w:val="nil"/>
              <w:left w:val="nil"/>
              <w:bottom w:val="single" w:sz="4" w:space="0" w:color="auto"/>
              <w:right w:val="single" w:sz="4" w:space="0" w:color="auto"/>
            </w:tcBorders>
            <w:shd w:val="clear" w:color="auto" w:fill="auto"/>
            <w:noWrap/>
            <w:vAlign w:val="bottom"/>
            <w:hideMark/>
          </w:tcPr>
          <w:p w14:paraId="1EF004CC"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62.37%</w:t>
            </w:r>
          </w:p>
        </w:tc>
        <w:tc>
          <w:tcPr>
            <w:tcW w:w="875" w:type="dxa"/>
            <w:tcBorders>
              <w:top w:val="nil"/>
              <w:left w:val="nil"/>
              <w:bottom w:val="single" w:sz="4" w:space="0" w:color="auto"/>
              <w:right w:val="single" w:sz="4" w:space="0" w:color="auto"/>
            </w:tcBorders>
            <w:shd w:val="clear" w:color="auto" w:fill="auto"/>
            <w:noWrap/>
            <w:vAlign w:val="bottom"/>
            <w:hideMark/>
          </w:tcPr>
          <w:p w14:paraId="78F4C259"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66.37%</w:t>
            </w:r>
          </w:p>
        </w:tc>
        <w:tc>
          <w:tcPr>
            <w:tcW w:w="875" w:type="dxa"/>
            <w:tcBorders>
              <w:top w:val="nil"/>
              <w:left w:val="nil"/>
              <w:bottom w:val="single" w:sz="4" w:space="0" w:color="auto"/>
              <w:right w:val="single" w:sz="4" w:space="0" w:color="auto"/>
            </w:tcBorders>
            <w:shd w:val="clear" w:color="auto" w:fill="auto"/>
            <w:noWrap/>
            <w:vAlign w:val="bottom"/>
            <w:hideMark/>
          </w:tcPr>
          <w:p w14:paraId="60D0D208"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59.69%</w:t>
            </w:r>
          </w:p>
        </w:tc>
        <w:tc>
          <w:tcPr>
            <w:tcW w:w="107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61666EE"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48.09%</w:t>
            </w:r>
          </w:p>
        </w:tc>
        <w:tc>
          <w:tcPr>
            <w:tcW w:w="960" w:type="dxa"/>
            <w:tcBorders>
              <w:top w:val="nil"/>
              <w:left w:val="nil"/>
              <w:bottom w:val="single" w:sz="4" w:space="0" w:color="auto"/>
              <w:right w:val="single" w:sz="8" w:space="0" w:color="auto"/>
            </w:tcBorders>
            <w:shd w:val="clear" w:color="auto" w:fill="auto"/>
            <w:noWrap/>
            <w:vAlign w:val="bottom"/>
            <w:hideMark/>
          </w:tcPr>
          <w:p w14:paraId="6477931F"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60.00%</w:t>
            </w:r>
          </w:p>
        </w:tc>
      </w:tr>
      <w:tr w:rsidR="001376A0" w:rsidRPr="002D07B8" w14:paraId="4186F928" w14:textId="77777777" w:rsidTr="001376A0">
        <w:trPr>
          <w:trHeight w:val="290"/>
        </w:trPr>
        <w:tc>
          <w:tcPr>
            <w:tcW w:w="2540" w:type="dxa"/>
            <w:tcBorders>
              <w:top w:val="nil"/>
              <w:left w:val="single" w:sz="8" w:space="0" w:color="auto"/>
              <w:bottom w:val="single" w:sz="4" w:space="0" w:color="auto"/>
              <w:right w:val="single" w:sz="8" w:space="0" w:color="auto"/>
            </w:tcBorders>
            <w:shd w:val="clear" w:color="auto" w:fill="auto"/>
            <w:noWrap/>
            <w:vAlign w:val="center"/>
            <w:hideMark/>
          </w:tcPr>
          <w:p w14:paraId="6432D120" w14:textId="77777777" w:rsidR="001376A0" w:rsidRPr="002D07B8" w:rsidRDefault="001376A0" w:rsidP="001376A0">
            <w:pPr>
              <w:rPr>
                <w:rFonts w:asciiTheme="minorHAnsi" w:hAnsiTheme="minorHAnsi" w:cstheme="minorHAnsi"/>
                <w:b/>
                <w:bCs/>
                <w:color w:val="000000"/>
                <w:szCs w:val="22"/>
              </w:rPr>
            </w:pPr>
            <w:r w:rsidRPr="002D07B8">
              <w:rPr>
                <w:rFonts w:asciiTheme="minorHAnsi" w:hAnsiTheme="minorHAnsi" w:cstheme="minorHAnsi"/>
                <w:b/>
                <w:bCs/>
                <w:color w:val="000000"/>
                <w:szCs w:val="22"/>
              </w:rPr>
              <w:t>18 Southeast Texas</w:t>
            </w:r>
          </w:p>
        </w:tc>
        <w:tc>
          <w:tcPr>
            <w:tcW w:w="987" w:type="dxa"/>
            <w:tcBorders>
              <w:top w:val="single" w:sz="4" w:space="0" w:color="auto"/>
              <w:left w:val="nil"/>
              <w:bottom w:val="single" w:sz="4" w:space="0" w:color="auto"/>
              <w:right w:val="single" w:sz="4" w:space="0" w:color="auto"/>
            </w:tcBorders>
            <w:shd w:val="clear" w:color="000000" w:fill="FFFF00"/>
            <w:noWrap/>
            <w:vAlign w:val="bottom"/>
            <w:hideMark/>
          </w:tcPr>
          <w:p w14:paraId="0C8DB157"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0.00%</w:t>
            </w:r>
          </w:p>
        </w:tc>
        <w:tc>
          <w:tcPr>
            <w:tcW w:w="98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2D8FB9F"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50.00%</w:t>
            </w:r>
          </w:p>
        </w:tc>
        <w:tc>
          <w:tcPr>
            <w:tcW w:w="987" w:type="dxa"/>
            <w:tcBorders>
              <w:top w:val="nil"/>
              <w:left w:val="nil"/>
              <w:bottom w:val="single" w:sz="4" w:space="0" w:color="auto"/>
              <w:right w:val="single" w:sz="4" w:space="0" w:color="auto"/>
            </w:tcBorders>
            <w:shd w:val="clear" w:color="auto" w:fill="auto"/>
            <w:noWrap/>
            <w:vAlign w:val="bottom"/>
            <w:hideMark/>
          </w:tcPr>
          <w:p w14:paraId="4939D243"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66.42%</w:t>
            </w:r>
          </w:p>
        </w:tc>
        <w:tc>
          <w:tcPr>
            <w:tcW w:w="1260" w:type="dxa"/>
            <w:tcBorders>
              <w:top w:val="nil"/>
              <w:left w:val="nil"/>
              <w:bottom w:val="single" w:sz="4" w:space="0" w:color="auto"/>
              <w:right w:val="single" w:sz="4" w:space="0" w:color="auto"/>
            </w:tcBorders>
            <w:shd w:val="clear" w:color="auto" w:fill="auto"/>
            <w:noWrap/>
            <w:vAlign w:val="bottom"/>
            <w:hideMark/>
          </w:tcPr>
          <w:p w14:paraId="4A442377"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62.65%</w:t>
            </w:r>
          </w:p>
        </w:tc>
        <w:tc>
          <w:tcPr>
            <w:tcW w:w="1078" w:type="dxa"/>
            <w:tcBorders>
              <w:top w:val="nil"/>
              <w:left w:val="nil"/>
              <w:bottom w:val="single" w:sz="4" w:space="0" w:color="auto"/>
              <w:right w:val="single" w:sz="4" w:space="0" w:color="auto"/>
            </w:tcBorders>
            <w:shd w:val="clear" w:color="auto" w:fill="auto"/>
            <w:noWrap/>
            <w:vAlign w:val="bottom"/>
            <w:hideMark/>
          </w:tcPr>
          <w:p w14:paraId="33115EE1"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61.29%</w:t>
            </w:r>
          </w:p>
        </w:tc>
        <w:tc>
          <w:tcPr>
            <w:tcW w:w="875" w:type="dxa"/>
            <w:tcBorders>
              <w:top w:val="nil"/>
              <w:left w:val="nil"/>
              <w:bottom w:val="single" w:sz="4" w:space="0" w:color="auto"/>
              <w:right w:val="single" w:sz="8" w:space="0" w:color="auto"/>
            </w:tcBorders>
            <w:shd w:val="clear" w:color="auto" w:fill="auto"/>
            <w:noWrap/>
            <w:vAlign w:val="bottom"/>
            <w:hideMark/>
          </w:tcPr>
          <w:p w14:paraId="3C719EA0"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63.01%</w:t>
            </w:r>
          </w:p>
        </w:tc>
        <w:tc>
          <w:tcPr>
            <w:tcW w:w="980" w:type="dxa"/>
            <w:tcBorders>
              <w:top w:val="single" w:sz="4" w:space="0" w:color="auto"/>
              <w:left w:val="single" w:sz="8" w:space="0" w:color="auto"/>
              <w:bottom w:val="single" w:sz="4" w:space="0" w:color="auto"/>
              <w:right w:val="single" w:sz="4" w:space="0" w:color="auto"/>
            </w:tcBorders>
            <w:shd w:val="clear" w:color="000000" w:fill="FFFF00"/>
            <w:noWrap/>
            <w:vAlign w:val="bottom"/>
            <w:hideMark/>
          </w:tcPr>
          <w:p w14:paraId="6DDF4580"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27.72%</w:t>
            </w:r>
          </w:p>
        </w:tc>
        <w:tc>
          <w:tcPr>
            <w:tcW w:w="87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97A367D"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56.19%</w:t>
            </w:r>
          </w:p>
        </w:tc>
        <w:tc>
          <w:tcPr>
            <w:tcW w:w="875" w:type="dxa"/>
            <w:tcBorders>
              <w:top w:val="nil"/>
              <w:left w:val="nil"/>
              <w:bottom w:val="single" w:sz="4" w:space="0" w:color="auto"/>
              <w:right w:val="single" w:sz="4" w:space="0" w:color="auto"/>
            </w:tcBorders>
            <w:shd w:val="clear" w:color="auto" w:fill="auto"/>
            <w:noWrap/>
            <w:vAlign w:val="bottom"/>
            <w:hideMark/>
          </w:tcPr>
          <w:p w14:paraId="50891DF8"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66.37%</w:t>
            </w:r>
          </w:p>
        </w:tc>
        <w:tc>
          <w:tcPr>
            <w:tcW w:w="875" w:type="dxa"/>
            <w:tcBorders>
              <w:top w:val="nil"/>
              <w:left w:val="nil"/>
              <w:bottom w:val="single" w:sz="4" w:space="0" w:color="auto"/>
              <w:right w:val="single" w:sz="4" w:space="0" w:color="auto"/>
            </w:tcBorders>
            <w:shd w:val="clear" w:color="auto" w:fill="auto"/>
            <w:noWrap/>
            <w:vAlign w:val="bottom"/>
            <w:hideMark/>
          </w:tcPr>
          <w:p w14:paraId="374F94A7"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59.69%</w:t>
            </w:r>
          </w:p>
        </w:tc>
        <w:tc>
          <w:tcPr>
            <w:tcW w:w="1078" w:type="dxa"/>
            <w:tcBorders>
              <w:top w:val="nil"/>
              <w:left w:val="nil"/>
              <w:bottom w:val="single" w:sz="4" w:space="0" w:color="auto"/>
              <w:right w:val="single" w:sz="4" w:space="0" w:color="auto"/>
            </w:tcBorders>
            <w:shd w:val="clear" w:color="auto" w:fill="auto"/>
            <w:noWrap/>
            <w:vAlign w:val="bottom"/>
            <w:hideMark/>
          </w:tcPr>
          <w:p w14:paraId="0306912E"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54.08%</w:t>
            </w:r>
          </w:p>
        </w:tc>
        <w:tc>
          <w:tcPr>
            <w:tcW w:w="960" w:type="dxa"/>
            <w:tcBorders>
              <w:top w:val="nil"/>
              <w:left w:val="nil"/>
              <w:bottom w:val="single" w:sz="4" w:space="0" w:color="auto"/>
              <w:right w:val="single" w:sz="8" w:space="0" w:color="auto"/>
            </w:tcBorders>
            <w:shd w:val="clear" w:color="auto" w:fill="auto"/>
            <w:noWrap/>
            <w:vAlign w:val="bottom"/>
            <w:hideMark/>
          </w:tcPr>
          <w:p w14:paraId="2DFC4244"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60.00%</w:t>
            </w:r>
          </w:p>
        </w:tc>
      </w:tr>
      <w:tr w:rsidR="001376A0" w:rsidRPr="002D07B8" w14:paraId="03F45FEE" w14:textId="77777777" w:rsidTr="001376A0">
        <w:trPr>
          <w:trHeight w:val="290"/>
        </w:trPr>
        <w:tc>
          <w:tcPr>
            <w:tcW w:w="2540" w:type="dxa"/>
            <w:tcBorders>
              <w:top w:val="nil"/>
              <w:left w:val="single" w:sz="8" w:space="0" w:color="auto"/>
              <w:bottom w:val="single" w:sz="4" w:space="0" w:color="auto"/>
              <w:right w:val="single" w:sz="8" w:space="0" w:color="auto"/>
            </w:tcBorders>
            <w:shd w:val="clear" w:color="auto" w:fill="auto"/>
            <w:noWrap/>
            <w:vAlign w:val="center"/>
            <w:hideMark/>
          </w:tcPr>
          <w:p w14:paraId="721144D3" w14:textId="77777777" w:rsidR="001376A0" w:rsidRPr="002D07B8" w:rsidRDefault="001376A0" w:rsidP="001376A0">
            <w:pPr>
              <w:rPr>
                <w:rFonts w:asciiTheme="minorHAnsi" w:hAnsiTheme="minorHAnsi" w:cstheme="minorHAnsi"/>
                <w:b/>
                <w:bCs/>
                <w:color w:val="000000"/>
                <w:szCs w:val="22"/>
              </w:rPr>
            </w:pPr>
            <w:r w:rsidRPr="002D07B8">
              <w:rPr>
                <w:rFonts w:asciiTheme="minorHAnsi" w:hAnsiTheme="minorHAnsi" w:cstheme="minorHAnsi"/>
                <w:b/>
                <w:bCs/>
                <w:color w:val="000000"/>
                <w:szCs w:val="22"/>
              </w:rPr>
              <w:t>19 Golden Crescent</w:t>
            </w:r>
          </w:p>
        </w:tc>
        <w:tc>
          <w:tcPr>
            <w:tcW w:w="987" w:type="dxa"/>
            <w:tcBorders>
              <w:top w:val="single" w:sz="4" w:space="0" w:color="auto"/>
              <w:left w:val="nil"/>
              <w:bottom w:val="single" w:sz="4" w:space="0" w:color="auto"/>
              <w:right w:val="single" w:sz="4" w:space="0" w:color="auto"/>
            </w:tcBorders>
            <w:shd w:val="clear" w:color="000000" w:fill="FFFF00"/>
            <w:noWrap/>
            <w:vAlign w:val="bottom"/>
            <w:hideMark/>
          </w:tcPr>
          <w:p w14:paraId="1B8A55EE"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50.00%</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14:paraId="250F47EE"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100.00%</w:t>
            </w:r>
          </w:p>
        </w:tc>
        <w:tc>
          <w:tcPr>
            <w:tcW w:w="98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473F57"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55.00%</w:t>
            </w:r>
          </w:p>
        </w:tc>
        <w:tc>
          <w:tcPr>
            <w:tcW w:w="1260" w:type="dxa"/>
            <w:tcBorders>
              <w:top w:val="nil"/>
              <w:left w:val="nil"/>
              <w:bottom w:val="single" w:sz="4" w:space="0" w:color="auto"/>
              <w:right w:val="single" w:sz="4" w:space="0" w:color="auto"/>
            </w:tcBorders>
            <w:shd w:val="clear" w:color="auto" w:fill="auto"/>
            <w:noWrap/>
            <w:vAlign w:val="bottom"/>
            <w:hideMark/>
          </w:tcPr>
          <w:p w14:paraId="0655CA32"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59.62%</w:t>
            </w:r>
          </w:p>
        </w:tc>
        <w:tc>
          <w:tcPr>
            <w:tcW w:w="107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43A8E9F"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33.33%</w:t>
            </w:r>
          </w:p>
        </w:tc>
        <w:tc>
          <w:tcPr>
            <w:tcW w:w="875" w:type="dxa"/>
            <w:tcBorders>
              <w:top w:val="nil"/>
              <w:left w:val="nil"/>
              <w:bottom w:val="single" w:sz="4" w:space="0" w:color="auto"/>
              <w:right w:val="single" w:sz="8" w:space="0" w:color="auto"/>
            </w:tcBorders>
            <w:shd w:val="clear" w:color="auto" w:fill="auto"/>
            <w:noWrap/>
            <w:vAlign w:val="bottom"/>
            <w:hideMark/>
          </w:tcPr>
          <w:p w14:paraId="757E34E9"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58.79%</w:t>
            </w:r>
          </w:p>
        </w:tc>
        <w:tc>
          <w:tcPr>
            <w:tcW w:w="980" w:type="dxa"/>
            <w:tcBorders>
              <w:top w:val="single" w:sz="4" w:space="0" w:color="auto"/>
              <w:left w:val="single" w:sz="8" w:space="0" w:color="auto"/>
              <w:bottom w:val="single" w:sz="4" w:space="0" w:color="auto"/>
              <w:right w:val="single" w:sz="4" w:space="0" w:color="auto"/>
            </w:tcBorders>
            <w:shd w:val="clear" w:color="000000" w:fill="FFFF00"/>
            <w:noWrap/>
            <w:vAlign w:val="bottom"/>
            <w:hideMark/>
          </w:tcPr>
          <w:p w14:paraId="05C0D5F8"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52.72%</w:t>
            </w:r>
          </w:p>
        </w:tc>
        <w:tc>
          <w:tcPr>
            <w:tcW w:w="875" w:type="dxa"/>
            <w:tcBorders>
              <w:top w:val="nil"/>
              <w:left w:val="nil"/>
              <w:bottom w:val="single" w:sz="4" w:space="0" w:color="auto"/>
              <w:right w:val="single" w:sz="4" w:space="0" w:color="auto"/>
            </w:tcBorders>
            <w:shd w:val="clear" w:color="auto" w:fill="auto"/>
            <w:noWrap/>
            <w:vAlign w:val="bottom"/>
            <w:hideMark/>
          </w:tcPr>
          <w:p w14:paraId="51DD405E"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62.37%</w:t>
            </w:r>
          </w:p>
        </w:tc>
        <w:tc>
          <w:tcPr>
            <w:tcW w:w="87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FFB359C"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60.69%</w:t>
            </w:r>
          </w:p>
        </w:tc>
        <w:tc>
          <w:tcPr>
            <w:tcW w:w="87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34464E2"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59.65%</w:t>
            </w:r>
          </w:p>
        </w:tc>
        <w:tc>
          <w:tcPr>
            <w:tcW w:w="107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1DF0952"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43.71%</w:t>
            </w:r>
          </w:p>
        </w:tc>
        <w:tc>
          <w:tcPr>
            <w:tcW w:w="960" w:type="dxa"/>
            <w:tcBorders>
              <w:top w:val="nil"/>
              <w:left w:val="nil"/>
              <w:bottom w:val="single" w:sz="4" w:space="0" w:color="auto"/>
              <w:right w:val="single" w:sz="8" w:space="0" w:color="auto"/>
            </w:tcBorders>
            <w:shd w:val="clear" w:color="auto" w:fill="auto"/>
            <w:noWrap/>
            <w:vAlign w:val="bottom"/>
            <w:hideMark/>
          </w:tcPr>
          <w:p w14:paraId="647552BF"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59.44%</w:t>
            </w:r>
          </w:p>
        </w:tc>
      </w:tr>
      <w:tr w:rsidR="001376A0" w:rsidRPr="002D07B8" w14:paraId="02E23D02" w14:textId="77777777" w:rsidTr="001376A0">
        <w:trPr>
          <w:trHeight w:val="290"/>
        </w:trPr>
        <w:tc>
          <w:tcPr>
            <w:tcW w:w="2540" w:type="dxa"/>
            <w:tcBorders>
              <w:top w:val="nil"/>
              <w:left w:val="single" w:sz="8" w:space="0" w:color="auto"/>
              <w:bottom w:val="single" w:sz="4" w:space="0" w:color="auto"/>
              <w:right w:val="single" w:sz="8" w:space="0" w:color="auto"/>
            </w:tcBorders>
            <w:shd w:val="clear" w:color="auto" w:fill="auto"/>
            <w:noWrap/>
            <w:vAlign w:val="center"/>
            <w:hideMark/>
          </w:tcPr>
          <w:p w14:paraId="5110DF36" w14:textId="77777777" w:rsidR="001376A0" w:rsidRPr="002D07B8" w:rsidRDefault="001376A0" w:rsidP="001376A0">
            <w:pPr>
              <w:rPr>
                <w:rFonts w:asciiTheme="minorHAnsi" w:hAnsiTheme="minorHAnsi" w:cstheme="minorHAnsi"/>
                <w:b/>
                <w:bCs/>
                <w:color w:val="000000"/>
                <w:szCs w:val="22"/>
              </w:rPr>
            </w:pPr>
            <w:r w:rsidRPr="002D07B8">
              <w:rPr>
                <w:rFonts w:asciiTheme="minorHAnsi" w:hAnsiTheme="minorHAnsi" w:cstheme="minorHAnsi"/>
                <w:b/>
                <w:bCs/>
                <w:color w:val="000000"/>
                <w:szCs w:val="22"/>
              </w:rPr>
              <w:t>20 Alamo Area</w:t>
            </w:r>
          </w:p>
        </w:tc>
        <w:tc>
          <w:tcPr>
            <w:tcW w:w="987" w:type="dxa"/>
            <w:tcBorders>
              <w:top w:val="nil"/>
              <w:left w:val="nil"/>
              <w:bottom w:val="single" w:sz="4" w:space="0" w:color="auto"/>
              <w:right w:val="single" w:sz="4" w:space="0" w:color="auto"/>
            </w:tcBorders>
            <w:shd w:val="clear" w:color="auto" w:fill="auto"/>
            <w:noWrap/>
            <w:vAlign w:val="bottom"/>
            <w:hideMark/>
          </w:tcPr>
          <w:p w14:paraId="0F500BD6"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63.04%</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14:paraId="0CE2D5D4"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87.50%</w:t>
            </w:r>
          </w:p>
        </w:tc>
        <w:tc>
          <w:tcPr>
            <w:tcW w:w="98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7531EB9F"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59.04%</w:t>
            </w:r>
          </w:p>
        </w:tc>
        <w:tc>
          <w:tcPr>
            <w:tcW w:w="1260" w:type="dxa"/>
            <w:tcBorders>
              <w:top w:val="nil"/>
              <w:left w:val="nil"/>
              <w:bottom w:val="single" w:sz="4" w:space="0" w:color="auto"/>
              <w:right w:val="single" w:sz="4" w:space="0" w:color="auto"/>
            </w:tcBorders>
            <w:shd w:val="clear" w:color="auto" w:fill="auto"/>
            <w:noWrap/>
            <w:vAlign w:val="bottom"/>
            <w:hideMark/>
          </w:tcPr>
          <w:p w14:paraId="17292927"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60.96%</w:t>
            </w:r>
          </w:p>
        </w:tc>
        <w:tc>
          <w:tcPr>
            <w:tcW w:w="1078" w:type="dxa"/>
            <w:tcBorders>
              <w:top w:val="nil"/>
              <w:left w:val="nil"/>
              <w:bottom w:val="single" w:sz="4" w:space="0" w:color="auto"/>
              <w:right w:val="single" w:sz="4" w:space="0" w:color="auto"/>
            </w:tcBorders>
            <w:shd w:val="clear" w:color="auto" w:fill="auto"/>
            <w:noWrap/>
            <w:vAlign w:val="bottom"/>
            <w:hideMark/>
          </w:tcPr>
          <w:p w14:paraId="211C7059"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58.70%</w:t>
            </w:r>
          </w:p>
        </w:tc>
        <w:tc>
          <w:tcPr>
            <w:tcW w:w="875" w:type="dxa"/>
            <w:tcBorders>
              <w:top w:val="nil"/>
              <w:left w:val="nil"/>
              <w:bottom w:val="single" w:sz="4" w:space="0" w:color="auto"/>
              <w:right w:val="single" w:sz="8" w:space="0" w:color="auto"/>
            </w:tcBorders>
            <w:shd w:val="clear" w:color="auto" w:fill="auto"/>
            <w:noWrap/>
            <w:vAlign w:val="bottom"/>
            <w:hideMark/>
          </w:tcPr>
          <w:p w14:paraId="5B0EBC21"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61.07%</w:t>
            </w:r>
          </w:p>
        </w:tc>
        <w:tc>
          <w:tcPr>
            <w:tcW w:w="980" w:type="dxa"/>
            <w:tcBorders>
              <w:top w:val="nil"/>
              <w:left w:val="nil"/>
              <w:bottom w:val="single" w:sz="4" w:space="0" w:color="auto"/>
              <w:right w:val="single" w:sz="4" w:space="0" w:color="auto"/>
            </w:tcBorders>
            <w:shd w:val="clear" w:color="auto" w:fill="auto"/>
            <w:noWrap/>
            <w:vAlign w:val="bottom"/>
            <w:hideMark/>
          </w:tcPr>
          <w:p w14:paraId="5F5427DC"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55.44%</w:t>
            </w:r>
          </w:p>
        </w:tc>
        <w:tc>
          <w:tcPr>
            <w:tcW w:w="875" w:type="dxa"/>
            <w:tcBorders>
              <w:top w:val="nil"/>
              <w:left w:val="nil"/>
              <w:bottom w:val="single" w:sz="4" w:space="0" w:color="auto"/>
              <w:right w:val="single" w:sz="4" w:space="0" w:color="auto"/>
            </w:tcBorders>
            <w:shd w:val="clear" w:color="auto" w:fill="auto"/>
            <w:noWrap/>
            <w:vAlign w:val="bottom"/>
            <w:hideMark/>
          </w:tcPr>
          <w:p w14:paraId="3A8A1603"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62.37%</w:t>
            </w:r>
          </w:p>
        </w:tc>
        <w:tc>
          <w:tcPr>
            <w:tcW w:w="87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E7B4AED"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62.70%</w:t>
            </w:r>
          </w:p>
        </w:tc>
        <w:tc>
          <w:tcPr>
            <w:tcW w:w="875" w:type="dxa"/>
            <w:tcBorders>
              <w:top w:val="nil"/>
              <w:left w:val="nil"/>
              <w:bottom w:val="single" w:sz="4" w:space="0" w:color="auto"/>
              <w:right w:val="single" w:sz="4" w:space="0" w:color="auto"/>
            </w:tcBorders>
            <w:shd w:val="clear" w:color="auto" w:fill="auto"/>
            <w:noWrap/>
            <w:vAlign w:val="bottom"/>
            <w:hideMark/>
          </w:tcPr>
          <w:p w14:paraId="3AF65E22"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59.69%</w:t>
            </w:r>
          </w:p>
        </w:tc>
        <w:tc>
          <w:tcPr>
            <w:tcW w:w="1078" w:type="dxa"/>
            <w:tcBorders>
              <w:top w:val="nil"/>
              <w:left w:val="nil"/>
              <w:bottom w:val="single" w:sz="4" w:space="0" w:color="auto"/>
              <w:right w:val="single" w:sz="4" w:space="0" w:color="auto"/>
            </w:tcBorders>
            <w:shd w:val="clear" w:color="auto" w:fill="auto"/>
            <w:noWrap/>
            <w:vAlign w:val="bottom"/>
            <w:hideMark/>
          </w:tcPr>
          <w:p w14:paraId="188617BE"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54.08%</w:t>
            </w:r>
          </w:p>
        </w:tc>
        <w:tc>
          <w:tcPr>
            <w:tcW w:w="960" w:type="dxa"/>
            <w:tcBorders>
              <w:top w:val="nil"/>
              <w:left w:val="nil"/>
              <w:bottom w:val="single" w:sz="4" w:space="0" w:color="auto"/>
              <w:right w:val="single" w:sz="8" w:space="0" w:color="auto"/>
            </w:tcBorders>
            <w:shd w:val="clear" w:color="auto" w:fill="auto"/>
            <w:noWrap/>
            <w:vAlign w:val="bottom"/>
            <w:hideMark/>
          </w:tcPr>
          <w:p w14:paraId="6B49A23F"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59.62%</w:t>
            </w:r>
          </w:p>
        </w:tc>
      </w:tr>
      <w:tr w:rsidR="001376A0" w:rsidRPr="002D07B8" w14:paraId="25F2FEF6" w14:textId="77777777" w:rsidTr="001376A0">
        <w:trPr>
          <w:trHeight w:val="290"/>
        </w:trPr>
        <w:tc>
          <w:tcPr>
            <w:tcW w:w="2540" w:type="dxa"/>
            <w:tcBorders>
              <w:top w:val="nil"/>
              <w:left w:val="single" w:sz="8" w:space="0" w:color="auto"/>
              <w:bottom w:val="single" w:sz="4" w:space="0" w:color="auto"/>
              <w:right w:val="single" w:sz="8" w:space="0" w:color="auto"/>
            </w:tcBorders>
            <w:shd w:val="clear" w:color="auto" w:fill="auto"/>
            <w:noWrap/>
            <w:vAlign w:val="center"/>
            <w:hideMark/>
          </w:tcPr>
          <w:p w14:paraId="3C4B1B6B" w14:textId="77777777" w:rsidR="001376A0" w:rsidRPr="002D07B8" w:rsidRDefault="001376A0" w:rsidP="001376A0">
            <w:pPr>
              <w:rPr>
                <w:rFonts w:asciiTheme="minorHAnsi" w:hAnsiTheme="minorHAnsi" w:cstheme="minorHAnsi"/>
                <w:b/>
                <w:bCs/>
                <w:color w:val="000000"/>
                <w:szCs w:val="22"/>
              </w:rPr>
            </w:pPr>
            <w:r w:rsidRPr="002D07B8">
              <w:rPr>
                <w:rFonts w:asciiTheme="minorHAnsi" w:hAnsiTheme="minorHAnsi" w:cstheme="minorHAnsi"/>
                <w:b/>
                <w:bCs/>
                <w:color w:val="000000"/>
                <w:szCs w:val="22"/>
              </w:rPr>
              <w:t>21 South Texas</w:t>
            </w:r>
          </w:p>
        </w:tc>
        <w:tc>
          <w:tcPr>
            <w:tcW w:w="987" w:type="dxa"/>
            <w:tcBorders>
              <w:top w:val="nil"/>
              <w:left w:val="nil"/>
              <w:bottom w:val="single" w:sz="4" w:space="0" w:color="auto"/>
              <w:right w:val="single" w:sz="4" w:space="0" w:color="auto"/>
            </w:tcBorders>
            <w:shd w:val="clear" w:color="auto" w:fill="auto"/>
            <w:noWrap/>
            <w:vAlign w:val="bottom"/>
            <w:hideMark/>
          </w:tcPr>
          <w:p w14:paraId="2867995D"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NA</w:t>
            </w:r>
          </w:p>
        </w:tc>
        <w:tc>
          <w:tcPr>
            <w:tcW w:w="98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97345D3"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50.00%</w:t>
            </w:r>
          </w:p>
        </w:tc>
        <w:tc>
          <w:tcPr>
            <w:tcW w:w="98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64A7C9B"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64.18%</w:t>
            </w:r>
          </w:p>
        </w:tc>
        <w:tc>
          <w:tcPr>
            <w:tcW w:w="126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29B0EB1"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56.56%</w:t>
            </w:r>
          </w:p>
        </w:tc>
        <w:tc>
          <w:tcPr>
            <w:tcW w:w="1078" w:type="dxa"/>
            <w:tcBorders>
              <w:top w:val="nil"/>
              <w:left w:val="nil"/>
              <w:bottom w:val="single" w:sz="4" w:space="0" w:color="auto"/>
              <w:right w:val="single" w:sz="4" w:space="0" w:color="auto"/>
            </w:tcBorders>
            <w:shd w:val="clear" w:color="auto" w:fill="auto"/>
            <w:noWrap/>
            <w:vAlign w:val="bottom"/>
            <w:hideMark/>
          </w:tcPr>
          <w:p w14:paraId="018F619D"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53.85%</w:t>
            </w:r>
          </w:p>
        </w:tc>
        <w:tc>
          <w:tcPr>
            <w:tcW w:w="875" w:type="dxa"/>
            <w:tcBorders>
              <w:top w:val="nil"/>
              <w:left w:val="nil"/>
              <w:bottom w:val="single" w:sz="4" w:space="0" w:color="auto"/>
              <w:right w:val="single" w:sz="8" w:space="0" w:color="auto"/>
            </w:tcBorders>
            <w:shd w:val="clear" w:color="auto" w:fill="auto"/>
            <w:noWrap/>
            <w:vAlign w:val="bottom"/>
            <w:hideMark/>
          </w:tcPr>
          <w:p w14:paraId="74A0782F"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57.98%</w:t>
            </w:r>
          </w:p>
        </w:tc>
        <w:tc>
          <w:tcPr>
            <w:tcW w:w="980" w:type="dxa"/>
            <w:tcBorders>
              <w:top w:val="nil"/>
              <w:left w:val="nil"/>
              <w:bottom w:val="single" w:sz="4" w:space="0" w:color="auto"/>
              <w:right w:val="single" w:sz="4" w:space="0" w:color="auto"/>
            </w:tcBorders>
            <w:shd w:val="clear" w:color="auto" w:fill="auto"/>
            <w:noWrap/>
            <w:vAlign w:val="bottom"/>
            <w:hideMark/>
          </w:tcPr>
          <w:p w14:paraId="4B2F8D19"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55.44%</w:t>
            </w:r>
          </w:p>
        </w:tc>
        <w:tc>
          <w:tcPr>
            <w:tcW w:w="87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7A44DE5B"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56.19%</w:t>
            </w:r>
          </w:p>
        </w:tc>
        <w:tc>
          <w:tcPr>
            <w:tcW w:w="87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F1346F0"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65.27%</w:t>
            </w:r>
          </w:p>
        </w:tc>
        <w:tc>
          <w:tcPr>
            <w:tcW w:w="87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1954505"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58.12%</w:t>
            </w:r>
          </w:p>
        </w:tc>
        <w:tc>
          <w:tcPr>
            <w:tcW w:w="107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685B6DF"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53.96%</w:t>
            </w:r>
          </w:p>
        </w:tc>
        <w:tc>
          <w:tcPr>
            <w:tcW w:w="960" w:type="dxa"/>
            <w:tcBorders>
              <w:top w:val="nil"/>
              <w:left w:val="nil"/>
              <w:bottom w:val="single" w:sz="4" w:space="0" w:color="auto"/>
              <w:right w:val="single" w:sz="8" w:space="0" w:color="auto"/>
            </w:tcBorders>
            <w:shd w:val="clear" w:color="auto" w:fill="auto"/>
            <w:noWrap/>
            <w:vAlign w:val="bottom"/>
            <w:hideMark/>
          </w:tcPr>
          <w:p w14:paraId="42C54BA0"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59.41%</w:t>
            </w:r>
          </w:p>
        </w:tc>
      </w:tr>
      <w:tr w:rsidR="001376A0" w:rsidRPr="002D07B8" w14:paraId="0D48E538" w14:textId="77777777" w:rsidTr="001376A0">
        <w:trPr>
          <w:trHeight w:val="290"/>
        </w:trPr>
        <w:tc>
          <w:tcPr>
            <w:tcW w:w="2540" w:type="dxa"/>
            <w:tcBorders>
              <w:top w:val="nil"/>
              <w:left w:val="single" w:sz="8" w:space="0" w:color="auto"/>
              <w:bottom w:val="single" w:sz="4" w:space="0" w:color="auto"/>
              <w:right w:val="single" w:sz="8" w:space="0" w:color="auto"/>
            </w:tcBorders>
            <w:shd w:val="clear" w:color="auto" w:fill="auto"/>
            <w:noWrap/>
            <w:vAlign w:val="center"/>
            <w:hideMark/>
          </w:tcPr>
          <w:p w14:paraId="762BE1EE" w14:textId="77777777" w:rsidR="001376A0" w:rsidRPr="002D07B8" w:rsidRDefault="001376A0" w:rsidP="001376A0">
            <w:pPr>
              <w:rPr>
                <w:rFonts w:asciiTheme="minorHAnsi" w:hAnsiTheme="minorHAnsi" w:cstheme="minorHAnsi"/>
                <w:b/>
                <w:bCs/>
                <w:color w:val="000000"/>
                <w:szCs w:val="22"/>
              </w:rPr>
            </w:pPr>
            <w:r w:rsidRPr="002D07B8">
              <w:rPr>
                <w:rFonts w:asciiTheme="minorHAnsi" w:hAnsiTheme="minorHAnsi" w:cstheme="minorHAnsi"/>
                <w:b/>
                <w:bCs/>
                <w:color w:val="000000"/>
                <w:szCs w:val="22"/>
              </w:rPr>
              <w:t>22 Coastal Bend</w:t>
            </w:r>
          </w:p>
        </w:tc>
        <w:tc>
          <w:tcPr>
            <w:tcW w:w="987" w:type="dxa"/>
            <w:tcBorders>
              <w:top w:val="single" w:sz="4" w:space="0" w:color="auto"/>
              <w:left w:val="nil"/>
              <w:bottom w:val="single" w:sz="4" w:space="0" w:color="auto"/>
              <w:right w:val="single" w:sz="4" w:space="0" w:color="auto"/>
            </w:tcBorders>
            <w:shd w:val="clear" w:color="000000" w:fill="FFFF00"/>
            <w:noWrap/>
            <w:vAlign w:val="bottom"/>
            <w:hideMark/>
          </w:tcPr>
          <w:p w14:paraId="0C875B01"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25.00%</w:t>
            </w:r>
          </w:p>
        </w:tc>
        <w:tc>
          <w:tcPr>
            <w:tcW w:w="987" w:type="dxa"/>
            <w:tcBorders>
              <w:top w:val="nil"/>
              <w:left w:val="single" w:sz="4" w:space="0" w:color="auto"/>
              <w:bottom w:val="single" w:sz="4" w:space="0" w:color="auto"/>
              <w:right w:val="single" w:sz="4" w:space="0" w:color="auto"/>
            </w:tcBorders>
            <w:shd w:val="clear" w:color="auto" w:fill="auto"/>
            <w:noWrap/>
            <w:vAlign w:val="bottom"/>
            <w:hideMark/>
          </w:tcPr>
          <w:p w14:paraId="3FBAEC70"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66.67%</w:t>
            </w:r>
          </w:p>
        </w:tc>
        <w:tc>
          <w:tcPr>
            <w:tcW w:w="98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10D4B93"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58.06%</w:t>
            </w:r>
          </w:p>
        </w:tc>
        <w:tc>
          <w:tcPr>
            <w:tcW w:w="1260" w:type="dxa"/>
            <w:tcBorders>
              <w:top w:val="nil"/>
              <w:left w:val="nil"/>
              <w:bottom w:val="single" w:sz="4" w:space="0" w:color="auto"/>
              <w:right w:val="single" w:sz="4" w:space="0" w:color="auto"/>
            </w:tcBorders>
            <w:shd w:val="clear" w:color="auto" w:fill="auto"/>
            <w:noWrap/>
            <w:vAlign w:val="bottom"/>
            <w:hideMark/>
          </w:tcPr>
          <w:p w14:paraId="7618F36E"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68.14%</w:t>
            </w:r>
          </w:p>
        </w:tc>
        <w:tc>
          <w:tcPr>
            <w:tcW w:w="107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63FC989"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46.94%</w:t>
            </w:r>
          </w:p>
        </w:tc>
        <w:tc>
          <w:tcPr>
            <w:tcW w:w="875" w:type="dxa"/>
            <w:tcBorders>
              <w:top w:val="nil"/>
              <w:left w:val="nil"/>
              <w:bottom w:val="single" w:sz="4" w:space="0" w:color="auto"/>
              <w:right w:val="single" w:sz="8" w:space="0" w:color="auto"/>
            </w:tcBorders>
            <w:shd w:val="clear" w:color="auto" w:fill="auto"/>
            <w:noWrap/>
            <w:vAlign w:val="bottom"/>
            <w:hideMark/>
          </w:tcPr>
          <w:p w14:paraId="4823547A"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65.91%</w:t>
            </w:r>
          </w:p>
        </w:tc>
        <w:tc>
          <w:tcPr>
            <w:tcW w:w="980" w:type="dxa"/>
            <w:tcBorders>
              <w:top w:val="single" w:sz="4" w:space="0" w:color="auto"/>
              <w:left w:val="single" w:sz="8" w:space="0" w:color="auto"/>
              <w:bottom w:val="single" w:sz="4" w:space="0" w:color="auto"/>
              <w:right w:val="single" w:sz="4" w:space="0" w:color="auto"/>
            </w:tcBorders>
            <w:shd w:val="clear" w:color="000000" w:fill="FFFF00"/>
            <w:noWrap/>
            <w:vAlign w:val="bottom"/>
            <w:hideMark/>
          </w:tcPr>
          <w:p w14:paraId="0E6C9FA5"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40.22%</w:t>
            </w:r>
          </w:p>
        </w:tc>
        <w:tc>
          <w:tcPr>
            <w:tcW w:w="875" w:type="dxa"/>
            <w:tcBorders>
              <w:top w:val="nil"/>
              <w:left w:val="nil"/>
              <w:bottom w:val="single" w:sz="4" w:space="0" w:color="auto"/>
              <w:right w:val="single" w:sz="4" w:space="0" w:color="auto"/>
            </w:tcBorders>
            <w:shd w:val="clear" w:color="auto" w:fill="auto"/>
            <w:noWrap/>
            <w:vAlign w:val="bottom"/>
            <w:hideMark/>
          </w:tcPr>
          <w:p w14:paraId="78352FD1"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62.37%</w:t>
            </w:r>
          </w:p>
        </w:tc>
        <w:tc>
          <w:tcPr>
            <w:tcW w:w="87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B784B94"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62.22%</w:t>
            </w:r>
          </w:p>
        </w:tc>
        <w:tc>
          <w:tcPr>
            <w:tcW w:w="875" w:type="dxa"/>
            <w:tcBorders>
              <w:top w:val="nil"/>
              <w:left w:val="nil"/>
              <w:bottom w:val="single" w:sz="4" w:space="0" w:color="auto"/>
              <w:right w:val="single" w:sz="4" w:space="0" w:color="auto"/>
            </w:tcBorders>
            <w:shd w:val="clear" w:color="auto" w:fill="auto"/>
            <w:noWrap/>
            <w:vAlign w:val="bottom"/>
            <w:hideMark/>
          </w:tcPr>
          <w:p w14:paraId="40F840E9"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59.69%</w:t>
            </w:r>
          </w:p>
        </w:tc>
        <w:tc>
          <w:tcPr>
            <w:tcW w:w="107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EDF03D0"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50.51%</w:t>
            </w:r>
          </w:p>
        </w:tc>
        <w:tc>
          <w:tcPr>
            <w:tcW w:w="960" w:type="dxa"/>
            <w:tcBorders>
              <w:top w:val="nil"/>
              <w:left w:val="nil"/>
              <w:bottom w:val="single" w:sz="4" w:space="0" w:color="auto"/>
              <w:right w:val="single" w:sz="8" w:space="0" w:color="auto"/>
            </w:tcBorders>
            <w:shd w:val="clear" w:color="auto" w:fill="auto"/>
            <w:noWrap/>
            <w:vAlign w:val="bottom"/>
            <w:hideMark/>
          </w:tcPr>
          <w:p w14:paraId="1CA1FBE3"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59.41%</w:t>
            </w:r>
          </w:p>
        </w:tc>
      </w:tr>
      <w:tr w:rsidR="001376A0" w:rsidRPr="002D07B8" w14:paraId="43FF6923" w14:textId="77777777" w:rsidTr="001376A0">
        <w:trPr>
          <w:trHeight w:val="290"/>
        </w:trPr>
        <w:tc>
          <w:tcPr>
            <w:tcW w:w="2540" w:type="dxa"/>
            <w:tcBorders>
              <w:top w:val="nil"/>
              <w:left w:val="single" w:sz="8" w:space="0" w:color="auto"/>
              <w:bottom w:val="single" w:sz="4" w:space="0" w:color="auto"/>
              <w:right w:val="single" w:sz="8" w:space="0" w:color="auto"/>
            </w:tcBorders>
            <w:shd w:val="clear" w:color="auto" w:fill="auto"/>
            <w:noWrap/>
            <w:vAlign w:val="center"/>
            <w:hideMark/>
          </w:tcPr>
          <w:p w14:paraId="408E6033" w14:textId="77777777" w:rsidR="001376A0" w:rsidRPr="002D07B8" w:rsidRDefault="001376A0" w:rsidP="001376A0">
            <w:pPr>
              <w:rPr>
                <w:rFonts w:asciiTheme="minorHAnsi" w:hAnsiTheme="minorHAnsi" w:cstheme="minorHAnsi"/>
                <w:b/>
                <w:bCs/>
                <w:color w:val="000000"/>
                <w:szCs w:val="22"/>
              </w:rPr>
            </w:pPr>
            <w:r w:rsidRPr="002D07B8">
              <w:rPr>
                <w:rFonts w:asciiTheme="minorHAnsi" w:hAnsiTheme="minorHAnsi" w:cstheme="minorHAnsi"/>
                <w:b/>
                <w:bCs/>
                <w:color w:val="000000"/>
                <w:szCs w:val="22"/>
              </w:rPr>
              <w:t>23 Lower Rio Grande</w:t>
            </w:r>
          </w:p>
        </w:tc>
        <w:tc>
          <w:tcPr>
            <w:tcW w:w="987" w:type="dxa"/>
            <w:tcBorders>
              <w:top w:val="nil"/>
              <w:left w:val="nil"/>
              <w:bottom w:val="single" w:sz="4" w:space="0" w:color="auto"/>
              <w:right w:val="single" w:sz="4" w:space="0" w:color="auto"/>
            </w:tcBorders>
            <w:shd w:val="clear" w:color="auto" w:fill="auto"/>
            <w:noWrap/>
            <w:vAlign w:val="bottom"/>
            <w:hideMark/>
          </w:tcPr>
          <w:p w14:paraId="310D499D"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71.43%</w:t>
            </w:r>
          </w:p>
        </w:tc>
        <w:tc>
          <w:tcPr>
            <w:tcW w:w="98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5CDD1A4"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50.00%</w:t>
            </w:r>
          </w:p>
        </w:tc>
        <w:tc>
          <w:tcPr>
            <w:tcW w:w="987" w:type="dxa"/>
            <w:tcBorders>
              <w:top w:val="nil"/>
              <w:left w:val="nil"/>
              <w:bottom w:val="single" w:sz="4" w:space="0" w:color="auto"/>
              <w:right w:val="single" w:sz="4" w:space="0" w:color="auto"/>
            </w:tcBorders>
            <w:shd w:val="clear" w:color="auto" w:fill="auto"/>
            <w:noWrap/>
            <w:vAlign w:val="bottom"/>
            <w:hideMark/>
          </w:tcPr>
          <w:p w14:paraId="23F076F8"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71.66%</w:t>
            </w:r>
          </w:p>
        </w:tc>
        <w:tc>
          <w:tcPr>
            <w:tcW w:w="1260" w:type="dxa"/>
            <w:tcBorders>
              <w:top w:val="nil"/>
              <w:left w:val="nil"/>
              <w:bottom w:val="single" w:sz="4" w:space="0" w:color="auto"/>
              <w:right w:val="single" w:sz="4" w:space="0" w:color="auto"/>
            </w:tcBorders>
            <w:shd w:val="clear" w:color="auto" w:fill="auto"/>
            <w:noWrap/>
            <w:vAlign w:val="bottom"/>
            <w:hideMark/>
          </w:tcPr>
          <w:p w14:paraId="5B10BB45"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60.22%</w:t>
            </w:r>
          </w:p>
        </w:tc>
        <w:tc>
          <w:tcPr>
            <w:tcW w:w="107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BED223B"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42.86%</w:t>
            </w:r>
          </w:p>
        </w:tc>
        <w:tc>
          <w:tcPr>
            <w:tcW w:w="875" w:type="dxa"/>
            <w:tcBorders>
              <w:top w:val="nil"/>
              <w:left w:val="nil"/>
              <w:bottom w:val="single" w:sz="4" w:space="0" w:color="auto"/>
              <w:right w:val="single" w:sz="8" w:space="0" w:color="auto"/>
            </w:tcBorders>
            <w:shd w:val="clear" w:color="auto" w:fill="auto"/>
            <w:noWrap/>
            <w:vAlign w:val="bottom"/>
            <w:hideMark/>
          </w:tcPr>
          <w:p w14:paraId="4346F4F2"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60.52%</w:t>
            </w:r>
          </w:p>
        </w:tc>
        <w:tc>
          <w:tcPr>
            <w:tcW w:w="980" w:type="dxa"/>
            <w:tcBorders>
              <w:top w:val="nil"/>
              <w:left w:val="nil"/>
              <w:bottom w:val="single" w:sz="4" w:space="0" w:color="auto"/>
              <w:right w:val="single" w:sz="4" w:space="0" w:color="auto"/>
            </w:tcBorders>
            <w:shd w:val="clear" w:color="auto" w:fill="auto"/>
            <w:noWrap/>
            <w:vAlign w:val="bottom"/>
            <w:hideMark/>
          </w:tcPr>
          <w:p w14:paraId="142FB4A5"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55.44%</w:t>
            </w:r>
          </w:p>
        </w:tc>
        <w:tc>
          <w:tcPr>
            <w:tcW w:w="87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531D16C"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56.19%</w:t>
            </w:r>
          </w:p>
        </w:tc>
        <w:tc>
          <w:tcPr>
            <w:tcW w:w="875" w:type="dxa"/>
            <w:tcBorders>
              <w:top w:val="nil"/>
              <w:left w:val="nil"/>
              <w:bottom w:val="single" w:sz="4" w:space="0" w:color="auto"/>
              <w:right w:val="single" w:sz="4" w:space="0" w:color="auto"/>
            </w:tcBorders>
            <w:shd w:val="clear" w:color="auto" w:fill="auto"/>
            <w:noWrap/>
            <w:vAlign w:val="bottom"/>
            <w:hideMark/>
          </w:tcPr>
          <w:p w14:paraId="633BC78B"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66.37%</w:t>
            </w:r>
          </w:p>
        </w:tc>
        <w:tc>
          <w:tcPr>
            <w:tcW w:w="875" w:type="dxa"/>
            <w:tcBorders>
              <w:top w:val="nil"/>
              <w:left w:val="nil"/>
              <w:bottom w:val="single" w:sz="4" w:space="0" w:color="auto"/>
              <w:right w:val="single" w:sz="4" w:space="0" w:color="auto"/>
            </w:tcBorders>
            <w:shd w:val="clear" w:color="auto" w:fill="auto"/>
            <w:noWrap/>
            <w:vAlign w:val="bottom"/>
            <w:hideMark/>
          </w:tcPr>
          <w:p w14:paraId="0762F8E4"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59.69%</w:t>
            </w:r>
          </w:p>
        </w:tc>
        <w:tc>
          <w:tcPr>
            <w:tcW w:w="107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7AF2EAB0"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48.47%</w:t>
            </w:r>
          </w:p>
        </w:tc>
        <w:tc>
          <w:tcPr>
            <w:tcW w:w="960" w:type="dxa"/>
            <w:tcBorders>
              <w:top w:val="nil"/>
              <w:left w:val="nil"/>
              <w:bottom w:val="single" w:sz="4" w:space="0" w:color="auto"/>
              <w:right w:val="single" w:sz="8" w:space="0" w:color="auto"/>
            </w:tcBorders>
            <w:shd w:val="clear" w:color="auto" w:fill="auto"/>
            <w:noWrap/>
            <w:vAlign w:val="bottom"/>
            <w:hideMark/>
          </w:tcPr>
          <w:p w14:paraId="5422540D"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59.73%</w:t>
            </w:r>
          </w:p>
        </w:tc>
      </w:tr>
      <w:tr w:rsidR="001376A0" w:rsidRPr="002D07B8" w14:paraId="0DE4BA10" w14:textId="77777777" w:rsidTr="001376A0">
        <w:trPr>
          <w:trHeight w:val="290"/>
        </w:trPr>
        <w:tc>
          <w:tcPr>
            <w:tcW w:w="2540" w:type="dxa"/>
            <w:tcBorders>
              <w:top w:val="nil"/>
              <w:left w:val="single" w:sz="8" w:space="0" w:color="auto"/>
              <w:bottom w:val="single" w:sz="4" w:space="0" w:color="auto"/>
              <w:right w:val="single" w:sz="8" w:space="0" w:color="auto"/>
            </w:tcBorders>
            <w:shd w:val="clear" w:color="auto" w:fill="auto"/>
            <w:noWrap/>
            <w:vAlign w:val="center"/>
            <w:hideMark/>
          </w:tcPr>
          <w:p w14:paraId="38714B91" w14:textId="77777777" w:rsidR="001376A0" w:rsidRPr="002D07B8" w:rsidRDefault="001376A0" w:rsidP="001376A0">
            <w:pPr>
              <w:rPr>
                <w:rFonts w:asciiTheme="minorHAnsi" w:hAnsiTheme="minorHAnsi" w:cstheme="minorHAnsi"/>
                <w:b/>
                <w:bCs/>
                <w:color w:val="000000"/>
                <w:szCs w:val="22"/>
              </w:rPr>
            </w:pPr>
            <w:r w:rsidRPr="002D07B8">
              <w:rPr>
                <w:rFonts w:asciiTheme="minorHAnsi" w:hAnsiTheme="minorHAnsi" w:cstheme="minorHAnsi"/>
                <w:b/>
                <w:bCs/>
                <w:color w:val="000000"/>
                <w:szCs w:val="22"/>
              </w:rPr>
              <w:t>24 Cameron County</w:t>
            </w:r>
          </w:p>
        </w:tc>
        <w:tc>
          <w:tcPr>
            <w:tcW w:w="987" w:type="dxa"/>
            <w:tcBorders>
              <w:top w:val="nil"/>
              <w:left w:val="nil"/>
              <w:bottom w:val="single" w:sz="4" w:space="0" w:color="auto"/>
              <w:right w:val="single" w:sz="4" w:space="0" w:color="auto"/>
            </w:tcBorders>
            <w:shd w:val="clear" w:color="auto" w:fill="auto"/>
            <w:noWrap/>
            <w:vAlign w:val="bottom"/>
            <w:hideMark/>
          </w:tcPr>
          <w:p w14:paraId="6D6CCA12"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60.00%</w:t>
            </w:r>
          </w:p>
        </w:tc>
        <w:tc>
          <w:tcPr>
            <w:tcW w:w="98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19110ED"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0.00%</w:t>
            </w:r>
          </w:p>
        </w:tc>
        <w:tc>
          <w:tcPr>
            <w:tcW w:w="987" w:type="dxa"/>
            <w:tcBorders>
              <w:top w:val="nil"/>
              <w:left w:val="nil"/>
              <w:bottom w:val="single" w:sz="4" w:space="0" w:color="auto"/>
              <w:right w:val="single" w:sz="4" w:space="0" w:color="auto"/>
            </w:tcBorders>
            <w:shd w:val="clear" w:color="auto" w:fill="auto"/>
            <w:noWrap/>
            <w:vAlign w:val="bottom"/>
            <w:hideMark/>
          </w:tcPr>
          <w:p w14:paraId="3542F54B"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73.53%</w:t>
            </w:r>
          </w:p>
        </w:tc>
        <w:tc>
          <w:tcPr>
            <w:tcW w:w="1260" w:type="dxa"/>
            <w:tcBorders>
              <w:top w:val="nil"/>
              <w:left w:val="nil"/>
              <w:bottom w:val="single" w:sz="4" w:space="0" w:color="auto"/>
              <w:right w:val="single" w:sz="4" w:space="0" w:color="auto"/>
            </w:tcBorders>
            <w:shd w:val="clear" w:color="auto" w:fill="auto"/>
            <w:noWrap/>
            <w:vAlign w:val="bottom"/>
            <w:hideMark/>
          </w:tcPr>
          <w:p w14:paraId="64C903A1"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61.97%</w:t>
            </w:r>
          </w:p>
        </w:tc>
        <w:tc>
          <w:tcPr>
            <w:tcW w:w="107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E9D247A"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41.51%</w:t>
            </w:r>
          </w:p>
        </w:tc>
        <w:tc>
          <w:tcPr>
            <w:tcW w:w="875" w:type="dxa"/>
            <w:tcBorders>
              <w:top w:val="nil"/>
              <w:left w:val="nil"/>
              <w:bottom w:val="single" w:sz="4" w:space="0" w:color="auto"/>
              <w:right w:val="single" w:sz="8" w:space="0" w:color="auto"/>
            </w:tcBorders>
            <w:shd w:val="clear" w:color="auto" w:fill="auto"/>
            <w:noWrap/>
            <w:vAlign w:val="bottom"/>
            <w:hideMark/>
          </w:tcPr>
          <w:p w14:paraId="3D8D042F"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60.93%</w:t>
            </w:r>
          </w:p>
        </w:tc>
        <w:tc>
          <w:tcPr>
            <w:tcW w:w="980" w:type="dxa"/>
            <w:tcBorders>
              <w:top w:val="nil"/>
              <w:left w:val="nil"/>
              <w:bottom w:val="single" w:sz="4" w:space="0" w:color="auto"/>
              <w:right w:val="single" w:sz="4" w:space="0" w:color="auto"/>
            </w:tcBorders>
            <w:shd w:val="clear" w:color="auto" w:fill="auto"/>
            <w:noWrap/>
            <w:vAlign w:val="bottom"/>
            <w:hideMark/>
          </w:tcPr>
          <w:p w14:paraId="65E64AD3"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55.44%</w:t>
            </w:r>
          </w:p>
        </w:tc>
        <w:tc>
          <w:tcPr>
            <w:tcW w:w="87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ED172FE"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31.19%</w:t>
            </w:r>
          </w:p>
        </w:tc>
        <w:tc>
          <w:tcPr>
            <w:tcW w:w="875" w:type="dxa"/>
            <w:tcBorders>
              <w:top w:val="nil"/>
              <w:left w:val="nil"/>
              <w:bottom w:val="single" w:sz="4" w:space="0" w:color="auto"/>
              <w:right w:val="single" w:sz="4" w:space="0" w:color="auto"/>
            </w:tcBorders>
            <w:shd w:val="clear" w:color="auto" w:fill="auto"/>
            <w:noWrap/>
            <w:vAlign w:val="bottom"/>
            <w:hideMark/>
          </w:tcPr>
          <w:p w14:paraId="54355B28"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66.37%</w:t>
            </w:r>
          </w:p>
        </w:tc>
        <w:tc>
          <w:tcPr>
            <w:tcW w:w="875" w:type="dxa"/>
            <w:tcBorders>
              <w:top w:val="nil"/>
              <w:left w:val="nil"/>
              <w:bottom w:val="single" w:sz="4" w:space="0" w:color="auto"/>
              <w:right w:val="single" w:sz="4" w:space="0" w:color="auto"/>
            </w:tcBorders>
            <w:shd w:val="clear" w:color="auto" w:fill="auto"/>
            <w:noWrap/>
            <w:vAlign w:val="bottom"/>
            <w:hideMark/>
          </w:tcPr>
          <w:p w14:paraId="1DF6E20E"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59.69%</w:t>
            </w:r>
          </w:p>
        </w:tc>
        <w:tc>
          <w:tcPr>
            <w:tcW w:w="107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34AE25E"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47.79%</w:t>
            </w:r>
          </w:p>
        </w:tc>
        <w:tc>
          <w:tcPr>
            <w:tcW w:w="960" w:type="dxa"/>
            <w:tcBorders>
              <w:top w:val="nil"/>
              <w:left w:val="nil"/>
              <w:bottom w:val="single" w:sz="4" w:space="0" w:color="auto"/>
              <w:right w:val="single" w:sz="8" w:space="0" w:color="auto"/>
            </w:tcBorders>
            <w:shd w:val="clear" w:color="auto" w:fill="auto"/>
            <w:noWrap/>
            <w:vAlign w:val="bottom"/>
            <w:hideMark/>
          </w:tcPr>
          <w:p w14:paraId="0ADAFB3B"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59.07%</w:t>
            </w:r>
          </w:p>
        </w:tc>
      </w:tr>
      <w:tr w:rsidR="001376A0" w:rsidRPr="002D07B8" w14:paraId="4619343F" w14:textId="77777777" w:rsidTr="001376A0">
        <w:trPr>
          <w:trHeight w:val="290"/>
        </w:trPr>
        <w:tc>
          <w:tcPr>
            <w:tcW w:w="2540" w:type="dxa"/>
            <w:tcBorders>
              <w:top w:val="nil"/>
              <w:left w:val="single" w:sz="8" w:space="0" w:color="auto"/>
              <w:bottom w:val="single" w:sz="4" w:space="0" w:color="auto"/>
              <w:right w:val="single" w:sz="8" w:space="0" w:color="auto"/>
            </w:tcBorders>
            <w:shd w:val="clear" w:color="auto" w:fill="auto"/>
            <w:noWrap/>
            <w:vAlign w:val="center"/>
            <w:hideMark/>
          </w:tcPr>
          <w:p w14:paraId="1AC2B10F" w14:textId="77777777" w:rsidR="001376A0" w:rsidRPr="002D07B8" w:rsidRDefault="001376A0" w:rsidP="001376A0">
            <w:pPr>
              <w:rPr>
                <w:rFonts w:asciiTheme="minorHAnsi" w:hAnsiTheme="minorHAnsi" w:cstheme="minorHAnsi"/>
                <w:b/>
                <w:bCs/>
                <w:color w:val="000000"/>
                <w:szCs w:val="22"/>
              </w:rPr>
            </w:pPr>
            <w:r w:rsidRPr="002D07B8">
              <w:rPr>
                <w:rFonts w:asciiTheme="minorHAnsi" w:hAnsiTheme="minorHAnsi" w:cstheme="minorHAnsi"/>
                <w:b/>
                <w:bCs/>
                <w:color w:val="000000"/>
                <w:szCs w:val="22"/>
              </w:rPr>
              <w:t>25 Texoma</w:t>
            </w:r>
          </w:p>
        </w:tc>
        <w:tc>
          <w:tcPr>
            <w:tcW w:w="987" w:type="dxa"/>
            <w:tcBorders>
              <w:top w:val="nil"/>
              <w:left w:val="nil"/>
              <w:bottom w:val="single" w:sz="4" w:space="0" w:color="auto"/>
              <w:right w:val="single" w:sz="4" w:space="0" w:color="auto"/>
            </w:tcBorders>
            <w:shd w:val="clear" w:color="auto" w:fill="auto"/>
            <w:noWrap/>
            <w:vAlign w:val="bottom"/>
            <w:hideMark/>
          </w:tcPr>
          <w:p w14:paraId="3A0F5D99"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100.00%</w:t>
            </w:r>
          </w:p>
        </w:tc>
        <w:tc>
          <w:tcPr>
            <w:tcW w:w="98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7A86858E"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50.00%</w:t>
            </w:r>
          </w:p>
        </w:tc>
        <w:tc>
          <w:tcPr>
            <w:tcW w:w="987" w:type="dxa"/>
            <w:tcBorders>
              <w:top w:val="nil"/>
              <w:left w:val="nil"/>
              <w:bottom w:val="single" w:sz="4" w:space="0" w:color="auto"/>
              <w:right w:val="single" w:sz="4" w:space="0" w:color="auto"/>
            </w:tcBorders>
            <w:shd w:val="clear" w:color="auto" w:fill="auto"/>
            <w:noWrap/>
            <w:vAlign w:val="bottom"/>
            <w:hideMark/>
          </w:tcPr>
          <w:p w14:paraId="15BE83A9"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77.78%</w:t>
            </w:r>
          </w:p>
        </w:tc>
        <w:tc>
          <w:tcPr>
            <w:tcW w:w="1260" w:type="dxa"/>
            <w:tcBorders>
              <w:top w:val="nil"/>
              <w:left w:val="nil"/>
              <w:bottom w:val="single" w:sz="4" w:space="0" w:color="auto"/>
              <w:right w:val="single" w:sz="4" w:space="0" w:color="auto"/>
            </w:tcBorders>
            <w:shd w:val="clear" w:color="auto" w:fill="auto"/>
            <w:noWrap/>
            <w:vAlign w:val="bottom"/>
            <w:hideMark/>
          </w:tcPr>
          <w:p w14:paraId="48CDB399"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69.13%</w:t>
            </w:r>
          </w:p>
        </w:tc>
        <w:tc>
          <w:tcPr>
            <w:tcW w:w="1078" w:type="dxa"/>
            <w:tcBorders>
              <w:top w:val="nil"/>
              <w:left w:val="nil"/>
              <w:bottom w:val="single" w:sz="4" w:space="0" w:color="auto"/>
              <w:right w:val="single" w:sz="4" w:space="0" w:color="auto"/>
            </w:tcBorders>
            <w:shd w:val="clear" w:color="auto" w:fill="auto"/>
            <w:noWrap/>
            <w:vAlign w:val="bottom"/>
            <w:hideMark/>
          </w:tcPr>
          <w:p w14:paraId="166FE02F"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66.67%</w:t>
            </w:r>
          </w:p>
        </w:tc>
        <w:tc>
          <w:tcPr>
            <w:tcW w:w="875" w:type="dxa"/>
            <w:tcBorders>
              <w:top w:val="nil"/>
              <w:left w:val="nil"/>
              <w:bottom w:val="single" w:sz="4" w:space="0" w:color="auto"/>
              <w:right w:val="single" w:sz="8" w:space="0" w:color="auto"/>
            </w:tcBorders>
            <w:shd w:val="clear" w:color="auto" w:fill="auto"/>
            <w:noWrap/>
            <w:vAlign w:val="bottom"/>
            <w:hideMark/>
          </w:tcPr>
          <w:p w14:paraId="5CF81841"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69.51%</w:t>
            </w:r>
          </w:p>
        </w:tc>
        <w:tc>
          <w:tcPr>
            <w:tcW w:w="980" w:type="dxa"/>
            <w:tcBorders>
              <w:top w:val="nil"/>
              <w:left w:val="nil"/>
              <w:bottom w:val="single" w:sz="4" w:space="0" w:color="auto"/>
              <w:right w:val="single" w:sz="4" w:space="0" w:color="auto"/>
            </w:tcBorders>
            <w:shd w:val="clear" w:color="auto" w:fill="auto"/>
            <w:noWrap/>
            <w:vAlign w:val="bottom"/>
            <w:hideMark/>
          </w:tcPr>
          <w:p w14:paraId="34C763C2"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55.44%</w:t>
            </w:r>
          </w:p>
        </w:tc>
        <w:tc>
          <w:tcPr>
            <w:tcW w:w="87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04AE3C3"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56.19%</w:t>
            </w:r>
          </w:p>
        </w:tc>
        <w:tc>
          <w:tcPr>
            <w:tcW w:w="875" w:type="dxa"/>
            <w:tcBorders>
              <w:top w:val="nil"/>
              <w:left w:val="nil"/>
              <w:bottom w:val="single" w:sz="4" w:space="0" w:color="auto"/>
              <w:right w:val="single" w:sz="4" w:space="0" w:color="auto"/>
            </w:tcBorders>
            <w:shd w:val="clear" w:color="auto" w:fill="auto"/>
            <w:noWrap/>
            <w:vAlign w:val="bottom"/>
            <w:hideMark/>
          </w:tcPr>
          <w:p w14:paraId="3410AB53"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66.37%</w:t>
            </w:r>
          </w:p>
        </w:tc>
        <w:tc>
          <w:tcPr>
            <w:tcW w:w="875" w:type="dxa"/>
            <w:tcBorders>
              <w:top w:val="nil"/>
              <w:left w:val="nil"/>
              <w:bottom w:val="single" w:sz="4" w:space="0" w:color="auto"/>
              <w:right w:val="single" w:sz="4" w:space="0" w:color="auto"/>
            </w:tcBorders>
            <w:shd w:val="clear" w:color="auto" w:fill="auto"/>
            <w:noWrap/>
            <w:vAlign w:val="bottom"/>
            <w:hideMark/>
          </w:tcPr>
          <w:p w14:paraId="7E894FD0"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59.69%</w:t>
            </w:r>
          </w:p>
        </w:tc>
        <w:tc>
          <w:tcPr>
            <w:tcW w:w="1078" w:type="dxa"/>
            <w:tcBorders>
              <w:top w:val="nil"/>
              <w:left w:val="nil"/>
              <w:bottom w:val="single" w:sz="4" w:space="0" w:color="auto"/>
              <w:right w:val="single" w:sz="4" w:space="0" w:color="auto"/>
            </w:tcBorders>
            <w:shd w:val="clear" w:color="auto" w:fill="auto"/>
            <w:noWrap/>
            <w:vAlign w:val="bottom"/>
            <w:hideMark/>
          </w:tcPr>
          <w:p w14:paraId="74C7D565"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54.08%</w:t>
            </w:r>
          </w:p>
        </w:tc>
        <w:tc>
          <w:tcPr>
            <w:tcW w:w="960" w:type="dxa"/>
            <w:tcBorders>
              <w:top w:val="nil"/>
              <w:left w:val="nil"/>
              <w:bottom w:val="single" w:sz="4" w:space="0" w:color="auto"/>
              <w:right w:val="single" w:sz="8" w:space="0" w:color="auto"/>
            </w:tcBorders>
            <w:shd w:val="clear" w:color="auto" w:fill="auto"/>
            <w:noWrap/>
            <w:vAlign w:val="bottom"/>
            <w:hideMark/>
          </w:tcPr>
          <w:p w14:paraId="31528731"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59.89%</w:t>
            </w:r>
          </w:p>
        </w:tc>
      </w:tr>
      <w:tr w:rsidR="001376A0" w:rsidRPr="002D07B8" w14:paraId="7C552923" w14:textId="77777777" w:rsidTr="001376A0">
        <w:trPr>
          <w:trHeight w:val="290"/>
        </w:trPr>
        <w:tc>
          <w:tcPr>
            <w:tcW w:w="2540" w:type="dxa"/>
            <w:tcBorders>
              <w:top w:val="nil"/>
              <w:left w:val="single" w:sz="8" w:space="0" w:color="auto"/>
              <w:bottom w:val="single" w:sz="4" w:space="0" w:color="auto"/>
              <w:right w:val="single" w:sz="8" w:space="0" w:color="auto"/>
            </w:tcBorders>
            <w:shd w:val="clear" w:color="auto" w:fill="auto"/>
            <w:noWrap/>
            <w:vAlign w:val="center"/>
            <w:hideMark/>
          </w:tcPr>
          <w:p w14:paraId="4FF63FBC" w14:textId="77777777" w:rsidR="001376A0" w:rsidRPr="002D07B8" w:rsidRDefault="001376A0" w:rsidP="001376A0">
            <w:pPr>
              <w:rPr>
                <w:rFonts w:asciiTheme="minorHAnsi" w:hAnsiTheme="minorHAnsi" w:cstheme="minorHAnsi"/>
                <w:b/>
                <w:bCs/>
                <w:color w:val="000000"/>
                <w:szCs w:val="22"/>
              </w:rPr>
            </w:pPr>
            <w:r w:rsidRPr="002D07B8">
              <w:rPr>
                <w:rFonts w:asciiTheme="minorHAnsi" w:hAnsiTheme="minorHAnsi" w:cstheme="minorHAnsi"/>
                <w:b/>
                <w:bCs/>
                <w:color w:val="000000"/>
                <w:szCs w:val="22"/>
              </w:rPr>
              <w:t>26 Central Texas</w:t>
            </w:r>
          </w:p>
        </w:tc>
        <w:tc>
          <w:tcPr>
            <w:tcW w:w="987" w:type="dxa"/>
            <w:tcBorders>
              <w:top w:val="single" w:sz="4" w:space="0" w:color="auto"/>
              <w:left w:val="nil"/>
              <w:bottom w:val="single" w:sz="4" w:space="0" w:color="auto"/>
              <w:right w:val="single" w:sz="4" w:space="0" w:color="auto"/>
            </w:tcBorders>
            <w:shd w:val="clear" w:color="000000" w:fill="FFFF00"/>
            <w:noWrap/>
            <w:vAlign w:val="bottom"/>
            <w:hideMark/>
          </w:tcPr>
          <w:p w14:paraId="34F7E9E3"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43.75%</w:t>
            </w:r>
          </w:p>
        </w:tc>
        <w:tc>
          <w:tcPr>
            <w:tcW w:w="98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5D47418"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60.00%</w:t>
            </w:r>
          </w:p>
        </w:tc>
        <w:tc>
          <w:tcPr>
            <w:tcW w:w="987" w:type="dxa"/>
            <w:tcBorders>
              <w:top w:val="nil"/>
              <w:left w:val="nil"/>
              <w:bottom w:val="single" w:sz="4" w:space="0" w:color="auto"/>
              <w:right w:val="single" w:sz="4" w:space="0" w:color="auto"/>
            </w:tcBorders>
            <w:shd w:val="clear" w:color="auto" w:fill="auto"/>
            <w:noWrap/>
            <w:vAlign w:val="bottom"/>
            <w:hideMark/>
          </w:tcPr>
          <w:p w14:paraId="62769342"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100.00%</w:t>
            </w:r>
          </w:p>
        </w:tc>
        <w:tc>
          <w:tcPr>
            <w:tcW w:w="1260" w:type="dxa"/>
            <w:tcBorders>
              <w:top w:val="nil"/>
              <w:left w:val="nil"/>
              <w:bottom w:val="single" w:sz="4" w:space="0" w:color="auto"/>
              <w:right w:val="single" w:sz="4" w:space="0" w:color="auto"/>
            </w:tcBorders>
            <w:shd w:val="clear" w:color="auto" w:fill="auto"/>
            <w:noWrap/>
            <w:vAlign w:val="bottom"/>
            <w:hideMark/>
          </w:tcPr>
          <w:p w14:paraId="79FC434F"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62.70%</w:t>
            </w:r>
          </w:p>
        </w:tc>
        <w:tc>
          <w:tcPr>
            <w:tcW w:w="107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DAF22F6"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50.00%</w:t>
            </w:r>
          </w:p>
        </w:tc>
        <w:tc>
          <w:tcPr>
            <w:tcW w:w="875" w:type="dxa"/>
            <w:tcBorders>
              <w:top w:val="nil"/>
              <w:left w:val="nil"/>
              <w:bottom w:val="single" w:sz="4" w:space="0" w:color="auto"/>
              <w:right w:val="single" w:sz="8" w:space="0" w:color="auto"/>
            </w:tcBorders>
            <w:shd w:val="clear" w:color="auto" w:fill="auto"/>
            <w:noWrap/>
            <w:vAlign w:val="bottom"/>
            <w:hideMark/>
          </w:tcPr>
          <w:p w14:paraId="22DD1B8C"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60.71%</w:t>
            </w:r>
          </w:p>
        </w:tc>
        <w:tc>
          <w:tcPr>
            <w:tcW w:w="980" w:type="dxa"/>
            <w:tcBorders>
              <w:top w:val="single" w:sz="4" w:space="0" w:color="auto"/>
              <w:left w:val="single" w:sz="8" w:space="0" w:color="auto"/>
              <w:bottom w:val="single" w:sz="4" w:space="0" w:color="auto"/>
              <w:right w:val="single" w:sz="4" w:space="0" w:color="auto"/>
            </w:tcBorders>
            <w:shd w:val="clear" w:color="000000" w:fill="FFFF00"/>
            <w:noWrap/>
            <w:vAlign w:val="bottom"/>
            <w:hideMark/>
          </w:tcPr>
          <w:p w14:paraId="17769E15"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49.60%</w:t>
            </w:r>
          </w:p>
        </w:tc>
        <w:tc>
          <w:tcPr>
            <w:tcW w:w="87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C9B4566"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61.19%</w:t>
            </w:r>
          </w:p>
        </w:tc>
        <w:tc>
          <w:tcPr>
            <w:tcW w:w="875" w:type="dxa"/>
            <w:tcBorders>
              <w:top w:val="nil"/>
              <w:left w:val="nil"/>
              <w:bottom w:val="single" w:sz="4" w:space="0" w:color="auto"/>
              <w:right w:val="single" w:sz="4" w:space="0" w:color="auto"/>
            </w:tcBorders>
            <w:shd w:val="clear" w:color="auto" w:fill="auto"/>
            <w:noWrap/>
            <w:vAlign w:val="bottom"/>
            <w:hideMark/>
          </w:tcPr>
          <w:p w14:paraId="2BC2359E"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66.37%</w:t>
            </w:r>
          </w:p>
        </w:tc>
        <w:tc>
          <w:tcPr>
            <w:tcW w:w="875" w:type="dxa"/>
            <w:tcBorders>
              <w:top w:val="nil"/>
              <w:left w:val="nil"/>
              <w:bottom w:val="single" w:sz="4" w:space="0" w:color="auto"/>
              <w:right w:val="single" w:sz="4" w:space="0" w:color="auto"/>
            </w:tcBorders>
            <w:shd w:val="clear" w:color="auto" w:fill="auto"/>
            <w:noWrap/>
            <w:vAlign w:val="bottom"/>
            <w:hideMark/>
          </w:tcPr>
          <w:p w14:paraId="548FC6E3"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59.69%</w:t>
            </w:r>
          </w:p>
        </w:tc>
        <w:tc>
          <w:tcPr>
            <w:tcW w:w="107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ACDE029"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52.04%</w:t>
            </w:r>
          </w:p>
        </w:tc>
        <w:tc>
          <w:tcPr>
            <w:tcW w:w="960" w:type="dxa"/>
            <w:tcBorders>
              <w:top w:val="nil"/>
              <w:left w:val="nil"/>
              <w:bottom w:val="single" w:sz="4" w:space="0" w:color="auto"/>
              <w:right w:val="single" w:sz="8" w:space="0" w:color="auto"/>
            </w:tcBorders>
            <w:shd w:val="clear" w:color="auto" w:fill="auto"/>
            <w:noWrap/>
            <w:vAlign w:val="bottom"/>
            <w:hideMark/>
          </w:tcPr>
          <w:p w14:paraId="371D5BBD"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58.51%</w:t>
            </w:r>
          </w:p>
        </w:tc>
      </w:tr>
      <w:tr w:rsidR="001376A0" w:rsidRPr="002D07B8" w14:paraId="48565BE9" w14:textId="77777777" w:rsidTr="001376A0">
        <w:trPr>
          <w:trHeight w:val="290"/>
        </w:trPr>
        <w:tc>
          <w:tcPr>
            <w:tcW w:w="2540" w:type="dxa"/>
            <w:tcBorders>
              <w:top w:val="nil"/>
              <w:left w:val="single" w:sz="8" w:space="0" w:color="auto"/>
              <w:bottom w:val="single" w:sz="4" w:space="0" w:color="auto"/>
              <w:right w:val="single" w:sz="8" w:space="0" w:color="auto"/>
            </w:tcBorders>
            <w:shd w:val="clear" w:color="auto" w:fill="auto"/>
            <w:noWrap/>
            <w:vAlign w:val="center"/>
            <w:hideMark/>
          </w:tcPr>
          <w:p w14:paraId="6A182EDB" w14:textId="77777777" w:rsidR="001376A0" w:rsidRPr="002D07B8" w:rsidRDefault="001376A0" w:rsidP="001376A0">
            <w:pPr>
              <w:rPr>
                <w:rFonts w:asciiTheme="minorHAnsi" w:hAnsiTheme="minorHAnsi" w:cstheme="minorHAnsi"/>
                <w:b/>
                <w:bCs/>
                <w:color w:val="000000"/>
                <w:szCs w:val="22"/>
              </w:rPr>
            </w:pPr>
            <w:r w:rsidRPr="002D07B8">
              <w:rPr>
                <w:rFonts w:asciiTheme="minorHAnsi" w:hAnsiTheme="minorHAnsi" w:cstheme="minorHAnsi"/>
                <w:b/>
                <w:bCs/>
                <w:color w:val="000000"/>
                <w:szCs w:val="22"/>
              </w:rPr>
              <w:t>27 Middle Rio Grande</w:t>
            </w:r>
          </w:p>
        </w:tc>
        <w:tc>
          <w:tcPr>
            <w:tcW w:w="987" w:type="dxa"/>
            <w:tcBorders>
              <w:top w:val="nil"/>
              <w:left w:val="nil"/>
              <w:bottom w:val="single" w:sz="4" w:space="0" w:color="auto"/>
              <w:right w:val="single" w:sz="4" w:space="0" w:color="auto"/>
            </w:tcBorders>
            <w:shd w:val="clear" w:color="auto" w:fill="auto"/>
            <w:noWrap/>
            <w:vAlign w:val="bottom"/>
            <w:hideMark/>
          </w:tcPr>
          <w:p w14:paraId="3CCA6D3D"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NA</w:t>
            </w:r>
          </w:p>
        </w:tc>
        <w:tc>
          <w:tcPr>
            <w:tcW w:w="98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CCD834B"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0.00%</w:t>
            </w:r>
          </w:p>
        </w:tc>
        <w:tc>
          <w:tcPr>
            <w:tcW w:w="98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332AEB0"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61.29%</w:t>
            </w:r>
          </w:p>
        </w:tc>
        <w:tc>
          <w:tcPr>
            <w:tcW w:w="126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A6452A1"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56.94%</w:t>
            </w:r>
          </w:p>
        </w:tc>
        <w:tc>
          <w:tcPr>
            <w:tcW w:w="1078" w:type="dxa"/>
            <w:tcBorders>
              <w:top w:val="nil"/>
              <w:left w:val="nil"/>
              <w:bottom w:val="single" w:sz="4" w:space="0" w:color="auto"/>
              <w:right w:val="single" w:sz="4" w:space="0" w:color="auto"/>
            </w:tcBorders>
            <w:shd w:val="clear" w:color="auto" w:fill="auto"/>
            <w:noWrap/>
            <w:vAlign w:val="bottom"/>
            <w:hideMark/>
          </w:tcPr>
          <w:p w14:paraId="35C2C946"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55.56%</w:t>
            </w:r>
          </w:p>
        </w:tc>
        <w:tc>
          <w:tcPr>
            <w:tcW w:w="875" w:type="dxa"/>
            <w:tcBorders>
              <w:top w:val="nil"/>
              <w:left w:val="nil"/>
              <w:bottom w:val="single" w:sz="4" w:space="0" w:color="auto"/>
              <w:right w:val="single" w:sz="8" w:space="0" w:color="auto"/>
            </w:tcBorders>
            <w:shd w:val="clear" w:color="auto" w:fill="auto"/>
            <w:noWrap/>
            <w:vAlign w:val="bottom"/>
            <w:hideMark/>
          </w:tcPr>
          <w:p w14:paraId="0CB053A8"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57.58%</w:t>
            </w:r>
          </w:p>
        </w:tc>
        <w:tc>
          <w:tcPr>
            <w:tcW w:w="980" w:type="dxa"/>
            <w:tcBorders>
              <w:top w:val="nil"/>
              <w:left w:val="nil"/>
              <w:bottom w:val="single" w:sz="4" w:space="0" w:color="auto"/>
              <w:right w:val="single" w:sz="4" w:space="0" w:color="auto"/>
            </w:tcBorders>
            <w:shd w:val="clear" w:color="auto" w:fill="auto"/>
            <w:noWrap/>
            <w:vAlign w:val="bottom"/>
            <w:hideMark/>
          </w:tcPr>
          <w:p w14:paraId="6386039C"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55.44%</w:t>
            </w:r>
          </w:p>
        </w:tc>
        <w:tc>
          <w:tcPr>
            <w:tcW w:w="87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7455EA0"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31.19%</w:t>
            </w:r>
          </w:p>
        </w:tc>
        <w:tc>
          <w:tcPr>
            <w:tcW w:w="87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B4BE9A2"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63.83%</w:t>
            </w:r>
          </w:p>
        </w:tc>
        <w:tc>
          <w:tcPr>
            <w:tcW w:w="87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1A4EA699"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58.32%</w:t>
            </w:r>
          </w:p>
        </w:tc>
        <w:tc>
          <w:tcPr>
            <w:tcW w:w="1078" w:type="dxa"/>
            <w:tcBorders>
              <w:top w:val="nil"/>
              <w:left w:val="nil"/>
              <w:bottom w:val="single" w:sz="4" w:space="0" w:color="auto"/>
              <w:right w:val="single" w:sz="4" w:space="0" w:color="auto"/>
            </w:tcBorders>
            <w:shd w:val="clear" w:color="auto" w:fill="auto"/>
            <w:noWrap/>
            <w:vAlign w:val="bottom"/>
            <w:hideMark/>
          </w:tcPr>
          <w:p w14:paraId="5659FEA4"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54.08%</w:t>
            </w:r>
          </w:p>
        </w:tc>
        <w:tc>
          <w:tcPr>
            <w:tcW w:w="960" w:type="dxa"/>
            <w:tcBorders>
              <w:top w:val="nil"/>
              <w:left w:val="nil"/>
              <w:bottom w:val="single" w:sz="4" w:space="0" w:color="auto"/>
              <w:right w:val="single" w:sz="8" w:space="0" w:color="auto"/>
            </w:tcBorders>
            <w:shd w:val="clear" w:color="auto" w:fill="auto"/>
            <w:noWrap/>
            <w:vAlign w:val="bottom"/>
            <w:hideMark/>
          </w:tcPr>
          <w:p w14:paraId="558AC938"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59.12%</w:t>
            </w:r>
          </w:p>
        </w:tc>
      </w:tr>
      <w:tr w:rsidR="001376A0" w:rsidRPr="002D07B8" w14:paraId="2C44C5F1" w14:textId="77777777" w:rsidTr="001376A0">
        <w:trPr>
          <w:trHeight w:val="300"/>
        </w:trPr>
        <w:tc>
          <w:tcPr>
            <w:tcW w:w="2540" w:type="dxa"/>
            <w:tcBorders>
              <w:top w:val="nil"/>
              <w:left w:val="single" w:sz="8" w:space="0" w:color="auto"/>
              <w:bottom w:val="nil"/>
              <w:right w:val="single" w:sz="8" w:space="0" w:color="auto"/>
            </w:tcBorders>
            <w:shd w:val="clear" w:color="auto" w:fill="auto"/>
            <w:noWrap/>
            <w:vAlign w:val="center"/>
            <w:hideMark/>
          </w:tcPr>
          <w:p w14:paraId="3410C912" w14:textId="77777777" w:rsidR="001376A0" w:rsidRPr="002D07B8" w:rsidRDefault="001376A0" w:rsidP="001376A0">
            <w:pPr>
              <w:rPr>
                <w:rFonts w:asciiTheme="minorHAnsi" w:hAnsiTheme="minorHAnsi" w:cstheme="minorHAnsi"/>
                <w:b/>
                <w:bCs/>
                <w:color w:val="000000"/>
                <w:szCs w:val="22"/>
              </w:rPr>
            </w:pPr>
            <w:r w:rsidRPr="002D07B8">
              <w:rPr>
                <w:rFonts w:asciiTheme="minorHAnsi" w:hAnsiTheme="minorHAnsi" w:cstheme="minorHAnsi"/>
                <w:b/>
                <w:bCs/>
                <w:color w:val="000000"/>
                <w:szCs w:val="22"/>
              </w:rPr>
              <w:t>28 Gulf Coast</w:t>
            </w:r>
          </w:p>
        </w:tc>
        <w:tc>
          <w:tcPr>
            <w:tcW w:w="987" w:type="dxa"/>
            <w:tcBorders>
              <w:top w:val="nil"/>
              <w:left w:val="nil"/>
              <w:bottom w:val="single" w:sz="4" w:space="0" w:color="auto"/>
              <w:right w:val="single" w:sz="4" w:space="0" w:color="auto"/>
            </w:tcBorders>
            <w:shd w:val="clear" w:color="auto" w:fill="auto"/>
            <w:noWrap/>
            <w:vAlign w:val="bottom"/>
            <w:hideMark/>
          </w:tcPr>
          <w:p w14:paraId="02FE7FB3"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57.50%</w:t>
            </w:r>
          </w:p>
        </w:tc>
        <w:tc>
          <w:tcPr>
            <w:tcW w:w="987" w:type="dxa"/>
            <w:tcBorders>
              <w:top w:val="nil"/>
              <w:left w:val="nil"/>
              <w:bottom w:val="single" w:sz="4" w:space="0" w:color="auto"/>
              <w:right w:val="single" w:sz="4" w:space="0" w:color="auto"/>
            </w:tcBorders>
            <w:shd w:val="clear" w:color="auto" w:fill="auto"/>
            <w:noWrap/>
            <w:vAlign w:val="bottom"/>
            <w:hideMark/>
          </w:tcPr>
          <w:p w14:paraId="7875A66E"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63.64%</w:t>
            </w:r>
          </w:p>
        </w:tc>
        <w:tc>
          <w:tcPr>
            <w:tcW w:w="987" w:type="dxa"/>
            <w:tcBorders>
              <w:top w:val="nil"/>
              <w:left w:val="single" w:sz="4" w:space="0" w:color="auto"/>
              <w:bottom w:val="single" w:sz="4" w:space="0" w:color="auto"/>
              <w:right w:val="single" w:sz="4" w:space="0" w:color="auto"/>
            </w:tcBorders>
            <w:shd w:val="clear" w:color="000000" w:fill="FFFF00"/>
            <w:noWrap/>
            <w:vAlign w:val="bottom"/>
            <w:hideMark/>
          </w:tcPr>
          <w:p w14:paraId="547EB0D7"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61.51%</w:t>
            </w:r>
          </w:p>
        </w:tc>
        <w:tc>
          <w:tcPr>
            <w:tcW w:w="1260" w:type="dxa"/>
            <w:tcBorders>
              <w:top w:val="nil"/>
              <w:left w:val="single" w:sz="4" w:space="0" w:color="auto"/>
              <w:bottom w:val="single" w:sz="4" w:space="0" w:color="auto"/>
              <w:right w:val="single" w:sz="4" w:space="0" w:color="auto"/>
            </w:tcBorders>
            <w:shd w:val="clear" w:color="000000" w:fill="FFFF00"/>
            <w:noWrap/>
            <w:vAlign w:val="bottom"/>
            <w:hideMark/>
          </w:tcPr>
          <w:p w14:paraId="1B5301A6"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55.65%</w:t>
            </w:r>
          </w:p>
        </w:tc>
        <w:tc>
          <w:tcPr>
            <w:tcW w:w="1078" w:type="dxa"/>
            <w:tcBorders>
              <w:top w:val="nil"/>
              <w:left w:val="single" w:sz="4" w:space="0" w:color="auto"/>
              <w:bottom w:val="single" w:sz="4" w:space="0" w:color="auto"/>
              <w:right w:val="single" w:sz="4" w:space="0" w:color="auto"/>
            </w:tcBorders>
            <w:shd w:val="clear" w:color="000000" w:fill="FFFF00"/>
            <w:noWrap/>
            <w:vAlign w:val="bottom"/>
            <w:hideMark/>
          </w:tcPr>
          <w:p w14:paraId="5A72F31A"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52.82%</w:t>
            </w:r>
          </w:p>
        </w:tc>
        <w:tc>
          <w:tcPr>
            <w:tcW w:w="875" w:type="dxa"/>
            <w:tcBorders>
              <w:top w:val="nil"/>
              <w:left w:val="nil"/>
              <w:bottom w:val="single" w:sz="4" w:space="0" w:color="auto"/>
              <w:right w:val="single" w:sz="8" w:space="0" w:color="auto"/>
            </w:tcBorders>
            <w:shd w:val="clear" w:color="auto" w:fill="auto"/>
            <w:noWrap/>
            <w:vAlign w:val="bottom"/>
            <w:hideMark/>
          </w:tcPr>
          <w:p w14:paraId="06E51653"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56.23%</w:t>
            </w:r>
          </w:p>
        </w:tc>
        <w:tc>
          <w:tcPr>
            <w:tcW w:w="980" w:type="dxa"/>
            <w:tcBorders>
              <w:top w:val="nil"/>
              <w:left w:val="nil"/>
              <w:bottom w:val="single" w:sz="8" w:space="0" w:color="auto"/>
              <w:right w:val="single" w:sz="4" w:space="0" w:color="auto"/>
            </w:tcBorders>
            <w:shd w:val="clear" w:color="auto" w:fill="auto"/>
            <w:noWrap/>
            <w:vAlign w:val="bottom"/>
            <w:hideMark/>
          </w:tcPr>
          <w:p w14:paraId="1D961485"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55.44%</w:t>
            </w:r>
          </w:p>
        </w:tc>
        <w:tc>
          <w:tcPr>
            <w:tcW w:w="875" w:type="dxa"/>
            <w:tcBorders>
              <w:top w:val="nil"/>
              <w:left w:val="single" w:sz="4" w:space="0" w:color="auto"/>
              <w:bottom w:val="single" w:sz="8" w:space="0" w:color="auto"/>
              <w:right w:val="single" w:sz="4" w:space="0" w:color="auto"/>
            </w:tcBorders>
            <w:shd w:val="clear" w:color="auto" w:fill="auto"/>
            <w:noWrap/>
            <w:vAlign w:val="bottom"/>
            <w:hideMark/>
          </w:tcPr>
          <w:p w14:paraId="219DE5CB"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62.37%</w:t>
            </w:r>
          </w:p>
        </w:tc>
        <w:tc>
          <w:tcPr>
            <w:tcW w:w="875" w:type="dxa"/>
            <w:tcBorders>
              <w:top w:val="single" w:sz="4" w:space="0" w:color="auto"/>
              <w:left w:val="single" w:sz="4" w:space="0" w:color="auto"/>
              <w:bottom w:val="single" w:sz="8" w:space="0" w:color="auto"/>
              <w:right w:val="single" w:sz="4" w:space="0" w:color="auto"/>
            </w:tcBorders>
            <w:shd w:val="clear" w:color="000000" w:fill="FFFF00"/>
            <w:noWrap/>
            <w:vAlign w:val="bottom"/>
            <w:hideMark/>
          </w:tcPr>
          <w:p w14:paraId="41856E6B"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63.94%</w:t>
            </w:r>
          </w:p>
        </w:tc>
        <w:tc>
          <w:tcPr>
            <w:tcW w:w="875" w:type="dxa"/>
            <w:tcBorders>
              <w:top w:val="single" w:sz="4" w:space="0" w:color="auto"/>
              <w:left w:val="single" w:sz="4" w:space="0" w:color="auto"/>
              <w:bottom w:val="single" w:sz="8" w:space="0" w:color="auto"/>
              <w:right w:val="single" w:sz="4" w:space="0" w:color="auto"/>
            </w:tcBorders>
            <w:shd w:val="clear" w:color="000000" w:fill="FFFF00"/>
            <w:noWrap/>
            <w:vAlign w:val="bottom"/>
            <w:hideMark/>
          </w:tcPr>
          <w:p w14:paraId="36E9D843"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57.67%</w:t>
            </w:r>
          </w:p>
        </w:tc>
        <w:tc>
          <w:tcPr>
            <w:tcW w:w="1078" w:type="dxa"/>
            <w:tcBorders>
              <w:top w:val="single" w:sz="4" w:space="0" w:color="auto"/>
              <w:left w:val="single" w:sz="4" w:space="0" w:color="auto"/>
              <w:bottom w:val="single" w:sz="8" w:space="0" w:color="auto"/>
              <w:right w:val="single" w:sz="4" w:space="0" w:color="auto"/>
            </w:tcBorders>
            <w:shd w:val="clear" w:color="000000" w:fill="FFFF00"/>
            <w:noWrap/>
            <w:vAlign w:val="bottom"/>
            <w:hideMark/>
          </w:tcPr>
          <w:p w14:paraId="441A5091"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53.45%</w:t>
            </w:r>
          </w:p>
        </w:tc>
        <w:tc>
          <w:tcPr>
            <w:tcW w:w="960" w:type="dxa"/>
            <w:tcBorders>
              <w:top w:val="nil"/>
              <w:left w:val="single" w:sz="4" w:space="0" w:color="auto"/>
              <w:bottom w:val="single" w:sz="8" w:space="0" w:color="auto"/>
              <w:right w:val="single" w:sz="8" w:space="0" w:color="auto"/>
            </w:tcBorders>
            <w:shd w:val="clear" w:color="auto" w:fill="auto"/>
            <w:noWrap/>
            <w:vAlign w:val="bottom"/>
            <w:hideMark/>
          </w:tcPr>
          <w:p w14:paraId="4091966E"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58.22%</w:t>
            </w:r>
          </w:p>
        </w:tc>
      </w:tr>
      <w:tr w:rsidR="001376A0" w:rsidRPr="002D07B8" w14:paraId="56127B5A" w14:textId="77777777" w:rsidTr="001376A0">
        <w:trPr>
          <w:trHeight w:val="300"/>
        </w:trPr>
        <w:tc>
          <w:tcPr>
            <w:tcW w:w="25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6A6911" w14:textId="77777777" w:rsidR="001376A0" w:rsidRPr="002D07B8" w:rsidRDefault="001376A0" w:rsidP="001376A0">
            <w:pPr>
              <w:rPr>
                <w:rFonts w:asciiTheme="minorHAnsi" w:hAnsiTheme="minorHAnsi" w:cstheme="minorHAnsi"/>
                <w:b/>
                <w:bCs/>
                <w:color w:val="000000"/>
                <w:szCs w:val="22"/>
              </w:rPr>
            </w:pPr>
            <w:r w:rsidRPr="002D07B8">
              <w:rPr>
                <w:rFonts w:asciiTheme="minorHAnsi" w:hAnsiTheme="minorHAnsi" w:cstheme="minorHAnsi"/>
                <w:b/>
                <w:bCs/>
                <w:color w:val="000000"/>
                <w:szCs w:val="22"/>
              </w:rPr>
              <w:t>29 System</w:t>
            </w:r>
          </w:p>
        </w:tc>
        <w:tc>
          <w:tcPr>
            <w:tcW w:w="987" w:type="dxa"/>
            <w:tcBorders>
              <w:top w:val="single" w:sz="8" w:space="0" w:color="auto"/>
              <w:left w:val="nil"/>
              <w:bottom w:val="single" w:sz="8" w:space="0" w:color="auto"/>
              <w:right w:val="single" w:sz="4" w:space="0" w:color="auto"/>
            </w:tcBorders>
            <w:shd w:val="clear" w:color="auto" w:fill="auto"/>
            <w:noWrap/>
            <w:vAlign w:val="bottom"/>
            <w:hideMark/>
          </w:tcPr>
          <w:p w14:paraId="3E4DAC0F"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54.64%</w:t>
            </w:r>
          </w:p>
        </w:tc>
        <w:tc>
          <w:tcPr>
            <w:tcW w:w="987"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44CE9118"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61.48%</w:t>
            </w:r>
          </w:p>
        </w:tc>
        <w:tc>
          <w:tcPr>
            <w:tcW w:w="987" w:type="dxa"/>
            <w:tcBorders>
              <w:top w:val="single" w:sz="8" w:space="0" w:color="auto"/>
              <w:left w:val="nil"/>
              <w:bottom w:val="single" w:sz="8" w:space="0" w:color="auto"/>
              <w:right w:val="single" w:sz="4" w:space="0" w:color="auto"/>
            </w:tcBorders>
            <w:shd w:val="clear" w:color="auto" w:fill="auto"/>
            <w:noWrap/>
            <w:vAlign w:val="bottom"/>
            <w:hideMark/>
          </w:tcPr>
          <w:p w14:paraId="43A110CC"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65.42%</w:t>
            </w:r>
          </w:p>
        </w:tc>
        <w:tc>
          <w:tcPr>
            <w:tcW w:w="1260" w:type="dxa"/>
            <w:tcBorders>
              <w:top w:val="single" w:sz="8" w:space="0" w:color="auto"/>
              <w:left w:val="nil"/>
              <w:bottom w:val="single" w:sz="8" w:space="0" w:color="auto"/>
              <w:right w:val="single" w:sz="4" w:space="0" w:color="auto"/>
            </w:tcBorders>
            <w:shd w:val="clear" w:color="auto" w:fill="auto"/>
            <w:noWrap/>
            <w:vAlign w:val="bottom"/>
            <w:hideMark/>
          </w:tcPr>
          <w:p w14:paraId="150E3C1A"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58.84%</w:t>
            </w:r>
          </w:p>
        </w:tc>
        <w:tc>
          <w:tcPr>
            <w:tcW w:w="1078" w:type="dxa"/>
            <w:tcBorders>
              <w:top w:val="single" w:sz="8" w:space="0" w:color="auto"/>
              <w:left w:val="nil"/>
              <w:bottom w:val="single" w:sz="8" w:space="0" w:color="auto"/>
              <w:right w:val="single" w:sz="4" w:space="0" w:color="auto"/>
            </w:tcBorders>
            <w:shd w:val="clear" w:color="auto" w:fill="auto"/>
            <w:noWrap/>
            <w:vAlign w:val="bottom"/>
            <w:hideMark/>
          </w:tcPr>
          <w:p w14:paraId="5E246AB0"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53.30%</w:t>
            </w:r>
          </w:p>
        </w:tc>
        <w:tc>
          <w:tcPr>
            <w:tcW w:w="875" w:type="dxa"/>
            <w:tcBorders>
              <w:top w:val="single" w:sz="8" w:space="0" w:color="auto"/>
              <w:left w:val="nil"/>
              <w:bottom w:val="single" w:sz="8" w:space="0" w:color="auto"/>
              <w:right w:val="single" w:sz="8" w:space="0" w:color="auto"/>
            </w:tcBorders>
            <w:shd w:val="clear" w:color="auto" w:fill="auto"/>
            <w:noWrap/>
            <w:vAlign w:val="bottom"/>
            <w:hideMark/>
          </w:tcPr>
          <w:p w14:paraId="361DD973"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59.14%</w:t>
            </w:r>
          </w:p>
        </w:tc>
        <w:tc>
          <w:tcPr>
            <w:tcW w:w="980" w:type="dxa"/>
            <w:tcBorders>
              <w:top w:val="nil"/>
              <w:left w:val="nil"/>
              <w:bottom w:val="single" w:sz="8" w:space="0" w:color="auto"/>
              <w:right w:val="single" w:sz="4" w:space="0" w:color="auto"/>
            </w:tcBorders>
            <w:shd w:val="clear" w:color="auto" w:fill="auto"/>
            <w:noWrap/>
            <w:vAlign w:val="bottom"/>
            <w:hideMark/>
          </w:tcPr>
          <w:p w14:paraId="322BDFC1"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55.44%</w:t>
            </w:r>
          </w:p>
        </w:tc>
        <w:tc>
          <w:tcPr>
            <w:tcW w:w="875" w:type="dxa"/>
            <w:tcBorders>
              <w:top w:val="nil"/>
              <w:left w:val="single" w:sz="4" w:space="0" w:color="auto"/>
              <w:bottom w:val="single" w:sz="8" w:space="0" w:color="auto"/>
              <w:right w:val="single" w:sz="4" w:space="0" w:color="auto"/>
            </w:tcBorders>
            <w:shd w:val="clear" w:color="auto" w:fill="auto"/>
            <w:noWrap/>
            <w:vAlign w:val="bottom"/>
            <w:hideMark/>
          </w:tcPr>
          <w:p w14:paraId="5833B3D2"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62.37%</w:t>
            </w:r>
          </w:p>
        </w:tc>
        <w:tc>
          <w:tcPr>
            <w:tcW w:w="875" w:type="dxa"/>
            <w:tcBorders>
              <w:top w:val="nil"/>
              <w:left w:val="nil"/>
              <w:bottom w:val="single" w:sz="8" w:space="0" w:color="auto"/>
              <w:right w:val="single" w:sz="4" w:space="0" w:color="auto"/>
            </w:tcBorders>
            <w:shd w:val="clear" w:color="auto" w:fill="auto"/>
            <w:noWrap/>
            <w:vAlign w:val="bottom"/>
            <w:hideMark/>
          </w:tcPr>
          <w:p w14:paraId="52866EC8"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66.37%</w:t>
            </w:r>
          </w:p>
        </w:tc>
        <w:tc>
          <w:tcPr>
            <w:tcW w:w="875" w:type="dxa"/>
            <w:tcBorders>
              <w:top w:val="nil"/>
              <w:left w:val="nil"/>
              <w:bottom w:val="single" w:sz="8" w:space="0" w:color="auto"/>
              <w:right w:val="single" w:sz="4" w:space="0" w:color="auto"/>
            </w:tcBorders>
            <w:shd w:val="clear" w:color="auto" w:fill="auto"/>
            <w:noWrap/>
            <w:vAlign w:val="bottom"/>
            <w:hideMark/>
          </w:tcPr>
          <w:p w14:paraId="0A54D34A"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59.69%</w:t>
            </w:r>
          </w:p>
        </w:tc>
        <w:tc>
          <w:tcPr>
            <w:tcW w:w="1078" w:type="dxa"/>
            <w:tcBorders>
              <w:top w:val="nil"/>
              <w:left w:val="nil"/>
              <w:bottom w:val="single" w:sz="8" w:space="0" w:color="auto"/>
              <w:right w:val="single" w:sz="4" w:space="0" w:color="auto"/>
            </w:tcBorders>
            <w:shd w:val="clear" w:color="auto" w:fill="auto"/>
            <w:noWrap/>
            <w:vAlign w:val="bottom"/>
            <w:hideMark/>
          </w:tcPr>
          <w:p w14:paraId="733A6F2F"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54.08%</w:t>
            </w:r>
          </w:p>
        </w:tc>
        <w:tc>
          <w:tcPr>
            <w:tcW w:w="960" w:type="dxa"/>
            <w:tcBorders>
              <w:top w:val="nil"/>
              <w:left w:val="nil"/>
              <w:bottom w:val="single" w:sz="8" w:space="0" w:color="auto"/>
              <w:right w:val="single" w:sz="8" w:space="0" w:color="auto"/>
            </w:tcBorders>
            <w:shd w:val="clear" w:color="auto" w:fill="auto"/>
            <w:noWrap/>
            <w:vAlign w:val="bottom"/>
            <w:hideMark/>
          </w:tcPr>
          <w:p w14:paraId="23C84BD9" w14:textId="77777777" w:rsidR="001376A0" w:rsidRPr="002D07B8" w:rsidRDefault="001376A0" w:rsidP="001376A0">
            <w:pPr>
              <w:jc w:val="center"/>
              <w:rPr>
                <w:rFonts w:asciiTheme="minorHAnsi" w:hAnsiTheme="minorHAnsi" w:cstheme="minorHAnsi"/>
                <w:color w:val="000000"/>
                <w:szCs w:val="22"/>
              </w:rPr>
            </w:pPr>
            <w:r w:rsidRPr="002D07B8">
              <w:rPr>
                <w:rFonts w:asciiTheme="minorHAnsi" w:hAnsiTheme="minorHAnsi" w:cstheme="minorHAnsi"/>
                <w:color w:val="000000"/>
                <w:szCs w:val="22"/>
              </w:rPr>
              <w:t>60.00%</w:t>
            </w:r>
          </w:p>
        </w:tc>
      </w:tr>
    </w:tbl>
    <w:p w14:paraId="4E48479A" w14:textId="43808680" w:rsidR="0044690F" w:rsidRPr="002D07B8" w:rsidRDefault="0044690F" w:rsidP="00D2091E">
      <w:pPr>
        <w:rPr>
          <w:rFonts w:asciiTheme="minorHAnsi" w:hAnsiTheme="minorHAnsi" w:cstheme="minorHAnsi"/>
        </w:rPr>
      </w:pPr>
    </w:p>
    <w:p w14:paraId="0D6CAED9" w14:textId="77777777" w:rsidR="0044690F" w:rsidRPr="002D07B8" w:rsidRDefault="0044690F" w:rsidP="00D2091E">
      <w:pPr>
        <w:rPr>
          <w:rFonts w:asciiTheme="minorHAnsi" w:hAnsiTheme="minorHAnsi" w:cstheme="minorHAnsi"/>
        </w:rPr>
        <w:sectPr w:rsidR="0044690F" w:rsidRPr="002D07B8" w:rsidSect="00E97C36">
          <w:pgSz w:w="15840" w:h="12240" w:orient="landscape" w:code="1"/>
          <w:pgMar w:top="720" w:right="720" w:bottom="720" w:left="720" w:header="720" w:footer="720" w:gutter="0"/>
          <w:lnNumType w:countBy="1"/>
          <w:cols w:space="720"/>
          <w:docGrid w:linePitch="360"/>
        </w:sectPr>
      </w:pPr>
    </w:p>
    <w:p w14:paraId="34B4B7FD" w14:textId="282B54C0" w:rsidR="0044690F" w:rsidRPr="002D07B8" w:rsidRDefault="0044690F" w:rsidP="0044690F">
      <w:pPr>
        <w:jc w:val="center"/>
        <w:rPr>
          <w:rFonts w:asciiTheme="minorHAnsi" w:hAnsiTheme="minorHAnsi" w:cstheme="minorHAnsi"/>
          <w:b/>
          <w:bCs/>
        </w:rPr>
      </w:pPr>
      <w:r w:rsidRPr="002D07B8">
        <w:rPr>
          <w:rFonts w:asciiTheme="minorHAnsi" w:hAnsiTheme="minorHAnsi" w:cstheme="minorHAnsi"/>
          <w:b/>
          <w:bCs/>
        </w:rPr>
        <w:t>Child Care Target Methodology Details</w:t>
      </w:r>
    </w:p>
    <w:p w14:paraId="215F1F78" w14:textId="62C60FAA" w:rsidR="0044690F" w:rsidRPr="002D07B8" w:rsidRDefault="0044690F" w:rsidP="00D2091E">
      <w:pPr>
        <w:rPr>
          <w:rFonts w:asciiTheme="minorHAnsi" w:hAnsiTheme="minorHAnsi" w:cstheme="minorHAnsi"/>
        </w:rPr>
      </w:pPr>
    </w:p>
    <w:p w14:paraId="3889A31A" w14:textId="22B38F40" w:rsidR="00C62BF1" w:rsidRPr="002D07B8" w:rsidRDefault="00C62BF1" w:rsidP="002A6C8A">
      <w:pPr>
        <w:pStyle w:val="Heading1"/>
        <w:rPr>
          <w:rFonts w:asciiTheme="minorHAnsi" w:hAnsiTheme="minorHAnsi" w:cstheme="minorHAnsi"/>
        </w:rPr>
      </w:pPr>
      <w:r w:rsidRPr="002D07B8">
        <w:rPr>
          <w:rFonts w:asciiTheme="minorHAnsi" w:hAnsiTheme="minorHAnsi" w:cstheme="minorHAnsi"/>
        </w:rPr>
        <w:t>Introduction</w:t>
      </w:r>
    </w:p>
    <w:p w14:paraId="45278213" w14:textId="0410BAC1" w:rsidR="002D07B8" w:rsidRPr="002D07B8" w:rsidRDefault="002D07B8" w:rsidP="002D07B8">
      <w:pPr>
        <w:spacing w:after="80"/>
        <w:rPr>
          <w:rFonts w:asciiTheme="minorHAnsi" w:hAnsiTheme="minorHAnsi" w:cstheme="minorHAnsi"/>
        </w:rPr>
      </w:pPr>
      <w:r w:rsidRPr="002D07B8">
        <w:rPr>
          <w:rFonts w:asciiTheme="minorHAnsi" w:hAnsiTheme="minorHAnsi" w:cstheme="minorHAnsi"/>
        </w:rPr>
        <w:t xml:space="preserve">Child Care Target Setting is essentially a Zero-Sum algebra problem.  There is a fixed amount of money available to the program to spend on direct care, admin/ops, and quality.  More of one requires less of one or </w:t>
      </w:r>
      <w:proofErr w:type="gramStart"/>
      <w:r w:rsidRPr="002D07B8">
        <w:rPr>
          <w:rFonts w:asciiTheme="minorHAnsi" w:hAnsiTheme="minorHAnsi" w:cstheme="minorHAnsi"/>
        </w:rPr>
        <w:t>both of the others</w:t>
      </w:r>
      <w:proofErr w:type="gramEnd"/>
      <w:r w:rsidRPr="002D07B8">
        <w:rPr>
          <w:rFonts w:asciiTheme="minorHAnsi" w:hAnsiTheme="minorHAnsi" w:cstheme="minorHAnsi"/>
        </w:rPr>
        <w:t>.  Target setting involves taking allocations and “distributing” it to these three cost areas.</w:t>
      </w:r>
    </w:p>
    <w:p w14:paraId="17B5E88C" w14:textId="77777777" w:rsidR="002D07B8" w:rsidRPr="002D07B8" w:rsidRDefault="002D07B8" w:rsidP="002D07B8">
      <w:pPr>
        <w:pStyle w:val="ListParagraph"/>
        <w:numPr>
          <w:ilvl w:val="0"/>
          <w:numId w:val="41"/>
        </w:numPr>
        <w:spacing w:after="80"/>
        <w:ind w:hanging="432"/>
        <w:contextualSpacing w:val="0"/>
        <w:rPr>
          <w:rFonts w:asciiTheme="minorHAnsi" w:hAnsiTheme="minorHAnsi" w:cstheme="minorHAnsi"/>
        </w:rPr>
      </w:pPr>
      <w:r w:rsidRPr="002D07B8">
        <w:rPr>
          <w:rFonts w:asciiTheme="minorHAnsi" w:hAnsiTheme="minorHAnsi" w:cstheme="minorHAnsi"/>
        </w:rPr>
        <w:t>Commission approves Board CCF and CCM Allocations developed by TWC Finance using a variety of factors</w:t>
      </w:r>
    </w:p>
    <w:p w14:paraId="38A70DF0" w14:textId="77777777" w:rsidR="002D07B8" w:rsidRPr="002D07B8" w:rsidRDefault="002D07B8" w:rsidP="002D07B8">
      <w:pPr>
        <w:pStyle w:val="ListParagraph"/>
        <w:numPr>
          <w:ilvl w:val="0"/>
          <w:numId w:val="41"/>
        </w:numPr>
        <w:spacing w:after="80"/>
        <w:ind w:hanging="432"/>
        <w:contextualSpacing w:val="0"/>
        <w:rPr>
          <w:rFonts w:asciiTheme="minorHAnsi" w:hAnsiTheme="minorHAnsi" w:cstheme="minorHAnsi"/>
        </w:rPr>
      </w:pPr>
      <w:r w:rsidRPr="002D07B8">
        <w:rPr>
          <w:rFonts w:asciiTheme="minorHAnsi" w:hAnsiTheme="minorHAnsi" w:cstheme="minorHAnsi"/>
        </w:rPr>
        <w:t>2% of Board Allocations are reserved for Quality Activities as required by Texas Education Code 2308.317(c).</w:t>
      </w:r>
    </w:p>
    <w:p w14:paraId="7BCE8A2C" w14:textId="77777777" w:rsidR="002D07B8" w:rsidRPr="002D07B8" w:rsidRDefault="002D07B8" w:rsidP="002D07B8">
      <w:pPr>
        <w:pStyle w:val="ListParagraph"/>
        <w:numPr>
          <w:ilvl w:val="0"/>
          <w:numId w:val="41"/>
        </w:numPr>
        <w:spacing w:after="80"/>
        <w:ind w:hanging="432"/>
        <w:contextualSpacing w:val="0"/>
        <w:rPr>
          <w:rFonts w:asciiTheme="minorHAnsi" w:hAnsiTheme="minorHAnsi" w:cstheme="minorHAnsi"/>
        </w:rPr>
      </w:pPr>
      <w:r w:rsidRPr="002D07B8">
        <w:rPr>
          <w:rFonts w:asciiTheme="minorHAnsi" w:hAnsiTheme="minorHAnsi" w:cstheme="minorHAnsi"/>
        </w:rPr>
        <w:t>Presumed Semi-Fixed Admin/Ops Costs are subtracted from 98% of Board Allocations to determine the amount presumed available to pay for Direct Care and Variable Admin/Ops Costs associated with care.</w:t>
      </w:r>
    </w:p>
    <w:p w14:paraId="3D97BFF5" w14:textId="77777777" w:rsidR="002D07B8" w:rsidRPr="002D07B8" w:rsidRDefault="002D07B8" w:rsidP="002D07B8">
      <w:pPr>
        <w:pStyle w:val="ListParagraph"/>
        <w:numPr>
          <w:ilvl w:val="0"/>
          <w:numId w:val="41"/>
        </w:numPr>
        <w:spacing w:after="80"/>
        <w:ind w:hanging="432"/>
        <w:contextualSpacing w:val="0"/>
        <w:rPr>
          <w:rFonts w:asciiTheme="minorHAnsi" w:hAnsiTheme="minorHAnsi" w:cstheme="minorHAnsi"/>
        </w:rPr>
      </w:pPr>
      <w:r w:rsidRPr="002D07B8">
        <w:rPr>
          <w:rFonts w:asciiTheme="minorHAnsi" w:hAnsiTheme="minorHAnsi" w:cstheme="minorHAnsi"/>
        </w:rPr>
        <w:t>Variable Admin/Ops Costs are developed.</w:t>
      </w:r>
    </w:p>
    <w:p w14:paraId="01ABEB28" w14:textId="77777777" w:rsidR="002D07B8" w:rsidRPr="002D07B8" w:rsidRDefault="002D07B8" w:rsidP="002D07B8">
      <w:pPr>
        <w:pStyle w:val="ListParagraph"/>
        <w:numPr>
          <w:ilvl w:val="0"/>
          <w:numId w:val="41"/>
        </w:numPr>
        <w:spacing w:after="80"/>
        <w:ind w:hanging="432"/>
        <w:contextualSpacing w:val="0"/>
        <w:rPr>
          <w:rFonts w:asciiTheme="minorHAnsi" w:hAnsiTheme="minorHAnsi" w:cstheme="minorHAnsi"/>
        </w:rPr>
      </w:pPr>
      <w:bookmarkStart w:id="6" w:name="_Hlk17907018"/>
      <w:r w:rsidRPr="002D07B8">
        <w:rPr>
          <w:rFonts w:asciiTheme="minorHAnsi" w:hAnsiTheme="minorHAnsi" w:cstheme="minorHAnsi"/>
        </w:rPr>
        <w:t>Board casemixes are estimated based on recent trends and projections.</w:t>
      </w:r>
    </w:p>
    <w:p w14:paraId="3B690625" w14:textId="77777777" w:rsidR="002D07B8" w:rsidRPr="002D07B8" w:rsidRDefault="002D07B8" w:rsidP="002D07B8">
      <w:pPr>
        <w:pStyle w:val="ListParagraph"/>
        <w:numPr>
          <w:ilvl w:val="1"/>
          <w:numId w:val="41"/>
        </w:numPr>
        <w:spacing w:after="80"/>
        <w:ind w:hanging="432"/>
        <w:contextualSpacing w:val="0"/>
        <w:rPr>
          <w:rFonts w:asciiTheme="minorHAnsi" w:hAnsiTheme="minorHAnsi" w:cstheme="minorHAnsi"/>
        </w:rPr>
      </w:pPr>
      <w:r w:rsidRPr="002D07B8">
        <w:rPr>
          <w:rFonts w:asciiTheme="minorHAnsi" w:hAnsiTheme="minorHAnsi" w:cstheme="minorHAnsi"/>
        </w:rPr>
        <w:t>Casemixes are estimated for each type of care:</w:t>
      </w:r>
    </w:p>
    <w:p w14:paraId="471D7E27" w14:textId="77777777" w:rsidR="002D07B8" w:rsidRPr="002D07B8" w:rsidRDefault="002D07B8" w:rsidP="002D07B8">
      <w:pPr>
        <w:pStyle w:val="ListParagraph"/>
        <w:numPr>
          <w:ilvl w:val="2"/>
          <w:numId w:val="41"/>
        </w:numPr>
        <w:spacing w:after="80"/>
        <w:ind w:hanging="432"/>
        <w:contextualSpacing w:val="0"/>
        <w:rPr>
          <w:rFonts w:asciiTheme="minorHAnsi" w:hAnsiTheme="minorHAnsi" w:cstheme="minorHAnsi"/>
        </w:rPr>
      </w:pPr>
      <w:r w:rsidRPr="002D07B8">
        <w:rPr>
          <w:rFonts w:asciiTheme="minorHAnsi" w:hAnsiTheme="minorHAnsi" w:cstheme="minorHAnsi"/>
        </w:rPr>
        <w:t>Mandatory Care (which also includes the number to be served per day)</w:t>
      </w:r>
    </w:p>
    <w:p w14:paraId="517D7E4D" w14:textId="77777777" w:rsidR="002D07B8" w:rsidRPr="002D07B8" w:rsidRDefault="002D07B8" w:rsidP="002D07B8">
      <w:pPr>
        <w:pStyle w:val="ListParagraph"/>
        <w:numPr>
          <w:ilvl w:val="3"/>
          <w:numId w:val="41"/>
        </w:numPr>
        <w:spacing w:after="80"/>
        <w:ind w:hanging="432"/>
        <w:contextualSpacing w:val="0"/>
        <w:rPr>
          <w:rFonts w:asciiTheme="minorHAnsi" w:hAnsiTheme="minorHAnsi" w:cstheme="minorHAnsi"/>
        </w:rPr>
      </w:pPr>
      <w:r w:rsidRPr="002D07B8">
        <w:rPr>
          <w:rFonts w:asciiTheme="minorHAnsi" w:hAnsiTheme="minorHAnsi" w:cstheme="minorHAnsi"/>
        </w:rPr>
        <w:t>Choices</w:t>
      </w:r>
    </w:p>
    <w:p w14:paraId="56632B89" w14:textId="77777777" w:rsidR="002D07B8" w:rsidRPr="002D07B8" w:rsidRDefault="002D07B8" w:rsidP="002D07B8">
      <w:pPr>
        <w:pStyle w:val="ListParagraph"/>
        <w:numPr>
          <w:ilvl w:val="3"/>
          <w:numId w:val="41"/>
        </w:numPr>
        <w:spacing w:after="80"/>
        <w:ind w:hanging="432"/>
        <w:contextualSpacing w:val="0"/>
        <w:rPr>
          <w:rFonts w:asciiTheme="minorHAnsi" w:hAnsiTheme="minorHAnsi" w:cstheme="minorHAnsi"/>
        </w:rPr>
      </w:pPr>
      <w:r w:rsidRPr="002D07B8">
        <w:rPr>
          <w:rFonts w:asciiTheme="minorHAnsi" w:hAnsiTheme="minorHAnsi" w:cstheme="minorHAnsi"/>
        </w:rPr>
        <w:t>Ex-General Protection/Former DFPS General Projection</w:t>
      </w:r>
    </w:p>
    <w:p w14:paraId="3589FF43" w14:textId="77777777" w:rsidR="002D07B8" w:rsidRPr="002D07B8" w:rsidRDefault="002D07B8" w:rsidP="002D07B8">
      <w:pPr>
        <w:pStyle w:val="ListParagraph"/>
        <w:numPr>
          <w:ilvl w:val="3"/>
          <w:numId w:val="41"/>
        </w:numPr>
        <w:spacing w:after="80"/>
        <w:ind w:hanging="432"/>
        <w:contextualSpacing w:val="0"/>
        <w:rPr>
          <w:rFonts w:asciiTheme="minorHAnsi" w:hAnsiTheme="minorHAnsi" w:cstheme="minorHAnsi"/>
        </w:rPr>
      </w:pPr>
      <w:r w:rsidRPr="002D07B8">
        <w:rPr>
          <w:rFonts w:asciiTheme="minorHAnsi" w:hAnsiTheme="minorHAnsi" w:cstheme="minorHAnsi"/>
        </w:rPr>
        <w:t>Other Mandatory Care</w:t>
      </w:r>
    </w:p>
    <w:p w14:paraId="0A1274AD" w14:textId="77777777" w:rsidR="002D07B8" w:rsidRPr="002D07B8" w:rsidRDefault="002D07B8" w:rsidP="002D07B8">
      <w:pPr>
        <w:pStyle w:val="ListParagraph"/>
        <w:numPr>
          <w:ilvl w:val="2"/>
          <w:numId w:val="41"/>
        </w:numPr>
        <w:spacing w:after="80"/>
        <w:ind w:hanging="432"/>
        <w:contextualSpacing w:val="0"/>
        <w:rPr>
          <w:rFonts w:asciiTheme="minorHAnsi" w:hAnsiTheme="minorHAnsi" w:cstheme="minorHAnsi"/>
        </w:rPr>
      </w:pPr>
      <w:r w:rsidRPr="002D07B8">
        <w:rPr>
          <w:rFonts w:asciiTheme="minorHAnsi" w:hAnsiTheme="minorHAnsi" w:cstheme="minorHAnsi"/>
        </w:rPr>
        <w:t>Discretionary Care</w:t>
      </w:r>
    </w:p>
    <w:p w14:paraId="0112C155" w14:textId="77777777" w:rsidR="002D07B8" w:rsidRPr="002D07B8" w:rsidRDefault="002D07B8" w:rsidP="002D07B8">
      <w:pPr>
        <w:pStyle w:val="ListParagraph"/>
        <w:numPr>
          <w:ilvl w:val="1"/>
          <w:numId w:val="41"/>
        </w:numPr>
        <w:spacing w:after="80"/>
        <w:ind w:hanging="432"/>
        <w:contextualSpacing w:val="0"/>
        <w:rPr>
          <w:rFonts w:asciiTheme="minorHAnsi" w:hAnsiTheme="minorHAnsi" w:cstheme="minorHAnsi"/>
        </w:rPr>
      </w:pPr>
      <w:r w:rsidRPr="002D07B8">
        <w:rPr>
          <w:rFonts w:asciiTheme="minorHAnsi" w:hAnsiTheme="minorHAnsi" w:cstheme="minorHAnsi"/>
        </w:rPr>
        <w:t>Each Board casemix requires estimating 165 combinations of</w:t>
      </w:r>
    </w:p>
    <w:p w14:paraId="478F7AFF" w14:textId="77777777" w:rsidR="002D07B8" w:rsidRPr="002D07B8" w:rsidRDefault="002D07B8" w:rsidP="002D07B8">
      <w:pPr>
        <w:pStyle w:val="ListParagraph"/>
        <w:numPr>
          <w:ilvl w:val="2"/>
          <w:numId w:val="41"/>
        </w:numPr>
        <w:spacing w:after="80"/>
        <w:ind w:hanging="432"/>
        <w:contextualSpacing w:val="0"/>
        <w:rPr>
          <w:rFonts w:asciiTheme="minorHAnsi" w:hAnsiTheme="minorHAnsi" w:cstheme="minorHAnsi"/>
        </w:rPr>
      </w:pPr>
      <w:r w:rsidRPr="002D07B8">
        <w:rPr>
          <w:rFonts w:asciiTheme="minorHAnsi" w:hAnsiTheme="minorHAnsi" w:cstheme="minorHAnsi"/>
        </w:rPr>
        <w:t>Provider Type (Licensed CC Center, Licensed CC Home, Registered CC Home, and Relative Care);</w:t>
      </w:r>
    </w:p>
    <w:p w14:paraId="666E6D6A" w14:textId="77777777" w:rsidR="002D07B8" w:rsidRPr="002D07B8" w:rsidRDefault="002D07B8" w:rsidP="002D07B8">
      <w:pPr>
        <w:pStyle w:val="ListParagraph"/>
        <w:numPr>
          <w:ilvl w:val="2"/>
          <w:numId w:val="41"/>
        </w:numPr>
        <w:spacing w:after="80"/>
        <w:ind w:hanging="432"/>
        <w:contextualSpacing w:val="0"/>
        <w:rPr>
          <w:rFonts w:asciiTheme="minorHAnsi" w:hAnsiTheme="minorHAnsi" w:cstheme="minorHAnsi"/>
        </w:rPr>
      </w:pPr>
      <w:r w:rsidRPr="002D07B8">
        <w:rPr>
          <w:rFonts w:asciiTheme="minorHAnsi" w:hAnsiTheme="minorHAnsi" w:cstheme="minorHAnsi"/>
        </w:rPr>
        <w:t>Certification Type (Regular, TRS, or Texas School Ready);</w:t>
      </w:r>
    </w:p>
    <w:p w14:paraId="35686C93" w14:textId="77777777" w:rsidR="002D07B8" w:rsidRPr="002D07B8" w:rsidRDefault="002D07B8" w:rsidP="002D07B8">
      <w:pPr>
        <w:pStyle w:val="ListParagraph"/>
        <w:numPr>
          <w:ilvl w:val="2"/>
          <w:numId w:val="41"/>
        </w:numPr>
        <w:spacing w:after="80"/>
        <w:ind w:hanging="432"/>
        <w:contextualSpacing w:val="0"/>
        <w:rPr>
          <w:rFonts w:asciiTheme="minorHAnsi" w:hAnsiTheme="minorHAnsi" w:cstheme="minorHAnsi"/>
        </w:rPr>
      </w:pPr>
      <w:r w:rsidRPr="002D07B8">
        <w:rPr>
          <w:rFonts w:asciiTheme="minorHAnsi" w:hAnsiTheme="minorHAnsi" w:cstheme="minorHAnsi"/>
        </w:rPr>
        <w:t>Age of Child (infant, toddler, preschool, school age); and</w:t>
      </w:r>
    </w:p>
    <w:p w14:paraId="021A20EB" w14:textId="77777777" w:rsidR="002D07B8" w:rsidRPr="002D07B8" w:rsidRDefault="002D07B8" w:rsidP="002D07B8">
      <w:pPr>
        <w:pStyle w:val="ListParagraph"/>
        <w:numPr>
          <w:ilvl w:val="2"/>
          <w:numId w:val="41"/>
        </w:numPr>
        <w:spacing w:after="80"/>
        <w:ind w:hanging="432"/>
        <w:contextualSpacing w:val="0"/>
        <w:rPr>
          <w:rFonts w:asciiTheme="minorHAnsi" w:hAnsiTheme="minorHAnsi" w:cstheme="minorHAnsi"/>
        </w:rPr>
      </w:pPr>
      <w:r w:rsidRPr="002D07B8">
        <w:rPr>
          <w:rFonts w:asciiTheme="minorHAnsi" w:hAnsiTheme="minorHAnsi" w:cstheme="minorHAnsi"/>
        </w:rPr>
        <w:t>Duration (full-time, part-time, blended).</w:t>
      </w:r>
    </w:p>
    <w:bookmarkEnd w:id="6"/>
    <w:p w14:paraId="3F6D7EDC" w14:textId="1C60F6A4" w:rsidR="002D07B8" w:rsidRPr="002D07B8" w:rsidRDefault="002D07B8" w:rsidP="002D07B8">
      <w:pPr>
        <w:pStyle w:val="ListParagraph"/>
        <w:numPr>
          <w:ilvl w:val="0"/>
          <w:numId w:val="41"/>
        </w:numPr>
        <w:spacing w:after="80"/>
        <w:ind w:hanging="432"/>
        <w:contextualSpacing w:val="0"/>
        <w:rPr>
          <w:rFonts w:asciiTheme="minorHAnsi" w:hAnsiTheme="minorHAnsi" w:cstheme="minorHAnsi"/>
        </w:rPr>
      </w:pPr>
      <w:r w:rsidRPr="002D07B8">
        <w:rPr>
          <w:rFonts w:asciiTheme="minorHAnsi" w:hAnsiTheme="minorHAnsi" w:cstheme="minorHAnsi"/>
        </w:rPr>
        <w:t xml:space="preserve">Average Direct Care Costs per Unit are estimated based on the </w:t>
      </w:r>
      <w:r w:rsidR="00123871">
        <w:rPr>
          <w:rFonts w:asciiTheme="minorHAnsi" w:hAnsiTheme="minorHAnsi" w:cstheme="minorHAnsi"/>
        </w:rPr>
        <w:t>M</w:t>
      </w:r>
      <w:r w:rsidRPr="002D07B8">
        <w:rPr>
          <w:rFonts w:asciiTheme="minorHAnsi" w:hAnsiTheme="minorHAnsi" w:cstheme="minorHAnsi"/>
        </w:rPr>
        <w:t xml:space="preserve">aximum </w:t>
      </w:r>
      <w:r w:rsidR="00123871">
        <w:rPr>
          <w:rFonts w:asciiTheme="minorHAnsi" w:hAnsiTheme="minorHAnsi" w:cstheme="minorHAnsi"/>
        </w:rPr>
        <w:t>R</w:t>
      </w:r>
      <w:r w:rsidRPr="002D07B8">
        <w:rPr>
          <w:rFonts w:asciiTheme="minorHAnsi" w:hAnsiTheme="minorHAnsi" w:cstheme="minorHAnsi"/>
        </w:rPr>
        <w:t xml:space="preserve">eimbursement </w:t>
      </w:r>
      <w:r w:rsidR="00123871">
        <w:rPr>
          <w:rFonts w:asciiTheme="minorHAnsi" w:hAnsiTheme="minorHAnsi" w:cstheme="minorHAnsi"/>
        </w:rPr>
        <w:t>Ra</w:t>
      </w:r>
      <w:r w:rsidRPr="002D07B8">
        <w:rPr>
          <w:rFonts w:asciiTheme="minorHAnsi" w:hAnsiTheme="minorHAnsi" w:cstheme="minorHAnsi"/>
        </w:rPr>
        <w:t>tes</w:t>
      </w:r>
      <w:r w:rsidR="00F82506">
        <w:rPr>
          <w:rFonts w:asciiTheme="minorHAnsi" w:hAnsiTheme="minorHAnsi" w:cstheme="minorHAnsi"/>
        </w:rPr>
        <w:t>, providers’ published rates,</w:t>
      </w:r>
      <w:r w:rsidRPr="002D07B8">
        <w:rPr>
          <w:rFonts w:asciiTheme="minorHAnsi" w:hAnsiTheme="minorHAnsi" w:cstheme="minorHAnsi"/>
        </w:rPr>
        <w:t xml:space="preserve"> and recent </w:t>
      </w:r>
      <w:r w:rsidR="00CE2131">
        <w:rPr>
          <w:rFonts w:asciiTheme="minorHAnsi" w:hAnsiTheme="minorHAnsi" w:cstheme="minorHAnsi"/>
        </w:rPr>
        <w:t>PSOC</w:t>
      </w:r>
      <w:r w:rsidR="00123871">
        <w:rPr>
          <w:rFonts w:asciiTheme="minorHAnsi" w:hAnsiTheme="minorHAnsi" w:cstheme="minorHAnsi"/>
        </w:rPr>
        <w:t xml:space="preserve"> t</w:t>
      </w:r>
      <w:r w:rsidRPr="002D07B8">
        <w:rPr>
          <w:rFonts w:asciiTheme="minorHAnsi" w:hAnsiTheme="minorHAnsi" w:cstheme="minorHAnsi"/>
        </w:rPr>
        <w:t>rends so that we end up with a projected:</w:t>
      </w:r>
    </w:p>
    <w:p w14:paraId="66A88D32" w14:textId="4890E695" w:rsidR="002D07B8" w:rsidRPr="002D07B8" w:rsidRDefault="002D07B8" w:rsidP="002D07B8">
      <w:pPr>
        <w:pStyle w:val="ListParagraph"/>
        <w:numPr>
          <w:ilvl w:val="1"/>
          <w:numId w:val="41"/>
        </w:numPr>
        <w:spacing w:after="80"/>
        <w:ind w:hanging="432"/>
        <w:contextualSpacing w:val="0"/>
        <w:rPr>
          <w:rFonts w:asciiTheme="minorHAnsi" w:hAnsiTheme="minorHAnsi" w:cstheme="minorHAnsi"/>
        </w:rPr>
      </w:pPr>
      <w:r w:rsidRPr="002D07B8">
        <w:rPr>
          <w:rFonts w:asciiTheme="minorHAnsi" w:hAnsiTheme="minorHAnsi" w:cstheme="minorHAnsi"/>
        </w:rPr>
        <w:t>Average Direct Care Cost for Mandatory Care; and</w:t>
      </w:r>
    </w:p>
    <w:p w14:paraId="6B3DAEBF" w14:textId="1FCCACB3" w:rsidR="002D07B8" w:rsidRPr="002D07B8" w:rsidRDefault="002D07B8" w:rsidP="002D07B8">
      <w:pPr>
        <w:pStyle w:val="ListParagraph"/>
        <w:numPr>
          <w:ilvl w:val="1"/>
          <w:numId w:val="41"/>
        </w:numPr>
        <w:spacing w:after="80"/>
        <w:ind w:hanging="432"/>
        <w:contextualSpacing w:val="0"/>
        <w:rPr>
          <w:rFonts w:asciiTheme="minorHAnsi" w:hAnsiTheme="minorHAnsi" w:cstheme="minorHAnsi"/>
        </w:rPr>
      </w:pPr>
      <w:r w:rsidRPr="002D07B8">
        <w:rPr>
          <w:rFonts w:asciiTheme="minorHAnsi" w:hAnsiTheme="minorHAnsi" w:cstheme="minorHAnsi"/>
        </w:rPr>
        <w:t>Average Direct Care Cost</w:t>
      </w:r>
      <w:r w:rsidR="00CE2131">
        <w:rPr>
          <w:rFonts w:asciiTheme="minorHAnsi" w:hAnsiTheme="minorHAnsi" w:cstheme="minorHAnsi"/>
        </w:rPr>
        <w:t xml:space="preserve"> </w:t>
      </w:r>
      <w:r w:rsidRPr="002D07B8">
        <w:rPr>
          <w:rFonts w:asciiTheme="minorHAnsi" w:hAnsiTheme="minorHAnsi" w:cstheme="minorHAnsi"/>
        </w:rPr>
        <w:t>for Discretionary Care.</w:t>
      </w:r>
    </w:p>
    <w:p w14:paraId="3865D1B2" w14:textId="0644FD9F" w:rsidR="002D07B8" w:rsidRPr="002D07B8" w:rsidRDefault="00FE008F" w:rsidP="002D07B8">
      <w:pPr>
        <w:pStyle w:val="ListParagraph"/>
        <w:numPr>
          <w:ilvl w:val="0"/>
          <w:numId w:val="41"/>
        </w:numPr>
        <w:spacing w:after="80"/>
        <w:ind w:hanging="432"/>
        <w:contextualSpacing w:val="0"/>
        <w:rPr>
          <w:rFonts w:asciiTheme="minorHAnsi" w:hAnsiTheme="minorHAnsi" w:cstheme="minorHAnsi"/>
        </w:rPr>
      </w:pPr>
      <w:r>
        <w:rPr>
          <w:rFonts w:asciiTheme="minorHAnsi" w:hAnsiTheme="minorHAnsi" w:cstheme="minorHAnsi"/>
        </w:rPr>
        <w:t>Total Amount N</w:t>
      </w:r>
      <w:r w:rsidR="002D07B8" w:rsidRPr="002D07B8">
        <w:rPr>
          <w:rFonts w:asciiTheme="minorHAnsi" w:hAnsiTheme="minorHAnsi" w:cstheme="minorHAnsi"/>
        </w:rPr>
        <w:t>eeded for Mandatory Care is estimated based on both the Projected Mandatory Cost per Day at the Max Rate (from step 6a) and the presumed variable Admin/Ops costs per day (from step 4) and the number of CC days in the year (26</w:t>
      </w:r>
      <w:r w:rsidR="003222CB">
        <w:rPr>
          <w:rFonts w:asciiTheme="minorHAnsi" w:hAnsiTheme="minorHAnsi" w:cstheme="minorHAnsi"/>
        </w:rPr>
        <w:t>2</w:t>
      </w:r>
      <w:r w:rsidR="002D07B8" w:rsidRPr="002D07B8">
        <w:rPr>
          <w:rFonts w:asciiTheme="minorHAnsi" w:hAnsiTheme="minorHAnsi" w:cstheme="minorHAnsi"/>
        </w:rPr>
        <w:t xml:space="preserve"> in BCY</w:t>
      </w:r>
      <w:r w:rsidR="003222CB">
        <w:rPr>
          <w:rFonts w:asciiTheme="minorHAnsi" w:hAnsiTheme="minorHAnsi" w:cstheme="minorHAnsi"/>
        </w:rPr>
        <w:t>20</w:t>
      </w:r>
      <w:r w:rsidR="002D07B8" w:rsidRPr="002D07B8">
        <w:rPr>
          <w:rFonts w:asciiTheme="minorHAnsi" w:hAnsiTheme="minorHAnsi" w:cstheme="minorHAnsi"/>
        </w:rPr>
        <w:t>).</w:t>
      </w:r>
    </w:p>
    <w:p w14:paraId="352A5A54" w14:textId="69EB70D1" w:rsidR="002D07B8" w:rsidRPr="002D07B8" w:rsidRDefault="002D07B8" w:rsidP="002D07B8">
      <w:pPr>
        <w:pStyle w:val="ListParagraph"/>
        <w:numPr>
          <w:ilvl w:val="0"/>
          <w:numId w:val="41"/>
        </w:numPr>
        <w:spacing w:after="80"/>
        <w:ind w:hanging="432"/>
        <w:contextualSpacing w:val="0"/>
        <w:rPr>
          <w:rFonts w:asciiTheme="minorHAnsi" w:hAnsiTheme="minorHAnsi" w:cstheme="minorHAnsi"/>
        </w:rPr>
      </w:pPr>
      <w:r w:rsidRPr="002D07B8">
        <w:rPr>
          <w:rFonts w:asciiTheme="minorHAnsi" w:hAnsiTheme="minorHAnsi" w:cstheme="minorHAnsi"/>
        </w:rPr>
        <w:t xml:space="preserve">Total Amount Available for Discretionary Care is determined by subtracting Total Amount </w:t>
      </w:r>
      <w:r w:rsidR="00FE008F">
        <w:rPr>
          <w:rFonts w:asciiTheme="minorHAnsi" w:hAnsiTheme="minorHAnsi" w:cstheme="minorHAnsi"/>
        </w:rPr>
        <w:t>N</w:t>
      </w:r>
      <w:r w:rsidRPr="002D07B8">
        <w:rPr>
          <w:rFonts w:asciiTheme="minorHAnsi" w:hAnsiTheme="minorHAnsi" w:cstheme="minorHAnsi"/>
        </w:rPr>
        <w:t>eeded for Mandatory Care (from step 7) from the Amount Available for Direct Care and Variable Admin/Ops (from step 3).</w:t>
      </w:r>
    </w:p>
    <w:p w14:paraId="34D818FD" w14:textId="7E427949" w:rsidR="002D07B8" w:rsidRPr="002D07B8" w:rsidRDefault="00B0614A" w:rsidP="002D07B8">
      <w:pPr>
        <w:pStyle w:val="ListParagraph"/>
        <w:numPr>
          <w:ilvl w:val="0"/>
          <w:numId w:val="41"/>
        </w:numPr>
        <w:spacing w:after="80"/>
        <w:ind w:hanging="432"/>
        <w:contextualSpacing w:val="0"/>
        <w:rPr>
          <w:rFonts w:asciiTheme="minorHAnsi" w:hAnsiTheme="minorHAnsi" w:cstheme="minorHAnsi"/>
        </w:rPr>
      </w:pPr>
      <w:r>
        <w:rPr>
          <w:rFonts w:asciiTheme="minorHAnsi" w:hAnsiTheme="minorHAnsi" w:cstheme="minorHAnsi"/>
        </w:rPr>
        <w:t xml:space="preserve">Affordable Number of </w:t>
      </w:r>
      <w:r w:rsidR="002D07B8" w:rsidRPr="002D07B8">
        <w:rPr>
          <w:rFonts w:asciiTheme="minorHAnsi" w:hAnsiTheme="minorHAnsi" w:cstheme="minorHAnsi"/>
        </w:rPr>
        <w:t xml:space="preserve">Discretionary </w:t>
      </w:r>
      <w:r>
        <w:rPr>
          <w:rFonts w:asciiTheme="minorHAnsi" w:hAnsiTheme="minorHAnsi" w:cstheme="minorHAnsi"/>
        </w:rPr>
        <w:t>Kids per Day</w:t>
      </w:r>
      <w:r w:rsidR="002D07B8" w:rsidRPr="002D07B8">
        <w:rPr>
          <w:rFonts w:asciiTheme="minorHAnsi" w:hAnsiTheme="minorHAnsi" w:cstheme="minorHAnsi"/>
        </w:rPr>
        <w:t xml:space="preserve"> is calculated by dividing the </w:t>
      </w:r>
      <w:r w:rsidR="00FE008F">
        <w:rPr>
          <w:rFonts w:asciiTheme="minorHAnsi" w:hAnsiTheme="minorHAnsi" w:cstheme="minorHAnsi"/>
        </w:rPr>
        <w:t xml:space="preserve">Total </w:t>
      </w:r>
      <w:r w:rsidR="002D07B8" w:rsidRPr="002D07B8">
        <w:rPr>
          <w:rFonts w:asciiTheme="minorHAnsi" w:hAnsiTheme="minorHAnsi" w:cstheme="minorHAnsi"/>
        </w:rPr>
        <w:t>Amount Available for Discretionary Care (from step 8) by the number of CC days and then by the cost per day (using Direct Care Cost from step 6b and Variable Admin/Ops Cost from step 4).</w:t>
      </w:r>
    </w:p>
    <w:p w14:paraId="61437EE5" w14:textId="4F0AE29C" w:rsidR="002D07B8" w:rsidRDefault="002D07B8" w:rsidP="002D07B8">
      <w:pPr>
        <w:pStyle w:val="ListParagraph"/>
        <w:numPr>
          <w:ilvl w:val="0"/>
          <w:numId w:val="41"/>
        </w:numPr>
        <w:spacing w:after="80"/>
        <w:ind w:hanging="432"/>
        <w:contextualSpacing w:val="0"/>
        <w:rPr>
          <w:rFonts w:asciiTheme="minorHAnsi" w:hAnsiTheme="minorHAnsi" w:cstheme="minorHAnsi"/>
        </w:rPr>
      </w:pPr>
      <w:r w:rsidRPr="002D07B8">
        <w:rPr>
          <w:rFonts w:asciiTheme="minorHAnsi" w:hAnsiTheme="minorHAnsi" w:cstheme="minorHAnsi"/>
        </w:rPr>
        <w:t xml:space="preserve">The Total Target is the sum of the Projected Mandatory Kids Per Day and the </w:t>
      </w:r>
      <w:r w:rsidR="00B0614A">
        <w:rPr>
          <w:rFonts w:asciiTheme="minorHAnsi" w:hAnsiTheme="minorHAnsi" w:cstheme="minorHAnsi"/>
        </w:rPr>
        <w:t xml:space="preserve">affordable </w:t>
      </w:r>
      <w:r w:rsidRPr="002D07B8">
        <w:rPr>
          <w:rFonts w:asciiTheme="minorHAnsi" w:hAnsiTheme="minorHAnsi" w:cstheme="minorHAnsi"/>
        </w:rPr>
        <w:t>Discretionary Kids Per Day.</w:t>
      </w:r>
    </w:p>
    <w:p w14:paraId="3ABA436E" w14:textId="77777777" w:rsidR="00532E45" w:rsidRPr="002D07B8" w:rsidRDefault="00532E45" w:rsidP="00532E45">
      <w:pPr>
        <w:spacing w:before="120" w:after="120"/>
        <w:rPr>
          <w:rFonts w:asciiTheme="minorHAnsi" w:hAnsiTheme="minorHAnsi" w:cstheme="minorHAnsi"/>
        </w:rPr>
      </w:pPr>
      <w:r w:rsidRPr="002D07B8">
        <w:rPr>
          <w:rFonts w:asciiTheme="minorHAnsi" w:hAnsiTheme="minorHAnsi" w:cstheme="minorHAnsi"/>
        </w:rPr>
        <w:t>For BCY20 we made 2 changes in the basic Child Care target setting methodology:</w:t>
      </w:r>
    </w:p>
    <w:p w14:paraId="78363F85" w14:textId="2C944989" w:rsidR="001814D2" w:rsidRDefault="001814D2" w:rsidP="00532E45">
      <w:pPr>
        <w:pStyle w:val="ListParagraph"/>
        <w:numPr>
          <w:ilvl w:val="0"/>
          <w:numId w:val="38"/>
        </w:numPr>
        <w:spacing w:before="120" w:after="120"/>
        <w:rPr>
          <w:rFonts w:asciiTheme="minorHAnsi" w:hAnsiTheme="minorHAnsi" w:cstheme="minorHAnsi"/>
        </w:rPr>
      </w:pPr>
      <w:r w:rsidRPr="002D07B8">
        <w:rPr>
          <w:rFonts w:asciiTheme="minorHAnsi" w:hAnsiTheme="minorHAnsi" w:cstheme="minorHAnsi"/>
        </w:rPr>
        <w:t xml:space="preserve">We assumed an “inflation factor” in our cost assumptions for Admin/Ops and in our analysis of </w:t>
      </w:r>
      <w:r w:rsidR="00FE008F">
        <w:rPr>
          <w:rFonts w:asciiTheme="minorHAnsi" w:hAnsiTheme="minorHAnsi" w:cstheme="minorHAnsi"/>
        </w:rPr>
        <w:t>p</w:t>
      </w:r>
      <w:r w:rsidRPr="002D07B8">
        <w:rPr>
          <w:rFonts w:asciiTheme="minorHAnsi" w:hAnsiTheme="minorHAnsi" w:cstheme="minorHAnsi"/>
        </w:rPr>
        <w:t>roviders</w:t>
      </w:r>
      <w:r w:rsidR="00FE008F">
        <w:rPr>
          <w:rFonts w:asciiTheme="minorHAnsi" w:hAnsiTheme="minorHAnsi" w:cstheme="minorHAnsi"/>
        </w:rPr>
        <w:t>’</w:t>
      </w:r>
      <w:r w:rsidRPr="002D07B8">
        <w:rPr>
          <w:rFonts w:asciiTheme="minorHAnsi" w:hAnsiTheme="minorHAnsi" w:cstheme="minorHAnsi"/>
        </w:rPr>
        <w:t xml:space="preserve"> </w:t>
      </w:r>
      <w:r w:rsidR="00FE008F">
        <w:rPr>
          <w:rFonts w:asciiTheme="minorHAnsi" w:hAnsiTheme="minorHAnsi" w:cstheme="minorHAnsi"/>
        </w:rPr>
        <w:t>p</w:t>
      </w:r>
      <w:r w:rsidRPr="002D07B8">
        <w:rPr>
          <w:rFonts w:asciiTheme="minorHAnsi" w:hAnsiTheme="minorHAnsi" w:cstheme="minorHAnsi"/>
        </w:rPr>
        <w:t xml:space="preserve">ublished </w:t>
      </w:r>
      <w:r w:rsidR="00FE008F">
        <w:rPr>
          <w:rFonts w:asciiTheme="minorHAnsi" w:hAnsiTheme="minorHAnsi" w:cstheme="minorHAnsi"/>
        </w:rPr>
        <w:t>r</w:t>
      </w:r>
      <w:r w:rsidRPr="002D07B8">
        <w:rPr>
          <w:rFonts w:asciiTheme="minorHAnsi" w:hAnsiTheme="minorHAnsi" w:cstheme="minorHAnsi"/>
        </w:rPr>
        <w:t>ates</w:t>
      </w:r>
      <w:r>
        <w:rPr>
          <w:rFonts w:asciiTheme="minorHAnsi" w:hAnsiTheme="minorHAnsi" w:cstheme="minorHAnsi"/>
        </w:rPr>
        <w:t>; and</w:t>
      </w:r>
    </w:p>
    <w:p w14:paraId="6C2CC5E2" w14:textId="7495BE1C" w:rsidR="00532E45" w:rsidRPr="001814D2" w:rsidRDefault="00532E45" w:rsidP="001814D2">
      <w:pPr>
        <w:pStyle w:val="ListParagraph"/>
        <w:numPr>
          <w:ilvl w:val="0"/>
          <w:numId w:val="38"/>
        </w:numPr>
        <w:spacing w:before="120" w:after="120"/>
        <w:rPr>
          <w:rFonts w:asciiTheme="minorHAnsi" w:hAnsiTheme="minorHAnsi" w:cstheme="minorHAnsi"/>
        </w:rPr>
      </w:pPr>
      <w:r w:rsidRPr="002D07B8">
        <w:rPr>
          <w:rFonts w:asciiTheme="minorHAnsi" w:hAnsiTheme="minorHAnsi" w:cstheme="minorHAnsi"/>
        </w:rPr>
        <w:t>We accounted for the differences between Published Rates and Board Max Rates in determining how much care we could afford in setting targets</w:t>
      </w:r>
      <w:r w:rsidR="001814D2">
        <w:rPr>
          <w:rFonts w:asciiTheme="minorHAnsi" w:hAnsiTheme="minorHAnsi" w:cstheme="minorHAnsi"/>
        </w:rPr>
        <w:t>.</w:t>
      </w:r>
    </w:p>
    <w:p w14:paraId="0CB0669E" w14:textId="3E6713F0" w:rsidR="00532E45" w:rsidRPr="002D07B8" w:rsidRDefault="00532E45" w:rsidP="00532E45">
      <w:pPr>
        <w:spacing w:after="120"/>
        <w:rPr>
          <w:rFonts w:asciiTheme="minorHAnsi" w:hAnsiTheme="minorHAnsi" w:cstheme="minorHAnsi"/>
        </w:rPr>
      </w:pPr>
    </w:p>
    <w:p w14:paraId="74BE1CD5" w14:textId="665ACA2B" w:rsidR="001C4182" w:rsidRPr="002D07B8" w:rsidRDefault="00DE2163" w:rsidP="001C4182">
      <w:pPr>
        <w:pStyle w:val="MyHeader"/>
        <w:rPr>
          <w:rFonts w:asciiTheme="minorHAnsi" w:hAnsiTheme="minorHAnsi" w:cstheme="minorHAnsi"/>
          <w:b/>
        </w:rPr>
      </w:pPr>
      <w:r>
        <w:rPr>
          <w:rFonts w:asciiTheme="minorHAnsi" w:hAnsiTheme="minorHAnsi" w:cstheme="minorHAnsi"/>
          <w:b/>
        </w:rPr>
        <w:t xml:space="preserve">Admin/Ops and </w:t>
      </w:r>
      <w:r w:rsidR="001C4182">
        <w:rPr>
          <w:rFonts w:asciiTheme="minorHAnsi" w:hAnsiTheme="minorHAnsi" w:cstheme="minorHAnsi"/>
          <w:b/>
        </w:rPr>
        <w:t>Inflation</w:t>
      </w:r>
      <w:r w:rsidR="001C4182" w:rsidRPr="002D07B8">
        <w:rPr>
          <w:rFonts w:asciiTheme="minorHAnsi" w:hAnsiTheme="minorHAnsi" w:cstheme="minorHAnsi"/>
          <w:b/>
        </w:rPr>
        <w:t>:</w:t>
      </w:r>
    </w:p>
    <w:p w14:paraId="3C650274" w14:textId="5012210A" w:rsidR="001C4182" w:rsidRPr="002D07B8" w:rsidRDefault="001C4182" w:rsidP="001C4182">
      <w:pPr>
        <w:spacing w:after="120"/>
        <w:rPr>
          <w:rFonts w:asciiTheme="minorHAnsi" w:hAnsiTheme="minorHAnsi" w:cstheme="minorHAnsi"/>
        </w:rPr>
      </w:pPr>
      <w:r w:rsidRPr="002D07B8">
        <w:rPr>
          <w:rFonts w:asciiTheme="minorHAnsi" w:hAnsiTheme="minorHAnsi" w:cstheme="minorHAnsi"/>
        </w:rPr>
        <w:t>TWC doesn’t have a hard cap or one-size</w:t>
      </w:r>
      <w:r>
        <w:rPr>
          <w:rFonts w:asciiTheme="minorHAnsi" w:hAnsiTheme="minorHAnsi" w:cstheme="minorHAnsi"/>
        </w:rPr>
        <w:t>-</w:t>
      </w:r>
      <w:r w:rsidRPr="002D07B8">
        <w:rPr>
          <w:rFonts w:asciiTheme="minorHAnsi" w:hAnsiTheme="minorHAnsi" w:cstheme="minorHAnsi"/>
        </w:rPr>
        <w:t>fits</w:t>
      </w:r>
      <w:r>
        <w:rPr>
          <w:rFonts w:asciiTheme="minorHAnsi" w:hAnsiTheme="minorHAnsi" w:cstheme="minorHAnsi"/>
        </w:rPr>
        <w:t>-</w:t>
      </w:r>
      <w:r w:rsidRPr="002D07B8">
        <w:rPr>
          <w:rFonts w:asciiTheme="minorHAnsi" w:hAnsiTheme="minorHAnsi" w:cstheme="minorHAnsi"/>
        </w:rPr>
        <w:t>all approach to Admin/Ops.  While we set assumptions for how much will be needed to pay for Admin/Ops, these assumptions are not actual limits or targets.  Normally</w:t>
      </w:r>
      <w:r w:rsidR="00FE008F">
        <w:rPr>
          <w:rFonts w:asciiTheme="minorHAnsi" w:hAnsiTheme="minorHAnsi" w:cstheme="minorHAnsi"/>
        </w:rPr>
        <w:t>,</w:t>
      </w:r>
      <w:r w:rsidRPr="002D07B8">
        <w:rPr>
          <w:rFonts w:asciiTheme="minorHAnsi" w:hAnsiTheme="minorHAnsi" w:cstheme="minorHAnsi"/>
        </w:rPr>
        <w:t xml:space="preserve"> we try to control these costs by simply assigning all other funds to targets.  However, the reality is that there is some “play” in the cost model and casemixes </w:t>
      </w:r>
      <w:r w:rsidR="00FE008F">
        <w:rPr>
          <w:rFonts w:asciiTheme="minorHAnsi" w:hAnsiTheme="minorHAnsi" w:cstheme="minorHAnsi"/>
        </w:rPr>
        <w:t xml:space="preserve">do </w:t>
      </w:r>
      <w:r w:rsidRPr="002D07B8">
        <w:rPr>
          <w:rFonts w:asciiTheme="minorHAnsi" w:hAnsiTheme="minorHAnsi" w:cstheme="minorHAnsi"/>
        </w:rPr>
        <w:t>change over time</w:t>
      </w:r>
      <w:r w:rsidR="00FE008F">
        <w:rPr>
          <w:rFonts w:asciiTheme="minorHAnsi" w:hAnsiTheme="minorHAnsi" w:cstheme="minorHAnsi"/>
        </w:rPr>
        <w:t>.  I</w:t>
      </w:r>
      <w:r w:rsidRPr="002D07B8">
        <w:rPr>
          <w:rFonts w:asciiTheme="minorHAnsi" w:hAnsiTheme="minorHAnsi" w:cstheme="minorHAnsi"/>
        </w:rPr>
        <w:t>n many instances it is possible for a Board to meet its target and spend more than the amounts we originally assumed would be needed for Admin/Ops.</w:t>
      </w:r>
    </w:p>
    <w:p w14:paraId="0A1BE559" w14:textId="0E224D6A" w:rsidR="001C4182" w:rsidRPr="002D07B8" w:rsidRDefault="001C4182" w:rsidP="001C4182">
      <w:pPr>
        <w:spacing w:after="120"/>
        <w:rPr>
          <w:rFonts w:asciiTheme="minorHAnsi" w:hAnsiTheme="minorHAnsi" w:cstheme="minorHAnsi"/>
        </w:rPr>
      </w:pPr>
      <w:r w:rsidRPr="002D07B8">
        <w:rPr>
          <w:rFonts w:asciiTheme="minorHAnsi" w:hAnsiTheme="minorHAnsi" w:cstheme="minorHAnsi"/>
        </w:rPr>
        <w:t xml:space="preserve">There has long been significant variance from Board to Board in terms of Admin/Ops spending.  Some of this </w:t>
      </w:r>
      <w:r w:rsidR="00FE008F">
        <w:rPr>
          <w:rFonts w:asciiTheme="minorHAnsi" w:hAnsiTheme="minorHAnsi" w:cstheme="minorHAnsi"/>
        </w:rPr>
        <w:t xml:space="preserve">is </w:t>
      </w:r>
      <w:r w:rsidRPr="002D07B8">
        <w:rPr>
          <w:rFonts w:asciiTheme="minorHAnsi" w:hAnsiTheme="minorHAnsi" w:cstheme="minorHAnsi"/>
        </w:rPr>
        <w:t>easily explainable:</w:t>
      </w:r>
    </w:p>
    <w:p w14:paraId="6B3A4C90" w14:textId="77777777" w:rsidR="001C4182" w:rsidRPr="002D07B8" w:rsidRDefault="001C4182" w:rsidP="001C4182">
      <w:pPr>
        <w:pStyle w:val="ListParagraph"/>
        <w:numPr>
          <w:ilvl w:val="0"/>
          <w:numId w:val="42"/>
        </w:numPr>
        <w:spacing w:after="120"/>
        <w:rPr>
          <w:rFonts w:asciiTheme="minorHAnsi" w:hAnsiTheme="minorHAnsi" w:cstheme="minorHAnsi"/>
        </w:rPr>
      </w:pPr>
      <w:r w:rsidRPr="002D07B8">
        <w:rPr>
          <w:rFonts w:asciiTheme="minorHAnsi" w:hAnsiTheme="minorHAnsi" w:cstheme="minorHAnsi"/>
        </w:rPr>
        <w:t xml:space="preserve">Some Boards have free or discounted government-owned space while others </w:t>
      </w:r>
      <w:proofErr w:type="gramStart"/>
      <w:r w:rsidRPr="002D07B8">
        <w:rPr>
          <w:rFonts w:asciiTheme="minorHAnsi" w:hAnsiTheme="minorHAnsi" w:cstheme="minorHAnsi"/>
        </w:rPr>
        <w:t>have to</w:t>
      </w:r>
      <w:proofErr w:type="gramEnd"/>
      <w:r w:rsidRPr="002D07B8">
        <w:rPr>
          <w:rFonts w:asciiTheme="minorHAnsi" w:hAnsiTheme="minorHAnsi" w:cstheme="minorHAnsi"/>
        </w:rPr>
        <w:t xml:space="preserve"> pay market rates;</w:t>
      </w:r>
    </w:p>
    <w:p w14:paraId="36982A39" w14:textId="77777777" w:rsidR="001C4182" w:rsidRPr="002D07B8" w:rsidRDefault="001C4182" w:rsidP="001C4182">
      <w:pPr>
        <w:pStyle w:val="ListParagraph"/>
        <w:numPr>
          <w:ilvl w:val="0"/>
          <w:numId w:val="42"/>
        </w:numPr>
        <w:spacing w:after="120"/>
        <w:rPr>
          <w:rFonts w:asciiTheme="minorHAnsi" w:hAnsiTheme="minorHAnsi" w:cstheme="minorHAnsi"/>
        </w:rPr>
      </w:pPr>
      <w:r w:rsidRPr="002D07B8">
        <w:rPr>
          <w:rFonts w:asciiTheme="minorHAnsi" w:hAnsiTheme="minorHAnsi" w:cstheme="minorHAnsi"/>
        </w:rPr>
        <w:t>There are differences in utility costs;</w:t>
      </w:r>
    </w:p>
    <w:p w14:paraId="06989491" w14:textId="77777777" w:rsidR="001C4182" w:rsidRPr="002D07B8" w:rsidRDefault="001C4182" w:rsidP="001C4182">
      <w:pPr>
        <w:pStyle w:val="ListParagraph"/>
        <w:numPr>
          <w:ilvl w:val="0"/>
          <w:numId w:val="42"/>
        </w:numPr>
        <w:spacing w:after="120"/>
        <w:rPr>
          <w:rFonts w:asciiTheme="minorHAnsi" w:hAnsiTheme="minorHAnsi" w:cstheme="minorHAnsi"/>
        </w:rPr>
      </w:pPr>
      <w:r w:rsidRPr="002D07B8">
        <w:rPr>
          <w:rFonts w:asciiTheme="minorHAnsi" w:hAnsiTheme="minorHAnsi" w:cstheme="minorHAnsi"/>
        </w:rPr>
        <w:t>The amounts paid to CC staff differ across the state just as they do for other occupations; and</w:t>
      </w:r>
    </w:p>
    <w:p w14:paraId="26883992" w14:textId="02863D58" w:rsidR="001C4182" w:rsidRPr="002D07B8" w:rsidRDefault="001C4182" w:rsidP="001C4182">
      <w:pPr>
        <w:pStyle w:val="ListParagraph"/>
        <w:numPr>
          <w:ilvl w:val="0"/>
          <w:numId w:val="42"/>
        </w:numPr>
        <w:spacing w:after="120"/>
        <w:contextualSpacing w:val="0"/>
        <w:rPr>
          <w:rFonts w:asciiTheme="minorHAnsi" w:hAnsiTheme="minorHAnsi" w:cstheme="minorHAnsi"/>
        </w:rPr>
      </w:pPr>
      <w:r w:rsidRPr="002D07B8">
        <w:rPr>
          <w:rFonts w:asciiTheme="minorHAnsi" w:hAnsiTheme="minorHAnsi" w:cstheme="minorHAnsi"/>
        </w:rPr>
        <w:t>Bigger Boards have economies of scale that smaller</w:t>
      </w:r>
      <w:r>
        <w:rPr>
          <w:rFonts w:asciiTheme="minorHAnsi" w:hAnsiTheme="minorHAnsi" w:cstheme="minorHAnsi"/>
        </w:rPr>
        <w:t xml:space="preserve"> </w:t>
      </w:r>
      <w:r w:rsidRPr="002D07B8">
        <w:rPr>
          <w:rFonts w:asciiTheme="minorHAnsi" w:hAnsiTheme="minorHAnsi" w:cstheme="minorHAnsi"/>
        </w:rPr>
        <w:t xml:space="preserve">Boards </w:t>
      </w:r>
      <w:r>
        <w:rPr>
          <w:rFonts w:asciiTheme="minorHAnsi" w:hAnsiTheme="minorHAnsi" w:cstheme="minorHAnsi"/>
        </w:rPr>
        <w:t xml:space="preserve">generally </w:t>
      </w:r>
      <w:r w:rsidRPr="002D07B8">
        <w:rPr>
          <w:rFonts w:asciiTheme="minorHAnsi" w:hAnsiTheme="minorHAnsi" w:cstheme="minorHAnsi"/>
        </w:rPr>
        <w:t xml:space="preserve">can’t </w:t>
      </w:r>
      <w:r w:rsidR="00FE008F">
        <w:rPr>
          <w:rFonts w:asciiTheme="minorHAnsi" w:hAnsiTheme="minorHAnsi" w:cstheme="minorHAnsi"/>
        </w:rPr>
        <w:t>achieve</w:t>
      </w:r>
      <w:r w:rsidRPr="002D07B8">
        <w:rPr>
          <w:rFonts w:asciiTheme="minorHAnsi" w:hAnsiTheme="minorHAnsi" w:cstheme="minorHAnsi"/>
        </w:rPr>
        <w:t>.</w:t>
      </w:r>
    </w:p>
    <w:p w14:paraId="53156709" w14:textId="77BCA664" w:rsidR="001C4182" w:rsidRPr="002D07B8" w:rsidRDefault="001C4182" w:rsidP="001C4182">
      <w:pPr>
        <w:spacing w:after="120"/>
        <w:rPr>
          <w:rFonts w:asciiTheme="minorHAnsi" w:hAnsiTheme="minorHAnsi" w:cstheme="minorHAnsi"/>
        </w:rPr>
      </w:pPr>
      <w:r w:rsidRPr="002D07B8">
        <w:rPr>
          <w:rFonts w:asciiTheme="minorHAnsi" w:hAnsiTheme="minorHAnsi" w:cstheme="minorHAnsi"/>
        </w:rPr>
        <w:t xml:space="preserve">Historically, TWC had set Admin/Ops assumption based on a percentage of the non-Quality Allocation (98% of the total CCF/CCM Allocation).  Generally, we would use each Board’s Admin/Ops % from the contract from the </w:t>
      </w:r>
      <w:r w:rsidR="00FE008F">
        <w:rPr>
          <w:rFonts w:asciiTheme="minorHAnsi" w:hAnsiTheme="minorHAnsi" w:cstheme="minorHAnsi"/>
        </w:rPr>
        <w:t xml:space="preserve">prior </w:t>
      </w:r>
      <w:r w:rsidRPr="002D07B8">
        <w:rPr>
          <w:rFonts w:asciiTheme="minorHAnsi" w:hAnsiTheme="minorHAnsi" w:cstheme="minorHAnsi"/>
        </w:rPr>
        <w:t>year (because the current year wouldn’t be complete/available) but subject to a floor for the smallest Boards.</w:t>
      </w:r>
    </w:p>
    <w:p w14:paraId="771EABAB" w14:textId="214DDCA4" w:rsidR="001C4182" w:rsidRPr="002D07B8" w:rsidRDefault="001C4182" w:rsidP="001C4182">
      <w:pPr>
        <w:spacing w:after="120"/>
        <w:rPr>
          <w:rFonts w:asciiTheme="minorHAnsi" w:hAnsiTheme="minorHAnsi" w:cstheme="minorHAnsi"/>
        </w:rPr>
      </w:pPr>
      <w:r w:rsidRPr="002D07B8">
        <w:rPr>
          <w:rFonts w:asciiTheme="minorHAnsi" w:hAnsiTheme="minorHAnsi" w:cstheme="minorHAnsi"/>
        </w:rPr>
        <w:t xml:space="preserve">During a period of relative funding stability, this model worked well enough.  However, </w:t>
      </w:r>
      <w:r>
        <w:rPr>
          <w:rFonts w:asciiTheme="minorHAnsi" w:hAnsiTheme="minorHAnsi" w:cstheme="minorHAnsi"/>
        </w:rPr>
        <w:t>late in BCY18</w:t>
      </w:r>
      <w:r w:rsidRPr="002D07B8">
        <w:rPr>
          <w:rFonts w:asciiTheme="minorHAnsi" w:hAnsiTheme="minorHAnsi" w:cstheme="minorHAnsi"/>
        </w:rPr>
        <w:t xml:space="preserve">, we were faced with a new situation.  Recent Congressional action had resulted in an increase in $229M per year to the CC budget.  While we certainly knew that Admin/Ops costs would increase, it didn’t make sense that they would increase proportionately.  Boards might need to hire some more staff but surely there would be some semi-fixed costs that shouldn’t change </w:t>
      </w:r>
      <w:proofErr w:type="gramStart"/>
      <w:r w:rsidRPr="002D07B8">
        <w:rPr>
          <w:rFonts w:asciiTheme="minorHAnsi" w:hAnsiTheme="minorHAnsi" w:cstheme="minorHAnsi"/>
        </w:rPr>
        <w:t>as a result of</w:t>
      </w:r>
      <w:proofErr w:type="gramEnd"/>
      <w:r w:rsidRPr="002D07B8">
        <w:rPr>
          <w:rFonts w:asciiTheme="minorHAnsi" w:hAnsiTheme="minorHAnsi" w:cstheme="minorHAnsi"/>
        </w:rPr>
        <w:t xml:space="preserve"> the increase in fund</w:t>
      </w:r>
      <w:r w:rsidR="00FE008F">
        <w:rPr>
          <w:rFonts w:asciiTheme="minorHAnsi" w:hAnsiTheme="minorHAnsi" w:cstheme="minorHAnsi"/>
        </w:rPr>
        <w:t>ing</w:t>
      </w:r>
      <w:r w:rsidRPr="002D07B8">
        <w:rPr>
          <w:rFonts w:asciiTheme="minorHAnsi" w:hAnsiTheme="minorHAnsi" w:cstheme="minorHAnsi"/>
        </w:rPr>
        <w:t>.</w:t>
      </w:r>
    </w:p>
    <w:p w14:paraId="6EACB26F" w14:textId="0941E277" w:rsidR="001C4182" w:rsidRDefault="001C4182" w:rsidP="001C4182">
      <w:pPr>
        <w:spacing w:after="120"/>
        <w:rPr>
          <w:rFonts w:asciiTheme="minorHAnsi" w:hAnsiTheme="minorHAnsi" w:cstheme="minorHAnsi"/>
        </w:rPr>
      </w:pPr>
      <w:r w:rsidRPr="002D07B8">
        <w:rPr>
          <w:rFonts w:asciiTheme="minorHAnsi" w:hAnsiTheme="minorHAnsi" w:cstheme="minorHAnsi"/>
        </w:rPr>
        <w:t>For BCY19 we developed our first major change in Admin/Ops assumptions in a decade.  We calculated a semi-fixed cost for each Board at roughly 24.34% of their total Admin/Ops costs from BCY16 and BCY17</w:t>
      </w:r>
      <w:r>
        <w:rPr>
          <w:rFonts w:asciiTheme="minorHAnsi" w:hAnsiTheme="minorHAnsi" w:cstheme="minorHAnsi"/>
        </w:rPr>
        <w:t xml:space="preserve"> (we typically use yearend values to align better with the way Boards budget, so BCY17</w:t>
      </w:r>
      <w:r w:rsidR="00FE008F">
        <w:rPr>
          <w:rFonts w:asciiTheme="minorHAnsi" w:hAnsiTheme="minorHAnsi" w:cstheme="minorHAnsi"/>
        </w:rPr>
        <w:t xml:space="preserve"> wa</w:t>
      </w:r>
      <w:r>
        <w:rPr>
          <w:rFonts w:asciiTheme="minorHAnsi" w:hAnsiTheme="minorHAnsi" w:cstheme="minorHAnsi"/>
        </w:rPr>
        <w:t>s the most recent complete set of data when BCY19 targets were being set)</w:t>
      </w:r>
      <w:r w:rsidR="00FE008F">
        <w:rPr>
          <w:rFonts w:asciiTheme="minorHAnsi" w:hAnsiTheme="minorHAnsi" w:cstheme="minorHAnsi"/>
        </w:rPr>
        <w:t xml:space="preserve">. We </w:t>
      </w:r>
      <w:r w:rsidRPr="002D07B8">
        <w:rPr>
          <w:rFonts w:asciiTheme="minorHAnsi" w:hAnsiTheme="minorHAnsi" w:cstheme="minorHAnsi"/>
        </w:rPr>
        <w:t>then calculated a variable cost by dividing the remaining amounts by the number of units of care purchased.</w:t>
      </w:r>
    </w:p>
    <w:p w14:paraId="2819D2DC" w14:textId="1C1E573A" w:rsidR="001C4182" w:rsidRDefault="001C4182" w:rsidP="001C4182">
      <w:pPr>
        <w:spacing w:after="120"/>
        <w:rPr>
          <w:rFonts w:asciiTheme="minorHAnsi" w:hAnsiTheme="minorHAnsi" w:cstheme="minorHAnsi"/>
        </w:rPr>
      </w:pPr>
      <w:r>
        <w:rPr>
          <w:rFonts w:asciiTheme="minorHAnsi" w:hAnsiTheme="minorHAnsi" w:cstheme="minorHAnsi"/>
        </w:rPr>
        <w:t>When we share</w:t>
      </w:r>
      <w:r w:rsidR="00DE2163">
        <w:rPr>
          <w:rFonts w:asciiTheme="minorHAnsi" w:hAnsiTheme="minorHAnsi" w:cstheme="minorHAnsi"/>
        </w:rPr>
        <w:t>d</w:t>
      </w:r>
      <w:r>
        <w:rPr>
          <w:rFonts w:asciiTheme="minorHAnsi" w:hAnsiTheme="minorHAnsi" w:cstheme="minorHAnsi"/>
        </w:rPr>
        <w:t xml:space="preserve"> early versions of the BCY20 numbers, several Boards were concerned about the Admin/Ops assumptions as being too low.  In one instance a Board had outgrown their existing business space and would be spending more on rent (and have significant one-time moving &amp; build out costs).  In addition, there are general inflationary concerns, over time utilities, rent, </w:t>
      </w:r>
      <w:r w:rsidR="00FE008F">
        <w:rPr>
          <w:rFonts w:asciiTheme="minorHAnsi" w:hAnsiTheme="minorHAnsi" w:cstheme="minorHAnsi"/>
        </w:rPr>
        <w:t xml:space="preserve">and </w:t>
      </w:r>
      <w:r>
        <w:rPr>
          <w:rFonts w:asciiTheme="minorHAnsi" w:hAnsiTheme="minorHAnsi" w:cstheme="minorHAnsi"/>
        </w:rPr>
        <w:t>staffing cost more.</w:t>
      </w:r>
      <w:r w:rsidR="001814D2">
        <w:rPr>
          <w:rFonts w:asciiTheme="minorHAnsi" w:hAnsiTheme="minorHAnsi" w:cstheme="minorHAnsi"/>
        </w:rPr>
        <w:t xml:space="preserve"> </w:t>
      </w:r>
    </w:p>
    <w:p w14:paraId="3DC1153A" w14:textId="1DD31600" w:rsidR="000764B5" w:rsidRDefault="000764B5" w:rsidP="001C4182">
      <w:pPr>
        <w:spacing w:after="120"/>
        <w:rPr>
          <w:rFonts w:asciiTheme="minorHAnsi" w:hAnsiTheme="minorHAnsi" w:cstheme="minorHAnsi"/>
        </w:rPr>
      </w:pPr>
      <w:r>
        <w:rPr>
          <w:rFonts w:asciiTheme="minorHAnsi" w:hAnsiTheme="minorHAnsi" w:cstheme="minorHAnsi"/>
        </w:rPr>
        <w:t xml:space="preserve">In addition, there was a concern </w:t>
      </w:r>
      <w:r w:rsidR="00FE008F">
        <w:rPr>
          <w:rFonts w:asciiTheme="minorHAnsi" w:hAnsiTheme="minorHAnsi" w:cstheme="minorHAnsi"/>
        </w:rPr>
        <w:t>t</w:t>
      </w:r>
      <w:r>
        <w:rPr>
          <w:rFonts w:asciiTheme="minorHAnsi" w:hAnsiTheme="minorHAnsi" w:cstheme="minorHAnsi"/>
        </w:rPr>
        <w:t>hat while we’re very ramp</w:t>
      </w:r>
      <w:r w:rsidR="009B3305">
        <w:rPr>
          <w:rFonts w:asciiTheme="minorHAnsi" w:hAnsiTheme="minorHAnsi" w:cstheme="minorHAnsi"/>
        </w:rPr>
        <w:t>ed</w:t>
      </w:r>
      <w:r>
        <w:rPr>
          <w:rFonts w:asciiTheme="minorHAnsi" w:hAnsiTheme="minorHAnsi" w:cstheme="minorHAnsi"/>
        </w:rPr>
        <w:t xml:space="preserve">-up on enrollment those amounts will </w:t>
      </w:r>
      <w:r w:rsidR="009F5624">
        <w:rPr>
          <w:rFonts w:asciiTheme="minorHAnsi" w:hAnsiTheme="minorHAnsi" w:cstheme="minorHAnsi"/>
        </w:rPr>
        <w:t>begin to come down as Boards spend down carryforward balances</w:t>
      </w:r>
      <w:r w:rsidR="00CD7B73">
        <w:rPr>
          <w:rFonts w:asciiTheme="minorHAnsi" w:hAnsiTheme="minorHAnsi" w:cstheme="minorHAnsi"/>
        </w:rPr>
        <w:t>. While Admin/Ops will therefore drop in the outyears,</w:t>
      </w:r>
      <w:r w:rsidR="00B82A7F">
        <w:rPr>
          <w:rFonts w:asciiTheme="minorHAnsi" w:hAnsiTheme="minorHAnsi" w:cstheme="minorHAnsi"/>
        </w:rPr>
        <w:t xml:space="preserve"> changes </w:t>
      </w:r>
      <w:r w:rsidR="00FE008F">
        <w:rPr>
          <w:rFonts w:asciiTheme="minorHAnsi" w:hAnsiTheme="minorHAnsi" w:cstheme="minorHAnsi"/>
        </w:rPr>
        <w:t>to A</w:t>
      </w:r>
      <w:r w:rsidR="00B82A7F">
        <w:rPr>
          <w:rFonts w:asciiTheme="minorHAnsi" w:hAnsiTheme="minorHAnsi" w:cstheme="minorHAnsi"/>
        </w:rPr>
        <w:t>dmin/</w:t>
      </w:r>
      <w:r w:rsidR="00FE008F">
        <w:rPr>
          <w:rFonts w:asciiTheme="minorHAnsi" w:hAnsiTheme="minorHAnsi" w:cstheme="minorHAnsi"/>
        </w:rPr>
        <w:t>O</w:t>
      </w:r>
      <w:r w:rsidR="00B82A7F">
        <w:rPr>
          <w:rFonts w:asciiTheme="minorHAnsi" w:hAnsiTheme="minorHAnsi" w:cstheme="minorHAnsi"/>
        </w:rPr>
        <w:t xml:space="preserve">ps expenditures tend to lag </w:t>
      </w:r>
      <w:r w:rsidR="00791F8F">
        <w:rPr>
          <w:rFonts w:asciiTheme="minorHAnsi" w:hAnsiTheme="minorHAnsi" w:cstheme="minorHAnsi"/>
        </w:rPr>
        <w:t>changes in enrollment levels (slower to rise and slower to fall).</w:t>
      </w:r>
    </w:p>
    <w:p w14:paraId="0178761A" w14:textId="506CB353" w:rsidR="001814D2" w:rsidRDefault="001814D2" w:rsidP="001C4182">
      <w:pPr>
        <w:spacing w:after="120"/>
        <w:rPr>
          <w:rFonts w:asciiTheme="minorHAnsi" w:hAnsiTheme="minorHAnsi" w:cstheme="minorHAnsi"/>
        </w:rPr>
      </w:pPr>
      <w:r>
        <w:rPr>
          <w:rFonts w:asciiTheme="minorHAnsi" w:hAnsiTheme="minorHAnsi" w:cstheme="minorHAnsi"/>
        </w:rPr>
        <w:t>We a</w:t>
      </w:r>
      <w:r w:rsidR="00FE008F">
        <w:rPr>
          <w:rFonts w:asciiTheme="minorHAnsi" w:hAnsiTheme="minorHAnsi" w:cstheme="minorHAnsi"/>
        </w:rPr>
        <w:t>ccounted for this input when we</w:t>
      </w:r>
      <w:r w:rsidR="00DD2E48">
        <w:rPr>
          <w:rFonts w:asciiTheme="minorHAnsi" w:hAnsiTheme="minorHAnsi" w:cstheme="minorHAnsi"/>
        </w:rPr>
        <w:t xml:space="preserve"> finalized </w:t>
      </w:r>
      <w:r w:rsidR="000764B5">
        <w:rPr>
          <w:rFonts w:asciiTheme="minorHAnsi" w:hAnsiTheme="minorHAnsi" w:cstheme="minorHAnsi"/>
        </w:rPr>
        <w:t>Admin/Ops assumptions two</w:t>
      </w:r>
      <w:r w:rsidR="00791F8F">
        <w:rPr>
          <w:rFonts w:asciiTheme="minorHAnsi" w:hAnsiTheme="minorHAnsi" w:cstheme="minorHAnsi"/>
        </w:rPr>
        <w:t xml:space="preserve"> ways</w:t>
      </w:r>
      <w:r w:rsidR="003F3DA5">
        <w:rPr>
          <w:rFonts w:asciiTheme="minorHAnsi" w:hAnsiTheme="minorHAnsi" w:cstheme="minorHAnsi"/>
        </w:rPr>
        <w:t>:</w:t>
      </w:r>
    </w:p>
    <w:p w14:paraId="00C82B3D" w14:textId="5C9A3B60" w:rsidR="003F3DA5" w:rsidRDefault="003F3DA5" w:rsidP="003F3DA5">
      <w:pPr>
        <w:pStyle w:val="ListParagraph"/>
        <w:numPr>
          <w:ilvl w:val="0"/>
          <w:numId w:val="43"/>
        </w:numPr>
        <w:spacing w:after="120"/>
        <w:rPr>
          <w:rFonts w:asciiTheme="minorHAnsi" w:hAnsiTheme="minorHAnsi" w:cstheme="minorHAnsi"/>
        </w:rPr>
      </w:pPr>
      <w:r>
        <w:rPr>
          <w:rFonts w:asciiTheme="minorHAnsi" w:hAnsiTheme="minorHAnsi" w:cstheme="minorHAnsi"/>
        </w:rPr>
        <w:t>We revaluated the historic data and</w:t>
      </w:r>
      <w:r w:rsidR="006B53AC">
        <w:rPr>
          <w:rFonts w:asciiTheme="minorHAnsi" w:hAnsiTheme="minorHAnsi" w:cstheme="minorHAnsi"/>
        </w:rPr>
        <w:t xml:space="preserve"> what we counted as variable vs semi-fixed co</w:t>
      </w:r>
      <w:r w:rsidR="00F14DE0">
        <w:rPr>
          <w:rFonts w:asciiTheme="minorHAnsi" w:hAnsiTheme="minorHAnsi" w:cstheme="minorHAnsi"/>
        </w:rPr>
        <w:t xml:space="preserve">sts which resulted in an assumption that 28.71% of their </w:t>
      </w:r>
      <w:r w:rsidR="0073113A">
        <w:rPr>
          <w:rFonts w:asciiTheme="minorHAnsi" w:hAnsiTheme="minorHAnsi" w:cstheme="minorHAnsi"/>
        </w:rPr>
        <w:t>total Admin/Ops for the last 2 years should be considered “semi-fixed” (which incr</w:t>
      </w:r>
      <w:r w:rsidR="00FE008F">
        <w:rPr>
          <w:rFonts w:asciiTheme="minorHAnsi" w:hAnsiTheme="minorHAnsi" w:cstheme="minorHAnsi"/>
        </w:rPr>
        <w:t>eased the amount set aside for A</w:t>
      </w:r>
      <w:r w:rsidR="0073113A">
        <w:rPr>
          <w:rFonts w:asciiTheme="minorHAnsi" w:hAnsiTheme="minorHAnsi" w:cstheme="minorHAnsi"/>
        </w:rPr>
        <w:t>dmin/</w:t>
      </w:r>
      <w:r w:rsidR="00FE008F">
        <w:rPr>
          <w:rFonts w:asciiTheme="minorHAnsi" w:hAnsiTheme="minorHAnsi" w:cstheme="minorHAnsi"/>
        </w:rPr>
        <w:t>O</w:t>
      </w:r>
      <w:r w:rsidR="0073113A">
        <w:rPr>
          <w:rFonts w:asciiTheme="minorHAnsi" w:hAnsiTheme="minorHAnsi" w:cstheme="minorHAnsi"/>
        </w:rPr>
        <w:t>ps</w:t>
      </w:r>
      <w:r w:rsidR="00191310">
        <w:rPr>
          <w:rFonts w:asciiTheme="minorHAnsi" w:hAnsiTheme="minorHAnsi" w:cstheme="minorHAnsi"/>
        </w:rPr>
        <w:t xml:space="preserve"> as a “base” amount)</w:t>
      </w:r>
      <w:r w:rsidR="00217743">
        <w:rPr>
          <w:rFonts w:asciiTheme="minorHAnsi" w:hAnsiTheme="minorHAnsi" w:cstheme="minorHAnsi"/>
        </w:rPr>
        <w:t>; and</w:t>
      </w:r>
    </w:p>
    <w:p w14:paraId="254AA33E" w14:textId="0F98A0B6" w:rsidR="00191310" w:rsidRPr="00AF59B5" w:rsidRDefault="00191310" w:rsidP="00EE53A6">
      <w:pPr>
        <w:pStyle w:val="ListParagraph"/>
        <w:numPr>
          <w:ilvl w:val="0"/>
          <w:numId w:val="43"/>
        </w:numPr>
        <w:spacing w:after="120"/>
        <w:rPr>
          <w:rFonts w:asciiTheme="minorHAnsi" w:hAnsiTheme="minorHAnsi" w:cstheme="minorHAnsi"/>
        </w:rPr>
      </w:pPr>
      <w:r>
        <w:rPr>
          <w:rFonts w:asciiTheme="minorHAnsi" w:hAnsiTheme="minorHAnsi" w:cstheme="minorHAnsi"/>
        </w:rPr>
        <w:t xml:space="preserve">We added a 2% inflation factor </w:t>
      </w:r>
      <w:r w:rsidR="00217743">
        <w:rPr>
          <w:rFonts w:asciiTheme="minorHAnsi" w:hAnsiTheme="minorHAnsi" w:cstheme="minorHAnsi"/>
        </w:rPr>
        <w:t xml:space="preserve">based on the Federal Reserve’s </w:t>
      </w:r>
      <w:r w:rsidR="00B00281">
        <w:rPr>
          <w:rFonts w:asciiTheme="minorHAnsi" w:hAnsiTheme="minorHAnsi" w:cstheme="minorHAnsi"/>
        </w:rPr>
        <w:t xml:space="preserve">inflation </w:t>
      </w:r>
      <w:r w:rsidR="00217743">
        <w:rPr>
          <w:rFonts w:asciiTheme="minorHAnsi" w:hAnsiTheme="minorHAnsi" w:cstheme="minorHAnsi"/>
        </w:rPr>
        <w:t>target</w:t>
      </w:r>
      <w:r w:rsidR="00B00281">
        <w:rPr>
          <w:rFonts w:asciiTheme="minorHAnsi" w:hAnsiTheme="minorHAnsi" w:cstheme="minorHAnsi"/>
        </w:rPr>
        <w:t>.</w:t>
      </w:r>
      <w:r w:rsidR="00EE53A6" w:rsidRPr="00AF59B5">
        <w:rPr>
          <w:rFonts w:asciiTheme="minorHAnsi" w:hAnsiTheme="minorHAnsi" w:cstheme="minorHAnsi"/>
        </w:rPr>
        <w:t xml:space="preserve"> </w:t>
      </w:r>
    </w:p>
    <w:p w14:paraId="11DE9C50" w14:textId="4BB9D872" w:rsidR="00B00281" w:rsidRPr="002D07B8" w:rsidRDefault="00B00281" w:rsidP="00B00281">
      <w:pPr>
        <w:pStyle w:val="MyHeader"/>
        <w:rPr>
          <w:rFonts w:asciiTheme="minorHAnsi" w:hAnsiTheme="minorHAnsi" w:cstheme="minorHAnsi"/>
          <w:b/>
        </w:rPr>
      </w:pPr>
      <w:r>
        <w:rPr>
          <w:rFonts w:asciiTheme="minorHAnsi" w:hAnsiTheme="minorHAnsi" w:cstheme="minorHAnsi"/>
          <w:b/>
        </w:rPr>
        <w:t xml:space="preserve">Accounting for Differences between </w:t>
      </w:r>
      <w:r w:rsidR="008C42A6">
        <w:rPr>
          <w:rFonts w:asciiTheme="minorHAnsi" w:hAnsiTheme="minorHAnsi" w:cstheme="minorHAnsi"/>
          <w:b/>
        </w:rPr>
        <w:t xml:space="preserve">Maximum Reimbursement Rates and </w:t>
      </w:r>
      <w:r w:rsidR="00FE008F">
        <w:rPr>
          <w:rFonts w:asciiTheme="minorHAnsi" w:hAnsiTheme="minorHAnsi" w:cstheme="minorHAnsi"/>
          <w:b/>
        </w:rPr>
        <w:t>Providers’ Published Rates</w:t>
      </w:r>
    </w:p>
    <w:p w14:paraId="6741FD04" w14:textId="30001363" w:rsidR="007A26AA" w:rsidRDefault="00874A7C" w:rsidP="007A26AA">
      <w:pPr>
        <w:spacing w:after="120"/>
        <w:rPr>
          <w:rFonts w:asciiTheme="minorHAnsi" w:hAnsiTheme="minorHAnsi" w:cstheme="minorHAnsi"/>
        </w:rPr>
      </w:pPr>
      <w:r w:rsidRPr="00874A7C">
        <w:rPr>
          <w:rFonts w:asciiTheme="minorHAnsi" w:hAnsiTheme="minorHAnsi" w:cstheme="minorHAnsi"/>
        </w:rPr>
        <w:t>Historically</w:t>
      </w:r>
      <w:r w:rsidR="00FE008F">
        <w:rPr>
          <w:rFonts w:asciiTheme="minorHAnsi" w:hAnsiTheme="minorHAnsi" w:cstheme="minorHAnsi"/>
        </w:rPr>
        <w:t>,</w:t>
      </w:r>
      <w:r w:rsidRPr="00874A7C">
        <w:rPr>
          <w:rFonts w:asciiTheme="minorHAnsi" w:hAnsiTheme="minorHAnsi" w:cstheme="minorHAnsi"/>
        </w:rPr>
        <w:t xml:space="preserve"> TWC has set targets by assuming that we would be paying the </w:t>
      </w:r>
      <w:r w:rsidR="005B6C39">
        <w:rPr>
          <w:rFonts w:asciiTheme="minorHAnsi" w:hAnsiTheme="minorHAnsi" w:cstheme="minorHAnsi"/>
        </w:rPr>
        <w:t>MAX RATE</w:t>
      </w:r>
      <w:r w:rsidRPr="00874A7C">
        <w:rPr>
          <w:rFonts w:asciiTheme="minorHAnsi" w:hAnsiTheme="minorHAnsi" w:cstheme="minorHAnsi"/>
        </w:rPr>
        <w:t xml:space="preserve"> in all instance</w:t>
      </w:r>
      <w:r w:rsidR="00FE008F">
        <w:rPr>
          <w:rFonts w:asciiTheme="minorHAnsi" w:hAnsiTheme="minorHAnsi" w:cstheme="minorHAnsi"/>
        </w:rPr>
        <w:t>s</w:t>
      </w:r>
      <w:r w:rsidRPr="00874A7C">
        <w:rPr>
          <w:rFonts w:asciiTheme="minorHAnsi" w:hAnsiTheme="minorHAnsi" w:cstheme="minorHAnsi"/>
        </w:rPr>
        <w:t>.  However, by rule, we pay the LOWER of the MAX RATE or the provider’s PUBLISHED RATE (PUB RATE).  While many provide</w:t>
      </w:r>
      <w:r w:rsidR="00FE008F">
        <w:rPr>
          <w:rFonts w:asciiTheme="minorHAnsi" w:hAnsiTheme="minorHAnsi" w:cstheme="minorHAnsi"/>
        </w:rPr>
        <w:t>r</w:t>
      </w:r>
      <w:r w:rsidRPr="00874A7C">
        <w:rPr>
          <w:rFonts w:asciiTheme="minorHAnsi" w:hAnsiTheme="minorHAnsi" w:cstheme="minorHAnsi"/>
        </w:rPr>
        <w:t>s are reimbursed at the MAX RATE, the reality is that many are not.</w:t>
      </w:r>
    </w:p>
    <w:p w14:paraId="4450A66E" w14:textId="37C29496" w:rsidR="007A26AA" w:rsidRDefault="007A26AA" w:rsidP="007A26AA">
      <w:pPr>
        <w:spacing w:after="120"/>
        <w:rPr>
          <w:rFonts w:asciiTheme="minorHAnsi" w:hAnsiTheme="minorHAnsi" w:cstheme="minorHAnsi"/>
        </w:rPr>
      </w:pPr>
      <w:r w:rsidRPr="007A26AA">
        <w:rPr>
          <w:rFonts w:asciiTheme="minorHAnsi" w:hAnsiTheme="minorHAnsi" w:cstheme="minorHAnsi"/>
        </w:rPr>
        <w:t>From July 2018 to June 2019, 23.36% of all care was paid for at the provider’s PUB RATE.  Here is what the savings looks like in the Mandatory Population (easier to show since there is no PSOC):</w:t>
      </w:r>
    </w:p>
    <w:tbl>
      <w:tblPr>
        <w:tblStyle w:val="TableGrid"/>
        <w:tblW w:w="0" w:type="auto"/>
        <w:tblLook w:val="04A0" w:firstRow="1" w:lastRow="0" w:firstColumn="1" w:lastColumn="0" w:noHBand="0" w:noVBand="1"/>
      </w:tblPr>
      <w:tblGrid>
        <w:gridCol w:w="3596"/>
        <w:gridCol w:w="3597"/>
        <w:gridCol w:w="3597"/>
      </w:tblGrid>
      <w:tr w:rsidR="00874A7C" w14:paraId="6ACA4394" w14:textId="77777777" w:rsidTr="00956A09">
        <w:tc>
          <w:tcPr>
            <w:tcW w:w="3596" w:type="dxa"/>
          </w:tcPr>
          <w:p w14:paraId="119DC342" w14:textId="01CC6E2B" w:rsidR="00874A7C" w:rsidRPr="0027230B" w:rsidRDefault="007A26AA" w:rsidP="00956A09">
            <w:pPr>
              <w:jc w:val="center"/>
              <w:rPr>
                <w:b/>
              </w:rPr>
            </w:pPr>
            <w:r w:rsidRPr="007A26AA">
              <w:rPr>
                <w:rFonts w:asciiTheme="minorHAnsi" w:hAnsiTheme="minorHAnsi" w:cstheme="minorHAnsi"/>
              </w:rPr>
              <w:t xml:space="preserve"> </w:t>
            </w:r>
            <w:r w:rsidR="00874A7C" w:rsidRPr="0027230B">
              <w:rPr>
                <w:b/>
              </w:rPr>
              <w:t>Amount Paid</w:t>
            </w:r>
            <w:r w:rsidR="00874A7C">
              <w:rPr>
                <w:b/>
              </w:rPr>
              <w:t xml:space="preserve"> for Mandatory</w:t>
            </w:r>
          </w:p>
        </w:tc>
        <w:tc>
          <w:tcPr>
            <w:tcW w:w="3597" w:type="dxa"/>
          </w:tcPr>
          <w:p w14:paraId="6C587C76" w14:textId="77777777" w:rsidR="00874A7C" w:rsidRPr="0027230B" w:rsidRDefault="00874A7C" w:rsidP="00956A09">
            <w:pPr>
              <w:jc w:val="center"/>
              <w:rPr>
                <w:b/>
              </w:rPr>
            </w:pPr>
            <w:r w:rsidRPr="0027230B">
              <w:rPr>
                <w:b/>
              </w:rPr>
              <w:t>Amount if Paid at Max</w:t>
            </w:r>
          </w:p>
        </w:tc>
        <w:tc>
          <w:tcPr>
            <w:tcW w:w="3597" w:type="dxa"/>
          </w:tcPr>
          <w:p w14:paraId="19ABB1A2" w14:textId="77777777" w:rsidR="00874A7C" w:rsidRPr="0027230B" w:rsidRDefault="00874A7C" w:rsidP="00956A09">
            <w:pPr>
              <w:jc w:val="center"/>
              <w:rPr>
                <w:b/>
              </w:rPr>
            </w:pPr>
            <w:r w:rsidRPr="0027230B">
              <w:rPr>
                <w:b/>
              </w:rPr>
              <w:t>% Difference</w:t>
            </w:r>
          </w:p>
        </w:tc>
      </w:tr>
      <w:tr w:rsidR="00874A7C" w14:paraId="5B4425B2" w14:textId="77777777" w:rsidTr="00956A09">
        <w:tc>
          <w:tcPr>
            <w:tcW w:w="3596" w:type="dxa"/>
          </w:tcPr>
          <w:p w14:paraId="6C8F79A7" w14:textId="34DDD96E" w:rsidR="00874A7C" w:rsidRDefault="00874A7C" w:rsidP="00956A09">
            <w:pPr>
              <w:jc w:val="center"/>
            </w:pPr>
            <w:r>
              <w:t>$1</w:t>
            </w:r>
            <w:r w:rsidR="006F46B9">
              <w:t>02.6</w:t>
            </w:r>
            <w:r>
              <w:t>M</w:t>
            </w:r>
          </w:p>
        </w:tc>
        <w:tc>
          <w:tcPr>
            <w:tcW w:w="3597" w:type="dxa"/>
          </w:tcPr>
          <w:p w14:paraId="573AE34B" w14:textId="6018E161" w:rsidR="00874A7C" w:rsidRDefault="00874A7C" w:rsidP="00956A09">
            <w:pPr>
              <w:jc w:val="center"/>
            </w:pPr>
            <w:r>
              <w:t>$1</w:t>
            </w:r>
            <w:r w:rsidR="006F46B9">
              <w:t>08.9</w:t>
            </w:r>
            <w:r>
              <w:t>M</w:t>
            </w:r>
          </w:p>
        </w:tc>
        <w:tc>
          <w:tcPr>
            <w:tcW w:w="3597" w:type="dxa"/>
          </w:tcPr>
          <w:p w14:paraId="092E962E" w14:textId="379C36F2" w:rsidR="00874A7C" w:rsidRDefault="00874A7C" w:rsidP="00956A09">
            <w:pPr>
              <w:jc w:val="center"/>
            </w:pPr>
            <w:r>
              <w:t>6.</w:t>
            </w:r>
            <w:r w:rsidR="006F46B9">
              <w:t>0</w:t>
            </w:r>
            <w:r>
              <w:t>5%</w:t>
            </w:r>
          </w:p>
        </w:tc>
      </w:tr>
    </w:tbl>
    <w:p w14:paraId="1EB89D9F" w14:textId="77777777" w:rsidR="005B6C39" w:rsidRDefault="005B6C39" w:rsidP="00532E45">
      <w:pPr>
        <w:spacing w:after="80"/>
      </w:pPr>
    </w:p>
    <w:p w14:paraId="60831E25" w14:textId="7C75F7D9" w:rsidR="008B1D7D" w:rsidRDefault="00874A7C" w:rsidP="00532E45">
      <w:pPr>
        <w:spacing w:after="80"/>
      </w:pPr>
      <w:r>
        <w:t>By not recognizing this difference</w:t>
      </w:r>
      <w:r w:rsidR="00034D66">
        <w:t>,</w:t>
      </w:r>
      <w:r>
        <w:t xml:space="preserve"> TWC’s historic targets have been assum</w:t>
      </w:r>
      <w:r w:rsidR="00034D66">
        <w:t>ing</w:t>
      </w:r>
      <w:r>
        <w:t xml:space="preserve"> we could afford less care than we really</w:t>
      </w:r>
      <w:r w:rsidR="00FE008F">
        <w:t xml:space="preserve"> could – W</w:t>
      </w:r>
      <w:r>
        <w:t xml:space="preserve">e knew there was this potential but only recently discovered </w:t>
      </w:r>
      <w:r w:rsidR="00E970D7">
        <w:t>how</w:t>
      </w:r>
      <w:r>
        <w:t xml:space="preserve"> big the gap was and developed a way to estimate the impact o</w:t>
      </w:r>
      <w:r w:rsidR="00FE008F">
        <w:t>f</w:t>
      </w:r>
      <w:r>
        <w:t xml:space="preserve"> rate actions on what we will likely pay in direct care costs.  </w:t>
      </w:r>
    </w:p>
    <w:p w14:paraId="179E4657" w14:textId="537AA2B6" w:rsidR="00B3612A" w:rsidRDefault="008B1D7D" w:rsidP="00532E45">
      <w:pPr>
        <w:spacing w:after="80"/>
      </w:pPr>
      <w:r>
        <w:t>A</w:t>
      </w:r>
      <w:r w:rsidR="00874A7C">
        <w:t xml:space="preserve"> $5 increase in a $25 </w:t>
      </w:r>
      <w:r>
        <w:t>MAX RATE</w:t>
      </w:r>
      <w:r w:rsidR="00874A7C">
        <w:t xml:space="preserve"> doesn’t necessarily mean we will always pay $30.  If a PUB RATE was $30, we would pay $30 and thus $5 more.  However, if the PUB RATE was $27, we would only pay $2 more.  Even if we assume that this provider who was originally charging $27, raised their PUB RATE to $28, we would still not be paying $5</w:t>
      </w:r>
      <w:r w:rsidR="00A52233">
        <w:t xml:space="preserve"> more</w:t>
      </w:r>
      <w:r w:rsidR="004C709B">
        <w:t xml:space="preserve"> to go from a $25 to $30 MAX Rate</w:t>
      </w:r>
      <w:r w:rsidR="00874A7C">
        <w:t>.</w:t>
      </w:r>
    </w:p>
    <w:tbl>
      <w:tblPr>
        <w:tblStyle w:val="TableGrid"/>
        <w:tblW w:w="0" w:type="auto"/>
        <w:tblLook w:val="04A0" w:firstRow="1" w:lastRow="0" w:firstColumn="1" w:lastColumn="0" w:noHBand="0" w:noVBand="1"/>
      </w:tblPr>
      <w:tblGrid>
        <w:gridCol w:w="3235"/>
        <w:gridCol w:w="3958"/>
        <w:gridCol w:w="3597"/>
      </w:tblGrid>
      <w:tr w:rsidR="00D017D2" w14:paraId="286CE2E6" w14:textId="77777777" w:rsidTr="002226BD">
        <w:tc>
          <w:tcPr>
            <w:tcW w:w="3235" w:type="dxa"/>
          </w:tcPr>
          <w:p w14:paraId="47CAC105" w14:textId="6CBD50EF" w:rsidR="00D017D2" w:rsidRDefault="00BF4DE9" w:rsidP="00532E45">
            <w:pPr>
              <w:spacing w:after="80"/>
            </w:pPr>
            <w:r w:rsidRPr="00BF4DE9">
              <w:rPr>
                <w:color w:val="FFFFFF" w:themeColor="background1"/>
              </w:rPr>
              <w:t>Measure</w:t>
            </w:r>
          </w:p>
        </w:tc>
        <w:tc>
          <w:tcPr>
            <w:tcW w:w="3958" w:type="dxa"/>
          </w:tcPr>
          <w:p w14:paraId="485BA8DE" w14:textId="15197AB9" w:rsidR="00D017D2" w:rsidRDefault="00D017D2" w:rsidP="00532E45">
            <w:pPr>
              <w:spacing w:after="80"/>
            </w:pPr>
            <w:r>
              <w:t xml:space="preserve">Assume </w:t>
            </w:r>
            <w:r w:rsidR="002226BD">
              <w:t>Direct Care Cost at MAX RATE</w:t>
            </w:r>
          </w:p>
        </w:tc>
        <w:tc>
          <w:tcPr>
            <w:tcW w:w="3597" w:type="dxa"/>
          </w:tcPr>
          <w:p w14:paraId="7F6A347F" w14:textId="0619919D" w:rsidR="00D017D2" w:rsidRDefault="00D017D2" w:rsidP="002226BD">
            <w:pPr>
              <w:spacing w:after="80"/>
              <w:jc w:val="center"/>
            </w:pPr>
            <w:r>
              <w:t xml:space="preserve">Assume </w:t>
            </w:r>
            <w:r w:rsidR="002226BD">
              <w:t>Direct Care Cost at LESSER of MAX RATE or PUBLISHED RATE</w:t>
            </w:r>
          </w:p>
        </w:tc>
      </w:tr>
      <w:tr w:rsidR="00D017D2" w14:paraId="12DA9270" w14:textId="77777777" w:rsidTr="002226BD">
        <w:tc>
          <w:tcPr>
            <w:tcW w:w="3235" w:type="dxa"/>
          </w:tcPr>
          <w:p w14:paraId="744967A5" w14:textId="16B9ACF4" w:rsidR="00D017D2" w:rsidRDefault="007E1997" w:rsidP="00532E45">
            <w:pPr>
              <w:spacing w:after="80"/>
            </w:pPr>
            <w:r>
              <w:t xml:space="preserve">BCY20 </w:t>
            </w:r>
            <w:r w:rsidR="00D017D2">
              <w:t>Average Kids Per Day</w:t>
            </w:r>
          </w:p>
        </w:tc>
        <w:tc>
          <w:tcPr>
            <w:tcW w:w="3958" w:type="dxa"/>
          </w:tcPr>
          <w:p w14:paraId="3F1A19D4" w14:textId="65F334C7" w:rsidR="00D017D2" w:rsidRDefault="00181F20" w:rsidP="00181F20">
            <w:pPr>
              <w:spacing w:after="80"/>
              <w:jc w:val="center"/>
            </w:pPr>
            <w:r>
              <w:t>11</w:t>
            </w:r>
            <w:r w:rsidR="006F46B9">
              <w:t>8</w:t>
            </w:r>
            <w:r>
              <w:t>,</w:t>
            </w:r>
            <w:r w:rsidR="006F46B9">
              <w:t>848</w:t>
            </w:r>
          </w:p>
        </w:tc>
        <w:tc>
          <w:tcPr>
            <w:tcW w:w="3597" w:type="dxa"/>
          </w:tcPr>
          <w:p w14:paraId="675DC1A4" w14:textId="6B4E08AA" w:rsidR="00D017D2" w:rsidRDefault="00181F20" w:rsidP="00181F20">
            <w:pPr>
              <w:spacing w:after="80"/>
              <w:jc w:val="center"/>
            </w:pPr>
            <w:r>
              <w:t>12</w:t>
            </w:r>
            <w:r w:rsidR="006F46B9">
              <w:t>6</w:t>
            </w:r>
            <w:r>
              <w:t>,</w:t>
            </w:r>
            <w:r w:rsidR="006F46B9">
              <w:t>707</w:t>
            </w:r>
          </w:p>
        </w:tc>
      </w:tr>
    </w:tbl>
    <w:p w14:paraId="139E1AAC" w14:textId="0ECD346D" w:rsidR="00956A09" w:rsidRDefault="00A454E1" w:rsidP="007E1997">
      <w:pPr>
        <w:spacing w:before="240" w:after="80"/>
      </w:pPr>
      <w:r>
        <w:t xml:space="preserve">This is more than just an accounting issue. If we want to maximize opportunities </w:t>
      </w:r>
      <w:r w:rsidR="00FE008F">
        <w:t>for</w:t>
      </w:r>
      <w:r>
        <w:t xml:space="preserve"> the system </w:t>
      </w:r>
      <w:r w:rsidR="00FE008F">
        <w:t xml:space="preserve">to </w:t>
      </w:r>
      <w:r>
        <w:t>keep up with market changes</w:t>
      </w:r>
      <w:r w:rsidR="007205DF">
        <w:t xml:space="preserve"> and spend down carryforward balances (and minimize them in the future)</w:t>
      </w:r>
      <w:r w:rsidR="008A3823">
        <w:t xml:space="preserve">, the target methodology needs to better reflect the realities of </w:t>
      </w:r>
      <w:r w:rsidR="002125A9">
        <w:t>system costs.  If targets were set at 11</w:t>
      </w:r>
      <w:r w:rsidR="006F46B9">
        <w:t>8</w:t>
      </w:r>
      <w:r w:rsidR="002125A9">
        <w:t>,</w:t>
      </w:r>
      <w:r w:rsidR="006F46B9">
        <w:t>848</w:t>
      </w:r>
      <w:r w:rsidR="002125A9">
        <w:t xml:space="preserve"> </w:t>
      </w:r>
      <w:r w:rsidR="00347B5D">
        <w:t>instead of 12</w:t>
      </w:r>
      <w:r w:rsidR="006F46B9">
        <w:t>6</w:t>
      </w:r>
      <w:r w:rsidR="00347B5D">
        <w:t>,</w:t>
      </w:r>
      <w:r w:rsidR="006F46B9">
        <w:t>707</w:t>
      </w:r>
      <w:r w:rsidR="00347B5D">
        <w:t xml:space="preserve"> and Boards hit that target exactly, </w:t>
      </w:r>
      <w:r w:rsidR="009A6296">
        <w:t>we would generate another $4</w:t>
      </w:r>
      <w:r w:rsidR="006F46B9">
        <w:t>2</w:t>
      </w:r>
      <w:r w:rsidR="009A6296">
        <w:t>.</w:t>
      </w:r>
      <w:r w:rsidR="006F46B9">
        <w:t>9</w:t>
      </w:r>
      <w:r w:rsidR="009A6296">
        <w:t xml:space="preserve">M in carryforward and </w:t>
      </w:r>
      <w:r w:rsidR="008166A5">
        <w:t>serve 7,</w:t>
      </w:r>
      <w:r w:rsidR="006F46B9">
        <w:t>859</w:t>
      </w:r>
      <w:r w:rsidR="008166A5">
        <w:t xml:space="preserve"> fewer kids per day.</w:t>
      </w:r>
    </w:p>
    <w:p w14:paraId="2CE207DA" w14:textId="63A8D5D3" w:rsidR="00494173" w:rsidRPr="002D07B8" w:rsidRDefault="003A26B0" w:rsidP="00494173">
      <w:pPr>
        <w:pStyle w:val="MyHeader"/>
        <w:rPr>
          <w:rFonts w:asciiTheme="minorHAnsi" w:hAnsiTheme="minorHAnsi" w:cstheme="minorHAnsi"/>
          <w:b/>
        </w:rPr>
      </w:pPr>
      <w:r w:rsidRPr="003A26B0">
        <w:rPr>
          <w:rFonts w:asciiTheme="minorHAnsi" w:hAnsiTheme="minorHAnsi" w:cstheme="minorHAnsi"/>
          <w:b/>
          <w:color w:val="FF0000"/>
        </w:rPr>
        <w:t>Methodology</w:t>
      </w:r>
      <w:r>
        <w:rPr>
          <w:rFonts w:asciiTheme="minorHAnsi" w:hAnsiTheme="minorHAnsi" w:cstheme="minorHAnsi"/>
          <w:b/>
        </w:rPr>
        <w:t xml:space="preserve"> vs Target Approach</w:t>
      </w:r>
      <w:r w:rsidR="00594977">
        <w:rPr>
          <w:rFonts w:asciiTheme="minorHAnsi" w:hAnsiTheme="minorHAnsi" w:cstheme="minorHAnsi"/>
          <w:b/>
        </w:rPr>
        <w:t xml:space="preserve"> to </w:t>
      </w:r>
      <w:r w:rsidR="003E6B19">
        <w:rPr>
          <w:rFonts w:asciiTheme="minorHAnsi" w:hAnsiTheme="minorHAnsi" w:cstheme="minorHAnsi"/>
          <w:b/>
        </w:rPr>
        <w:t>S</w:t>
      </w:r>
      <w:r w:rsidR="00594977">
        <w:rPr>
          <w:rFonts w:asciiTheme="minorHAnsi" w:hAnsiTheme="minorHAnsi" w:cstheme="minorHAnsi"/>
          <w:b/>
        </w:rPr>
        <w:t>etting Child Care Performance Expectations</w:t>
      </w:r>
    </w:p>
    <w:p w14:paraId="6353CE9D" w14:textId="361806C5" w:rsidR="0044690F" w:rsidRDefault="006A25F6" w:rsidP="00494173">
      <w:pPr>
        <w:spacing w:after="120"/>
        <w:rPr>
          <w:rFonts w:asciiTheme="minorHAnsi" w:hAnsiTheme="minorHAnsi" w:cstheme="minorHAnsi"/>
        </w:rPr>
      </w:pPr>
      <w:r>
        <w:rPr>
          <w:rFonts w:asciiTheme="minorHAnsi" w:hAnsiTheme="minorHAnsi" w:cstheme="minorHAnsi"/>
        </w:rPr>
        <w:t>One of the key elements to setting CC targets is accounting for the casemix.  Staff have limited ability to influence the mix of care</w:t>
      </w:r>
      <w:r w:rsidR="00322187">
        <w:rPr>
          <w:rFonts w:asciiTheme="minorHAnsi" w:hAnsiTheme="minorHAnsi" w:cstheme="minorHAnsi"/>
        </w:rPr>
        <w:t>.  Parents get to choose their providers (license</w:t>
      </w:r>
      <w:r w:rsidR="002A4C80">
        <w:rPr>
          <w:rFonts w:asciiTheme="minorHAnsi" w:hAnsiTheme="minorHAnsi" w:cstheme="minorHAnsi"/>
        </w:rPr>
        <w:t>d</w:t>
      </w:r>
      <w:r w:rsidR="00322187">
        <w:rPr>
          <w:rFonts w:asciiTheme="minorHAnsi" w:hAnsiTheme="minorHAnsi" w:cstheme="minorHAnsi"/>
        </w:rPr>
        <w:t xml:space="preserve"> center, licensed home, registered home, relative care, quality vs regular)</w:t>
      </w:r>
      <w:r w:rsidR="00506A5C">
        <w:rPr>
          <w:rFonts w:asciiTheme="minorHAnsi" w:hAnsiTheme="minorHAnsi" w:cstheme="minorHAnsi"/>
        </w:rPr>
        <w:t>. In addition, families come in an</w:t>
      </w:r>
      <w:r w:rsidR="005D430B">
        <w:rPr>
          <w:rFonts w:asciiTheme="minorHAnsi" w:hAnsiTheme="minorHAnsi" w:cstheme="minorHAnsi"/>
        </w:rPr>
        <w:t>d</w:t>
      </w:r>
      <w:r w:rsidR="00506A5C">
        <w:rPr>
          <w:rFonts w:asciiTheme="minorHAnsi" w:hAnsiTheme="minorHAnsi" w:cstheme="minorHAnsi"/>
        </w:rPr>
        <w:t xml:space="preserve"> out of the program every day and</w:t>
      </w:r>
      <w:r w:rsidR="005D430B">
        <w:rPr>
          <w:rFonts w:asciiTheme="minorHAnsi" w:hAnsiTheme="minorHAnsi" w:cstheme="minorHAnsi"/>
        </w:rPr>
        <w:t xml:space="preserve"> those who replace </w:t>
      </w:r>
      <w:r w:rsidR="003E6B19">
        <w:rPr>
          <w:rFonts w:asciiTheme="minorHAnsi" w:hAnsiTheme="minorHAnsi" w:cstheme="minorHAnsi"/>
        </w:rPr>
        <w:t xml:space="preserve">families </w:t>
      </w:r>
      <w:r w:rsidR="005D430B">
        <w:rPr>
          <w:rFonts w:asciiTheme="minorHAnsi" w:hAnsiTheme="minorHAnsi" w:cstheme="minorHAnsi"/>
        </w:rPr>
        <w:t xml:space="preserve">who leave might involve spending </w:t>
      </w:r>
      <w:proofErr w:type="gramStart"/>
      <w:r w:rsidR="005D430B">
        <w:rPr>
          <w:rFonts w:asciiTheme="minorHAnsi" w:hAnsiTheme="minorHAnsi" w:cstheme="minorHAnsi"/>
        </w:rPr>
        <w:t>more or less money</w:t>
      </w:r>
      <w:proofErr w:type="gramEnd"/>
      <w:r w:rsidR="005D430B">
        <w:rPr>
          <w:rFonts w:asciiTheme="minorHAnsi" w:hAnsiTheme="minorHAnsi" w:cstheme="minorHAnsi"/>
        </w:rPr>
        <w:t xml:space="preserve">. </w:t>
      </w:r>
      <w:r w:rsidR="00951605">
        <w:rPr>
          <w:rFonts w:asciiTheme="minorHAnsi" w:hAnsiTheme="minorHAnsi" w:cstheme="minorHAnsi"/>
        </w:rPr>
        <w:t>I</w:t>
      </w:r>
      <w:r w:rsidR="003E6B19">
        <w:rPr>
          <w:rFonts w:asciiTheme="minorHAnsi" w:hAnsiTheme="minorHAnsi" w:cstheme="minorHAnsi"/>
        </w:rPr>
        <w:t>t</w:t>
      </w:r>
      <w:r w:rsidR="008C58A1">
        <w:rPr>
          <w:rFonts w:asciiTheme="minorHAnsi" w:hAnsiTheme="minorHAnsi" w:cstheme="minorHAnsi"/>
        </w:rPr>
        <w:t xml:space="preserve"> is </w:t>
      </w:r>
      <w:r w:rsidR="003E6B19">
        <w:rPr>
          <w:rFonts w:asciiTheme="minorHAnsi" w:hAnsiTheme="minorHAnsi" w:cstheme="minorHAnsi"/>
        </w:rPr>
        <w:t xml:space="preserve">also </w:t>
      </w:r>
      <w:r w:rsidR="008C58A1">
        <w:rPr>
          <w:rFonts w:asciiTheme="minorHAnsi" w:hAnsiTheme="minorHAnsi" w:cstheme="minorHAnsi"/>
        </w:rPr>
        <w:t>likely that the casemix will change based on recent pre-K legislation</w:t>
      </w:r>
      <w:r w:rsidR="00F00F7D">
        <w:rPr>
          <w:rFonts w:asciiTheme="minorHAnsi" w:hAnsiTheme="minorHAnsi" w:cstheme="minorHAnsi"/>
        </w:rPr>
        <w:t xml:space="preserve"> and this could impact costs.</w:t>
      </w:r>
    </w:p>
    <w:p w14:paraId="2B44778A" w14:textId="5C9ED80A" w:rsidR="001001AD" w:rsidRDefault="00F00F7D" w:rsidP="001001AD">
      <w:pPr>
        <w:spacing w:after="120"/>
        <w:rPr>
          <w:rFonts w:asciiTheme="minorHAnsi" w:hAnsiTheme="minorHAnsi" w:cstheme="minorHAnsi"/>
        </w:rPr>
      </w:pPr>
      <w:r>
        <w:rPr>
          <w:rFonts w:asciiTheme="minorHAnsi" w:hAnsiTheme="minorHAnsi" w:cstheme="minorHAnsi"/>
        </w:rPr>
        <w:t xml:space="preserve">By authorizing staff to apply </w:t>
      </w:r>
      <w:r w:rsidR="003E1BCB">
        <w:rPr>
          <w:rFonts w:asciiTheme="minorHAnsi" w:hAnsiTheme="minorHAnsi" w:cstheme="minorHAnsi"/>
        </w:rPr>
        <w:t>the approved methodology to updated data during the year, TWC will be able to more easily and quickly ma</w:t>
      </w:r>
      <w:r w:rsidR="00396E1E">
        <w:rPr>
          <w:rFonts w:asciiTheme="minorHAnsi" w:hAnsiTheme="minorHAnsi" w:cstheme="minorHAnsi"/>
        </w:rPr>
        <w:t>ke and communicate adjustments so Boards will have better information to manage their programs with.</w:t>
      </w:r>
    </w:p>
    <w:p w14:paraId="54D2D96A" w14:textId="61BDF01B" w:rsidR="00E4270C" w:rsidRDefault="00E4270C">
      <w:pPr>
        <w:rPr>
          <w:rFonts w:asciiTheme="minorHAnsi" w:hAnsiTheme="minorHAnsi" w:cstheme="minorHAnsi"/>
        </w:rPr>
      </w:pPr>
      <w:r>
        <w:rPr>
          <w:rFonts w:asciiTheme="minorHAnsi" w:hAnsiTheme="minorHAnsi" w:cstheme="minorHAnsi"/>
        </w:rPr>
        <w:br w:type="page"/>
      </w:r>
    </w:p>
    <w:p w14:paraId="77C36BF9" w14:textId="77777777" w:rsidR="00146028" w:rsidRDefault="00146028" w:rsidP="001001AD">
      <w:pPr>
        <w:spacing w:after="120"/>
        <w:rPr>
          <w:rFonts w:asciiTheme="minorHAnsi" w:hAnsiTheme="minorHAnsi" w:cstheme="minorHAnsi"/>
        </w:rPr>
        <w:sectPr w:rsidR="00146028" w:rsidSect="0044690F">
          <w:pgSz w:w="12240" w:h="15840" w:code="1"/>
          <w:pgMar w:top="720" w:right="720" w:bottom="720" w:left="720" w:header="720" w:footer="720" w:gutter="0"/>
          <w:lnNumType w:countBy="1"/>
          <w:cols w:space="720"/>
          <w:docGrid w:linePitch="360"/>
        </w:sectPr>
      </w:pPr>
    </w:p>
    <w:p w14:paraId="4EB123E2" w14:textId="137A3BF3" w:rsidR="00AA4536" w:rsidRPr="001F4F81" w:rsidRDefault="001F4F81" w:rsidP="001F4F81">
      <w:pPr>
        <w:spacing w:after="120"/>
        <w:jc w:val="center"/>
        <w:rPr>
          <w:rFonts w:asciiTheme="minorHAnsi" w:hAnsiTheme="minorHAnsi" w:cstheme="minorHAnsi"/>
          <w:b/>
          <w:bCs/>
        </w:rPr>
      </w:pPr>
      <w:r w:rsidRPr="001F4F81">
        <w:rPr>
          <w:rFonts w:asciiTheme="minorHAnsi" w:hAnsiTheme="minorHAnsi" w:cstheme="minorHAnsi"/>
          <w:b/>
          <w:bCs/>
        </w:rPr>
        <w:t>Determination of Amounts Available for Direct Care and Variable Admin/Ops</w:t>
      </w:r>
    </w:p>
    <w:tbl>
      <w:tblPr>
        <w:tblW w:w="14188" w:type="dxa"/>
        <w:tblLook w:val="04A0" w:firstRow="1" w:lastRow="0" w:firstColumn="1" w:lastColumn="0" w:noHBand="0" w:noVBand="1"/>
      </w:tblPr>
      <w:tblGrid>
        <w:gridCol w:w="1660"/>
        <w:gridCol w:w="580"/>
        <w:gridCol w:w="2188"/>
        <w:gridCol w:w="2440"/>
        <w:gridCol w:w="2440"/>
        <w:gridCol w:w="2440"/>
        <w:gridCol w:w="2440"/>
      </w:tblGrid>
      <w:tr w:rsidR="006C662B" w:rsidRPr="006C662B" w14:paraId="1C88C19F" w14:textId="77777777" w:rsidTr="00D56845">
        <w:trPr>
          <w:trHeight w:val="583"/>
        </w:trPr>
        <w:tc>
          <w:tcPr>
            <w:tcW w:w="16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D664890" w14:textId="77777777" w:rsidR="006C662B" w:rsidRPr="006C662B" w:rsidRDefault="006C662B" w:rsidP="006C662B">
            <w:pPr>
              <w:rPr>
                <w:rFonts w:cs="Calibri"/>
                <w:color w:val="000000"/>
                <w:szCs w:val="22"/>
              </w:rPr>
            </w:pPr>
            <w:r w:rsidRPr="006C662B">
              <w:rPr>
                <w:rFonts w:cs="Calibri"/>
                <w:color w:val="000000"/>
                <w:szCs w:val="22"/>
              </w:rPr>
              <w:t>Board Name</w:t>
            </w:r>
          </w:p>
        </w:tc>
        <w:tc>
          <w:tcPr>
            <w:tcW w:w="580" w:type="dxa"/>
            <w:tcBorders>
              <w:top w:val="single" w:sz="8" w:space="0" w:color="auto"/>
              <w:left w:val="nil"/>
              <w:bottom w:val="single" w:sz="8" w:space="0" w:color="auto"/>
              <w:right w:val="single" w:sz="8" w:space="0" w:color="auto"/>
            </w:tcBorders>
            <w:shd w:val="clear" w:color="auto" w:fill="auto"/>
            <w:noWrap/>
            <w:vAlign w:val="bottom"/>
            <w:hideMark/>
          </w:tcPr>
          <w:p w14:paraId="77FA866A" w14:textId="77777777" w:rsidR="006C662B" w:rsidRPr="006C662B" w:rsidRDefault="006C662B" w:rsidP="006C662B">
            <w:pPr>
              <w:jc w:val="center"/>
              <w:rPr>
                <w:rFonts w:cs="Calibri"/>
                <w:color w:val="000000"/>
                <w:szCs w:val="22"/>
              </w:rPr>
            </w:pPr>
            <w:r w:rsidRPr="006C662B">
              <w:rPr>
                <w:rFonts w:cs="Calibri"/>
                <w:color w:val="000000"/>
                <w:szCs w:val="22"/>
              </w:rPr>
              <w:t>#</w:t>
            </w:r>
          </w:p>
        </w:tc>
        <w:tc>
          <w:tcPr>
            <w:tcW w:w="2188" w:type="dxa"/>
            <w:tcBorders>
              <w:top w:val="single" w:sz="8" w:space="0" w:color="auto"/>
              <w:left w:val="nil"/>
              <w:bottom w:val="single" w:sz="8" w:space="0" w:color="auto"/>
              <w:right w:val="single" w:sz="4" w:space="0" w:color="auto"/>
            </w:tcBorders>
            <w:shd w:val="clear" w:color="auto" w:fill="auto"/>
            <w:vAlign w:val="bottom"/>
            <w:hideMark/>
          </w:tcPr>
          <w:p w14:paraId="610382FF" w14:textId="77777777" w:rsidR="006C662B" w:rsidRPr="006C662B" w:rsidRDefault="006C662B" w:rsidP="006C662B">
            <w:pPr>
              <w:jc w:val="center"/>
              <w:rPr>
                <w:rFonts w:cs="Calibri"/>
                <w:color w:val="000000"/>
                <w:sz w:val="20"/>
                <w:szCs w:val="20"/>
              </w:rPr>
            </w:pPr>
            <w:r w:rsidRPr="006C662B">
              <w:rPr>
                <w:rFonts w:cs="Calibri"/>
                <w:color w:val="000000"/>
                <w:sz w:val="20"/>
                <w:szCs w:val="20"/>
              </w:rPr>
              <w:t>Total Allocation</w:t>
            </w:r>
          </w:p>
        </w:tc>
        <w:tc>
          <w:tcPr>
            <w:tcW w:w="2440" w:type="dxa"/>
            <w:tcBorders>
              <w:top w:val="single" w:sz="8" w:space="0" w:color="auto"/>
              <w:left w:val="nil"/>
              <w:bottom w:val="single" w:sz="8" w:space="0" w:color="auto"/>
              <w:right w:val="single" w:sz="4" w:space="0" w:color="auto"/>
            </w:tcBorders>
            <w:shd w:val="clear" w:color="auto" w:fill="auto"/>
            <w:vAlign w:val="bottom"/>
            <w:hideMark/>
          </w:tcPr>
          <w:p w14:paraId="5EC55F74" w14:textId="77777777" w:rsidR="006C662B" w:rsidRPr="006C662B" w:rsidRDefault="006C662B" w:rsidP="006C662B">
            <w:pPr>
              <w:jc w:val="center"/>
              <w:rPr>
                <w:rFonts w:cs="Calibri"/>
                <w:color w:val="000000"/>
                <w:sz w:val="20"/>
                <w:szCs w:val="20"/>
              </w:rPr>
            </w:pPr>
            <w:r w:rsidRPr="006C662B">
              <w:rPr>
                <w:rFonts w:cs="Calibri"/>
                <w:color w:val="000000"/>
                <w:sz w:val="20"/>
                <w:szCs w:val="20"/>
              </w:rPr>
              <w:t>2% Quality</w:t>
            </w:r>
          </w:p>
        </w:tc>
        <w:tc>
          <w:tcPr>
            <w:tcW w:w="2440" w:type="dxa"/>
            <w:tcBorders>
              <w:top w:val="single" w:sz="8" w:space="0" w:color="auto"/>
              <w:left w:val="nil"/>
              <w:bottom w:val="single" w:sz="8" w:space="0" w:color="auto"/>
              <w:right w:val="single" w:sz="4" w:space="0" w:color="auto"/>
            </w:tcBorders>
            <w:shd w:val="clear" w:color="auto" w:fill="auto"/>
            <w:vAlign w:val="bottom"/>
            <w:hideMark/>
          </w:tcPr>
          <w:p w14:paraId="54EBD7C8" w14:textId="77777777" w:rsidR="006C662B" w:rsidRPr="006C662B" w:rsidRDefault="006C662B" w:rsidP="006C662B">
            <w:pPr>
              <w:jc w:val="center"/>
              <w:rPr>
                <w:rFonts w:cs="Calibri"/>
                <w:color w:val="000000"/>
                <w:sz w:val="20"/>
                <w:szCs w:val="20"/>
              </w:rPr>
            </w:pPr>
            <w:r w:rsidRPr="006C662B">
              <w:rPr>
                <w:rFonts w:cs="Calibri"/>
                <w:color w:val="000000"/>
                <w:sz w:val="20"/>
                <w:szCs w:val="20"/>
              </w:rPr>
              <w:t>nonQ Allocation</w:t>
            </w:r>
          </w:p>
        </w:tc>
        <w:tc>
          <w:tcPr>
            <w:tcW w:w="2440" w:type="dxa"/>
            <w:tcBorders>
              <w:top w:val="single" w:sz="8" w:space="0" w:color="auto"/>
              <w:left w:val="nil"/>
              <w:bottom w:val="single" w:sz="8" w:space="0" w:color="auto"/>
              <w:right w:val="single" w:sz="4" w:space="0" w:color="auto"/>
            </w:tcBorders>
            <w:shd w:val="clear" w:color="auto" w:fill="auto"/>
            <w:vAlign w:val="bottom"/>
            <w:hideMark/>
          </w:tcPr>
          <w:p w14:paraId="76C1EA0C" w14:textId="77777777" w:rsidR="006C662B" w:rsidRPr="006C662B" w:rsidRDefault="006C662B" w:rsidP="006C662B">
            <w:pPr>
              <w:jc w:val="center"/>
              <w:rPr>
                <w:rFonts w:cs="Calibri"/>
                <w:color w:val="000000"/>
                <w:sz w:val="20"/>
                <w:szCs w:val="20"/>
              </w:rPr>
            </w:pPr>
            <w:r w:rsidRPr="006C662B">
              <w:rPr>
                <w:rFonts w:cs="Calibri"/>
                <w:color w:val="000000"/>
                <w:sz w:val="20"/>
                <w:szCs w:val="20"/>
              </w:rPr>
              <w:t>Semi-Fixed Admin/Ops Set Aside</w:t>
            </w:r>
          </w:p>
        </w:tc>
        <w:tc>
          <w:tcPr>
            <w:tcW w:w="2440" w:type="dxa"/>
            <w:tcBorders>
              <w:top w:val="single" w:sz="8" w:space="0" w:color="auto"/>
              <w:left w:val="nil"/>
              <w:bottom w:val="single" w:sz="8" w:space="0" w:color="auto"/>
              <w:right w:val="single" w:sz="8" w:space="0" w:color="auto"/>
            </w:tcBorders>
            <w:shd w:val="clear" w:color="auto" w:fill="auto"/>
            <w:vAlign w:val="bottom"/>
            <w:hideMark/>
          </w:tcPr>
          <w:p w14:paraId="083CB8C3" w14:textId="77777777" w:rsidR="006C662B" w:rsidRPr="006C662B" w:rsidRDefault="006C662B" w:rsidP="006C662B">
            <w:pPr>
              <w:jc w:val="center"/>
              <w:rPr>
                <w:rFonts w:cs="Calibri"/>
                <w:color w:val="000000"/>
                <w:sz w:val="20"/>
                <w:szCs w:val="20"/>
              </w:rPr>
            </w:pPr>
            <w:r w:rsidRPr="006C662B">
              <w:rPr>
                <w:rFonts w:cs="Calibri"/>
                <w:color w:val="000000"/>
                <w:sz w:val="20"/>
                <w:szCs w:val="20"/>
              </w:rPr>
              <w:t>Available for Direct Care and Variable Admin/Ops</w:t>
            </w:r>
          </w:p>
        </w:tc>
      </w:tr>
      <w:tr w:rsidR="006C662B" w:rsidRPr="006C662B" w14:paraId="67CB42A4" w14:textId="77777777" w:rsidTr="00AE52EC">
        <w:trPr>
          <w:trHeight w:val="30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14:paraId="4578ADC1" w14:textId="77777777" w:rsidR="006C662B" w:rsidRPr="006C662B" w:rsidRDefault="006C662B" w:rsidP="006C662B">
            <w:pPr>
              <w:rPr>
                <w:rFonts w:cs="Calibri"/>
                <w:color w:val="000000"/>
                <w:szCs w:val="22"/>
              </w:rPr>
            </w:pPr>
            <w:r w:rsidRPr="006C662B">
              <w:rPr>
                <w:rFonts w:cs="Calibri"/>
                <w:color w:val="000000"/>
                <w:szCs w:val="22"/>
              </w:rPr>
              <w:t>Panhandle</w:t>
            </w:r>
          </w:p>
        </w:tc>
        <w:tc>
          <w:tcPr>
            <w:tcW w:w="580" w:type="dxa"/>
            <w:tcBorders>
              <w:top w:val="nil"/>
              <w:left w:val="nil"/>
              <w:bottom w:val="single" w:sz="4" w:space="0" w:color="auto"/>
              <w:right w:val="single" w:sz="8" w:space="0" w:color="auto"/>
            </w:tcBorders>
            <w:shd w:val="clear" w:color="auto" w:fill="auto"/>
            <w:noWrap/>
            <w:vAlign w:val="center"/>
            <w:hideMark/>
          </w:tcPr>
          <w:p w14:paraId="41AE9968" w14:textId="77777777" w:rsidR="006C662B" w:rsidRPr="006C662B" w:rsidRDefault="006C662B" w:rsidP="006C662B">
            <w:pPr>
              <w:jc w:val="center"/>
              <w:rPr>
                <w:rFonts w:cs="Calibri"/>
                <w:szCs w:val="22"/>
              </w:rPr>
            </w:pPr>
            <w:r w:rsidRPr="006C662B">
              <w:rPr>
                <w:rFonts w:cs="Calibri"/>
                <w:szCs w:val="22"/>
              </w:rPr>
              <w:t>1</w:t>
            </w:r>
          </w:p>
        </w:tc>
        <w:tc>
          <w:tcPr>
            <w:tcW w:w="2188" w:type="dxa"/>
            <w:tcBorders>
              <w:top w:val="nil"/>
              <w:left w:val="nil"/>
              <w:bottom w:val="single" w:sz="4" w:space="0" w:color="auto"/>
              <w:right w:val="single" w:sz="4" w:space="0" w:color="auto"/>
            </w:tcBorders>
            <w:shd w:val="clear" w:color="auto" w:fill="auto"/>
            <w:noWrap/>
            <w:vAlign w:val="center"/>
            <w:hideMark/>
          </w:tcPr>
          <w:p w14:paraId="624011E1" w14:textId="37314963" w:rsidR="006C662B" w:rsidRPr="006C662B" w:rsidRDefault="006C662B" w:rsidP="00AE52EC">
            <w:pPr>
              <w:jc w:val="center"/>
              <w:rPr>
                <w:rFonts w:cs="Calibri"/>
                <w:color w:val="000000"/>
                <w:szCs w:val="22"/>
              </w:rPr>
            </w:pPr>
            <w:r w:rsidRPr="006C662B">
              <w:rPr>
                <w:rFonts w:cs="Calibri"/>
                <w:color w:val="000000"/>
                <w:szCs w:val="22"/>
              </w:rPr>
              <w:t>$11,554,394</w:t>
            </w:r>
          </w:p>
        </w:tc>
        <w:tc>
          <w:tcPr>
            <w:tcW w:w="2440" w:type="dxa"/>
            <w:tcBorders>
              <w:top w:val="nil"/>
              <w:left w:val="nil"/>
              <w:bottom w:val="single" w:sz="4" w:space="0" w:color="auto"/>
              <w:right w:val="single" w:sz="4" w:space="0" w:color="auto"/>
            </w:tcBorders>
            <w:shd w:val="clear" w:color="auto" w:fill="auto"/>
            <w:noWrap/>
            <w:vAlign w:val="center"/>
            <w:hideMark/>
          </w:tcPr>
          <w:p w14:paraId="4EFAE28B" w14:textId="78D92058" w:rsidR="006C662B" w:rsidRPr="006C662B" w:rsidRDefault="006C662B" w:rsidP="00AE52EC">
            <w:pPr>
              <w:jc w:val="center"/>
              <w:rPr>
                <w:rFonts w:cs="Calibri"/>
                <w:color w:val="000000"/>
                <w:szCs w:val="22"/>
              </w:rPr>
            </w:pPr>
            <w:r w:rsidRPr="006C662B">
              <w:rPr>
                <w:rFonts w:cs="Calibri"/>
                <w:color w:val="000000"/>
                <w:szCs w:val="22"/>
              </w:rPr>
              <w:t>$231,088</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09D1C75D" w14:textId="3CBAD7D0" w:rsidR="006C662B" w:rsidRPr="006C662B" w:rsidRDefault="006C662B" w:rsidP="00AE52EC">
            <w:pPr>
              <w:jc w:val="center"/>
              <w:rPr>
                <w:rFonts w:cs="Calibri"/>
                <w:color w:val="000000"/>
                <w:szCs w:val="22"/>
              </w:rPr>
            </w:pPr>
            <w:r w:rsidRPr="006C662B">
              <w:rPr>
                <w:rFonts w:cs="Calibri"/>
                <w:color w:val="000000"/>
                <w:szCs w:val="22"/>
              </w:rPr>
              <w:t>$11,323,306</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4FD9FE98" w14:textId="50767D90" w:rsidR="006C662B" w:rsidRPr="006C662B" w:rsidRDefault="006C662B" w:rsidP="00AE52EC">
            <w:pPr>
              <w:jc w:val="center"/>
              <w:rPr>
                <w:rFonts w:cs="Calibri"/>
                <w:color w:val="000000"/>
                <w:szCs w:val="22"/>
              </w:rPr>
            </w:pPr>
            <w:r w:rsidRPr="006C662B">
              <w:rPr>
                <w:rFonts w:cs="Calibri"/>
                <w:color w:val="000000"/>
                <w:szCs w:val="22"/>
              </w:rPr>
              <w:t>$438,009</w:t>
            </w:r>
          </w:p>
        </w:tc>
        <w:tc>
          <w:tcPr>
            <w:tcW w:w="2440" w:type="dxa"/>
            <w:tcBorders>
              <w:top w:val="nil"/>
              <w:left w:val="single" w:sz="4" w:space="0" w:color="auto"/>
              <w:bottom w:val="single" w:sz="4" w:space="0" w:color="auto"/>
              <w:right w:val="single" w:sz="8" w:space="0" w:color="auto"/>
            </w:tcBorders>
            <w:shd w:val="clear" w:color="auto" w:fill="auto"/>
            <w:noWrap/>
            <w:vAlign w:val="center"/>
            <w:hideMark/>
          </w:tcPr>
          <w:p w14:paraId="7908F5D1" w14:textId="5794296A" w:rsidR="006C662B" w:rsidRPr="006C662B" w:rsidRDefault="006C662B" w:rsidP="00AE52EC">
            <w:pPr>
              <w:jc w:val="center"/>
              <w:rPr>
                <w:rFonts w:cs="Calibri"/>
                <w:color w:val="000000"/>
                <w:szCs w:val="22"/>
              </w:rPr>
            </w:pPr>
            <w:r w:rsidRPr="006C662B">
              <w:rPr>
                <w:rFonts w:cs="Calibri"/>
                <w:color w:val="000000"/>
                <w:szCs w:val="22"/>
              </w:rPr>
              <w:t>$10,885,297</w:t>
            </w:r>
          </w:p>
        </w:tc>
      </w:tr>
      <w:tr w:rsidR="006C662B" w:rsidRPr="006C662B" w14:paraId="148D9B65" w14:textId="77777777" w:rsidTr="00AE52EC">
        <w:trPr>
          <w:trHeight w:val="30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14:paraId="7BC8872F" w14:textId="77777777" w:rsidR="006C662B" w:rsidRPr="006C662B" w:rsidRDefault="006C662B" w:rsidP="006C662B">
            <w:pPr>
              <w:rPr>
                <w:rFonts w:cs="Calibri"/>
                <w:color w:val="000000"/>
                <w:szCs w:val="22"/>
              </w:rPr>
            </w:pPr>
            <w:r w:rsidRPr="006C662B">
              <w:rPr>
                <w:rFonts w:cs="Calibri"/>
                <w:color w:val="000000"/>
                <w:szCs w:val="22"/>
              </w:rPr>
              <w:t>South Plains</w:t>
            </w:r>
          </w:p>
        </w:tc>
        <w:tc>
          <w:tcPr>
            <w:tcW w:w="580" w:type="dxa"/>
            <w:tcBorders>
              <w:top w:val="nil"/>
              <w:left w:val="nil"/>
              <w:bottom w:val="single" w:sz="4" w:space="0" w:color="auto"/>
              <w:right w:val="single" w:sz="8" w:space="0" w:color="auto"/>
            </w:tcBorders>
            <w:shd w:val="clear" w:color="auto" w:fill="auto"/>
            <w:noWrap/>
            <w:vAlign w:val="center"/>
            <w:hideMark/>
          </w:tcPr>
          <w:p w14:paraId="56F70EB5" w14:textId="77777777" w:rsidR="006C662B" w:rsidRPr="006C662B" w:rsidRDefault="006C662B" w:rsidP="006C662B">
            <w:pPr>
              <w:jc w:val="center"/>
              <w:rPr>
                <w:rFonts w:cs="Calibri"/>
                <w:szCs w:val="22"/>
              </w:rPr>
            </w:pPr>
            <w:r w:rsidRPr="006C662B">
              <w:rPr>
                <w:rFonts w:cs="Calibri"/>
                <w:szCs w:val="22"/>
              </w:rPr>
              <w:t>2</w:t>
            </w:r>
          </w:p>
        </w:tc>
        <w:tc>
          <w:tcPr>
            <w:tcW w:w="2188" w:type="dxa"/>
            <w:tcBorders>
              <w:top w:val="nil"/>
              <w:left w:val="nil"/>
              <w:bottom w:val="single" w:sz="4" w:space="0" w:color="auto"/>
              <w:right w:val="single" w:sz="4" w:space="0" w:color="auto"/>
            </w:tcBorders>
            <w:shd w:val="clear" w:color="auto" w:fill="auto"/>
            <w:noWrap/>
            <w:vAlign w:val="center"/>
            <w:hideMark/>
          </w:tcPr>
          <w:p w14:paraId="5EFC20AD" w14:textId="5C38EA09" w:rsidR="006C662B" w:rsidRPr="006C662B" w:rsidRDefault="006C662B" w:rsidP="00AE52EC">
            <w:pPr>
              <w:jc w:val="center"/>
              <w:rPr>
                <w:rFonts w:cs="Calibri"/>
                <w:color w:val="000000"/>
                <w:szCs w:val="22"/>
              </w:rPr>
            </w:pPr>
            <w:r w:rsidRPr="006C662B">
              <w:rPr>
                <w:rFonts w:cs="Calibri"/>
                <w:color w:val="000000"/>
                <w:szCs w:val="22"/>
              </w:rPr>
              <w:t>$11,184,239</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097E6E68" w14:textId="77777777" w:rsidR="006C662B" w:rsidRPr="006C662B" w:rsidRDefault="006C662B" w:rsidP="00AE52EC">
            <w:pPr>
              <w:jc w:val="center"/>
              <w:rPr>
                <w:rFonts w:cs="Calibri"/>
                <w:color w:val="000000"/>
                <w:szCs w:val="22"/>
              </w:rPr>
            </w:pPr>
            <w:r w:rsidRPr="006C662B">
              <w:rPr>
                <w:rFonts w:cs="Calibri"/>
                <w:color w:val="000000"/>
                <w:szCs w:val="22"/>
              </w:rPr>
              <w:t>$223,685</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525E524A" w14:textId="04FF0300" w:rsidR="006C662B" w:rsidRPr="006C662B" w:rsidRDefault="006C662B" w:rsidP="00AE52EC">
            <w:pPr>
              <w:jc w:val="center"/>
              <w:rPr>
                <w:rFonts w:cs="Calibri"/>
                <w:color w:val="000000"/>
                <w:szCs w:val="22"/>
              </w:rPr>
            </w:pPr>
            <w:r w:rsidRPr="006C662B">
              <w:rPr>
                <w:rFonts w:cs="Calibri"/>
                <w:color w:val="000000"/>
                <w:szCs w:val="22"/>
              </w:rPr>
              <w:t>$10,960,554</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0787B7CE" w14:textId="4622CA07" w:rsidR="006C662B" w:rsidRPr="006C662B" w:rsidRDefault="006C662B" w:rsidP="00AE52EC">
            <w:pPr>
              <w:jc w:val="center"/>
              <w:rPr>
                <w:rFonts w:cs="Calibri"/>
                <w:color w:val="000000"/>
                <w:szCs w:val="22"/>
              </w:rPr>
            </w:pPr>
            <w:r w:rsidRPr="006C662B">
              <w:rPr>
                <w:rFonts w:cs="Calibri"/>
                <w:color w:val="000000"/>
                <w:szCs w:val="22"/>
              </w:rPr>
              <w:t>$359,106</w:t>
            </w:r>
          </w:p>
        </w:tc>
        <w:tc>
          <w:tcPr>
            <w:tcW w:w="2440" w:type="dxa"/>
            <w:tcBorders>
              <w:top w:val="nil"/>
              <w:left w:val="single" w:sz="4" w:space="0" w:color="auto"/>
              <w:bottom w:val="single" w:sz="4" w:space="0" w:color="auto"/>
              <w:right w:val="single" w:sz="8" w:space="0" w:color="auto"/>
            </w:tcBorders>
            <w:shd w:val="clear" w:color="auto" w:fill="auto"/>
            <w:noWrap/>
            <w:vAlign w:val="center"/>
            <w:hideMark/>
          </w:tcPr>
          <w:p w14:paraId="7CA301EB" w14:textId="3FAD3CC5" w:rsidR="006C662B" w:rsidRPr="006C662B" w:rsidRDefault="006C662B" w:rsidP="00AE52EC">
            <w:pPr>
              <w:jc w:val="center"/>
              <w:rPr>
                <w:rFonts w:cs="Calibri"/>
                <w:color w:val="000000"/>
                <w:szCs w:val="22"/>
              </w:rPr>
            </w:pPr>
            <w:r w:rsidRPr="006C662B">
              <w:rPr>
                <w:rFonts w:cs="Calibri"/>
                <w:color w:val="000000"/>
                <w:szCs w:val="22"/>
              </w:rPr>
              <w:t>$10,601,448</w:t>
            </w:r>
          </w:p>
        </w:tc>
      </w:tr>
      <w:tr w:rsidR="006C662B" w:rsidRPr="006C662B" w14:paraId="0A54FD91" w14:textId="77777777" w:rsidTr="00AE52EC">
        <w:trPr>
          <w:trHeight w:val="30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14:paraId="178F3175" w14:textId="77777777" w:rsidR="006C662B" w:rsidRPr="006C662B" w:rsidRDefault="006C662B" w:rsidP="006C662B">
            <w:pPr>
              <w:rPr>
                <w:rFonts w:cs="Calibri"/>
                <w:color w:val="000000"/>
                <w:szCs w:val="22"/>
              </w:rPr>
            </w:pPr>
            <w:r w:rsidRPr="006C662B">
              <w:rPr>
                <w:rFonts w:cs="Calibri"/>
                <w:color w:val="000000"/>
                <w:szCs w:val="22"/>
              </w:rPr>
              <w:t>North Texas</w:t>
            </w:r>
          </w:p>
        </w:tc>
        <w:tc>
          <w:tcPr>
            <w:tcW w:w="580" w:type="dxa"/>
            <w:tcBorders>
              <w:top w:val="nil"/>
              <w:left w:val="nil"/>
              <w:bottom w:val="single" w:sz="4" w:space="0" w:color="auto"/>
              <w:right w:val="single" w:sz="8" w:space="0" w:color="auto"/>
            </w:tcBorders>
            <w:shd w:val="clear" w:color="auto" w:fill="auto"/>
            <w:noWrap/>
            <w:vAlign w:val="center"/>
            <w:hideMark/>
          </w:tcPr>
          <w:p w14:paraId="6B691F15" w14:textId="77777777" w:rsidR="006C662B" w:rsidRPr="006C662B" w:rsidRDefault="006C662B" w:rsidP="006C662B">
            <w:pPr>
              <w:jc w:val="center"/>
              <w:rPr>
                <w:rFonts w:cs="Calibri"/>
                <w:szCs w:val="22"/>
              </w:rPr>
            </w:pPr>
            <w:r w:rsidRPr="006C662B">
              <w:rPr>
                <w:rFonts w:cs="Calibri"/>
                <w:szCs w:val="22"/>
              </w:rPr>
              <w:t>3</w:t>
            </w:r>
          </w:p>
        </w:tc>
        <w:tc>
          <w:tcPr>
            <w:tcW w:w="2188" w:type="dxa"/>
            <w:tcBorders>
              <w:top w:val="nil"/>
              <w:left w:val="nil"/>
              <w:bottom w:val="single" w:sz="4" w:space="0" w:color="auto"/>
              <w:right w:val="single" w:sz="4" w:space="0" w:color="auto"/>
            </w:tcBorders>
            <w:shd w:val="clear" w:color="auto" w:fill="auto"/>
            <w:noWrap/>
            <w:vAlign w:val="center"/>
            <w:hideMark/>
          </w:tcPr>
          <w:p w14:paraId="3ADA50B4" w14:textId="74011D51" w:rsidR="006C662B" w:rsidRPr="006C662B" w:rsidRDefault="006C662B" w:rsidP="00AE52EC">
            <w:pPr>
              <w:jc w:val="center"/>
              <w:rPr>
                <w:rFonts w:cs="Calibri"/>
                <w:color w:val="000000"/>
                <w:szCs w:val="22"/>
              </w:rPr>
            </w:pPr>
            <w:r w:rsidRPr="006C662B">
              <w:rPr>
                <w:rFonts w:cs="Calibri"/>
                <w:color w:val="000000"/>
                <w:szCs w:val="22"/>
              </w:rPr>
              <w:t>$5,121,865</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6456EEC4" w14:textId="77777777" w:rsidR="006C662B" w:rsidRPr="006C662B" w:rsidRDefault="006C662B" w:rsidP="00AE52EC">
            <w:pPr>
              <w:jc w:val="center"/>
              <w:rPr>
                <w:rFonts w:cs="Calibri"/>
                <w:color w:val="000000"/>
                <w:szCs w:val="22"/>
              </w:rPr>
            </w:pPr>
            <w:r w:rsidRPr="006C662B">
              <w:rPr>
                <w:rFonts w:cs="Calibri"/>
                <w:color w:val="000000"/>
                <w:szCs w:val="22"/>
              </w:rPr>
              <w:t>$102,438</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7612CC30" w14:textId="69CE9EC4" w:rsidR="006C662B" w:rsidRPr="006C662B" w:rsidRDefault="006C662B" w:rsidP="00AE52EC">
            <w:pPr>
              <w:jc w:val="center"/>
              <w:rPr>
                <w:rFonts w:cs="Calibri"/>
                <w:color w:val="000000"/>
                <w:szCs w:val="22"/>
              </w:rPr>
            </w:pPr>
            <w:r w:rsidRPr="006C662B">
              <w:rPr>
                <w:rFonts w:cs="Calibri"/>
                <w:color w:val="000000"/>
                <w:szCs w:val="22"/>
              </w:rPr>
              <w:t>$5,019,427</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4A30385C" w14:textId="36ADA63C" w:rsidR="006C662B" w:rsidRPr="006C662B" w:rsidRDefault="006C662B" w:rsidP="00AE52EC">
            <w:pPr>
              <w:jc w:val="center"/>
              <w:rPr>
                <w:rFonts w:cs="Calibri"/>
                <w:color w:val="000000"/>
                <w:szCs w:val="22"/>
              </w:rPr>
            </w:pPr>
            <w:r w:rsidRPr="006C662B">
              <w:rPr>
                <w:rFonts w:cs="Calibri"/>
                <w:color w:val="000000"/>
                <w:szCs w:val="22"/>
              </w:rPr>
              <w:t>$230,353</w:t>
            </w:r>
          </w:p>
        </w:tc>
        <w:tc>
          <w:tcPr>
            <w:tcW w:w="2440" w:type="dxa"/>
            <w:tcBorders>
              <w:top w:val="nil"/>
              <w:left w:val="single" w:sz="4" w:space="0" w:color="auto"/>
              <w:bottom w:val="single" w:sz="4" w:space="0" w:color="auto"/>
              <w:right w:val="single" w:sz="8" w:space="0" w:color="auto"/>
            </w:tcBorders>
            <w:shd w:val="clear" w:color="auto" w:fill="auto"/>
            <w:noWrap/>
            <w:vAlign w:val="center"/>
            <w:hideMark/>
          </w:tcPr>
          <w:p w14:paraId="36EF030E" w14:textId="3ECF2E41" w:rsidR="006C662B" w:rsidRPr="006C662B" w:rsidRDefault="006C662B" w:rsidP="00AE52EC">
            <w:pPr>
              <w:jc w:val="center"/>
              <w:rPr>
                <w:rFonts w:cs="Calibri"/>
                <w:color w:val="000000"/>
                <w:szCs w:val="22"/>
              </w:rPr>
            </w:pPr>
            <w:r w:rsidRPr="006C662B">
              <w:rPr>
                <w:rFonts w:cs="Calibri"/>
                <w:color w:val="000000"/>
                <w:szCs w:val="22"/>
              </w:rPr>
              <w:t>$4,789,074</w:t>
            </w:r>
          </w:p>
        </w:tc>
      </w:tr>
      <w:tr w:rsidR="006C662B" w:rsidRPr="006C662B" w14:paraId="0EB147BA" w14:textId="77777777" w:rsidTr="00AE52EC">
        <w:trPr>
          <w:trHeight w:val="30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14:paraId="7990501B" w14:textId="77777777" w:rsidR="006C662B" w:rsidRPr="006C662B" w:rsidRDefault="006C662B" w:rsidP="006C662B">
            <w:pPr>
              <w:rPr>
                <w:rFonts w:cs="Calibri"/>
                <w:color w:val="000000"/>
                <w:szCs w:val="22"/>
              </w:rPr>
            </w:pPr>
            <w:r w:rsidRPr="006C662B">
              <w:rPr>
                <w:rFonts w:cs="Calibri"/>
                <w:color w:val="000000"/>
                <w:szCs w:val="22"/>
              </w:rPr>
              <w:t>North Central</w:t>
            </w:r>
          </w:p>
        </w:tc>
        <w:tc>
          <w:tcPr>
            <w:tcW w:w="580" w:type="dxa"/>
            <w:tcBorders>
              <w:top w:val="nil"/>
              <w:left w:val="nil"/>
              <w:bottom w:val="single" w:sz="4" w:space="0" w:color="auto"/>
              <w:right w:val="single" w:sz="8" w:space="0" w:color="auto"/>
            </w:tcBorders>
            <w:shd w:val="clear" w:color="auto" w:fill="auto"/>
            <w:noWrap/>
            <w:vAlign w:val="center"/>
            <w:hideMark/>
          </w:tcPr>
          <w:p w14:paraId="305E10FF" w14:textId="77777777" w:rsidR="006C662B" w:rsidRPr="006C662B" w:rsidRDefault="006C662B" w:rsidP="006C662B">
            <w:pPr>
              <w:jc w:val="center"/>
              <w:rPr>
                <w:rFonts w:cs="Calibri"/>
                <w:szCs w:val="22"/>
              </w:rPr>
            </w:pPr>
            <w:r w:rsidRPr="006C662B">
              <w:rPr>
                <w:rFonts w:cs="Calibri"/>
                <w:szCs w:val="22"/>
              </w:rPr>
              <w:t>4</w:t>
            </w:r>
          </w:p>
        </w:tc>
        <w:tc>
          <w:tcPr>
            <w:tcW w:w="2188" w:type="dxa"/>
            <w:tcBorders>
              <w:top w:val="nil"/>
              <w:left w:val="nil"/>
              <w:bottom w:val="single" w:sz="4" w:space="0" w:color="auto"/>
              <w:right w:val="single" w:sz="4" w:space="0" w:color="auto"/>
            </w:tcBorders>
            <w:shd w:val="clear" w:color="auto" w:fill="auto"/>
            <w:noWrap/>
            <w:vAlign w:val="center"/>
            <w:hideMark/>
          </w:tcPr>
          <w:p w14:paraId="23BEE3C6" w14:textId="2D2E4104" w:rsidR="006C662B" w:rsidRPr="006C662B" w:rsidRDefault="006C662B" w:rsidP="00AE52EC">
            <w:pPr>
              <w:jc w:val="center"/>
              <w:rPr>
                <w:rFonts w:cs="Calibri"/>
                <w:color w:val="000000"/>
                <w:szCs w:val="22"/>
              </w:rPr>
            </w:pPr>
            <w:r w:rsidRPr="006C662B">
              <w:rPr>
                <w:rFonts w:cs="Calibri"/>
                <w:color w:val="000000"/>
                <w:szCs w:val="22"/>
              </w:rPr>
              <w:t>$</w:t>
            </w:r>
            <w:r w:rsidR="00591F86">
              <w:rPr>
                <w:rFonts w:cs="Calibri"/>
                <w:color w:val="000000"/>
                <w:szCs w:val="22"/>
              </w:rPr>
              <w:t>52,314,223</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6D34F44D" w14:textId="2C6733E0" w:rsidR="006C662B" w:rsidRPr="006C662B" w:rsidRDefault="006C662B" w:rsidP="00AE52EC">
            <w:pPr>
              <w:jc w:val="center"/>
              <w:rPr>
                <w:rFonts w:cs="Calibri"/>
                <w:color w:val="000000"/>
                <w:szCs w:val="22"/>
              </w:rPr>
            </w:pPr>
            <w:r w:rsidRPr="006C662B">
              <w:rPr>
                <w:rFonts w:cs="Calibri"/>
                <w:color w:val="000000"/>
                <w:szCs w:val="22"/>
              </w:rPr>
              <w:t>$</w:t>
            </w:r>
            <w:r w:rsidR="00591F86">
              <w:rPr>
                <w:rFonts w:cs="Calibri"/>
                <w:color w:val="000000"/>
                <w:szCs w:val="22"/>
              </w:rPr>
              <w:t>1,</w:t>
            </w:r>
            <w:r w:rsidR="00864F68">
              <w:rPr>
                <w:rFonts w:cs="Calibri"/>
                <w:color w:val="000000"/>
                <w:szCs w:val="22"/>
              </w:rPr>
              <w:t>046,284</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238D11DB" w14:textId="62810247" w:rsidR="006C662B" w:rsidRPr="006C662B" w:rsidRDefault="006C662B" w:rsidP="00AE52EC">
            <w:pPr>
              <w:jc w:val="center"/>
              <w:rPr>
                <w:rFonts w:cs="Calibri"/>
                <w:color w:val="000000"/>
                <w:szCs w:val="22"/>
              </w:rPr>
            </w:pPr>
            <w:r w:rsidRPr="006C662B">
              <w:rPr>
                <w:rFonts w:cs="Calibri"/>
                <w:color w:val="000000"/>
                <w:szCs w:val="22"/>
              </w:rPr>
              <w:t>$</w:t>
            </w:r>
            <w:r w:rsidR="00864F68">
              <w:rPr>
                <w:rFonts w:cs="Calibri"/>
                <w:color w:val="000000"/>
                <w:szCs w:val="22"/>
              </w:rPr>
              <w:t>51,267,939</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75F2B6FA" w14:textId="0A41571B" w:rsidR="006C662B" w:rsidRPr="006C662B" w:rsidRDefault="006C662B" w:rsidP="00AE52EC">
            <w:pPr>
              <w:jc w:val="center"/>
              <w:rPr>
                <w:rFonts w:cs="Calibri"/>
                <w:color w:val="000000"/>
                <w:szCs w:val="22"/>
              </w:rPr>
            </w:pPr>
            <w:r w:rsidRPr="006C662B">
              <w:rPr>
                <w:rFonts w:cs="Calibri"/>
                <w:color w:val="000000"/>
                <w:szCs w:val="22"/>
              </w:rPr>
              <w:t>$1,826,192</w:t>
            </w:r>
          </w:p>
        </w:tc>
        <w:tc>
          <w:tcPr>
            <w:tcW w:w="2440" w:type="dxa"/>
            <w:tcBorders>
              <w:top w:val="nil"/>
              <w:left w:val="single" w:sz="4" w:space="0" w:color="auto"/>
              <w:bottom w:val="single" w:sz="4" w:space="0" w:color="auto"/>
              <w:right w:val="single" w:sz="8" w:space="0" w:color="auto"/>
            </w:tcBorders>
            <w:shd w:val="clear" w:color="auto" w:fill="auto"/>
            <w:noWrap/>
            <w:vAlign w:val="center"/>
            <w:hideMark/>
          </w:tcPr>
          <w:p w14:paraId="7B628C67" w14:textId="07B75D36" w:rsidR="006C662B" w:rsidRPr="006C662B" w:rsidRDefault="006C662B" w:rsidP="00AE52EC">
            <w:pPr>
              <w:jc w:val="center"/>
              <w:rPr>
                <w:rFonts w:cs="Calibri"/>
                <w:color w:val="000000"/>
                <w:szCs w:val="22"/>
              </w:rPr>
            </w:pPr>
            <w:r w:rsidRPr="006C662B">
              <w:rPr>
                <w:rFonts w:cs="Calibri"/>
                <w:color w:val="000000"/>
                <w:szCs w:val="22"/>
              </w:rPr>
              <w:t>$4</w:t>
            </w:r>
            <w:r w:rsidR="00864F68">
              <w:rPr>
                <w:rFonts w:cs="Calibri"/>
                <w:color w:val="000000"/>
                <w:szCs w:val="22"/>
              </w:rPr>
              <w:t>9</w:t>
            </w:r>
            <w:r w:rsidRPr="006C662B">
              <w:rPr>
                <w:rFonts w:cs="Calibri"/>
                <w:color w:val="000000"/>
                <w:szCs w:val="22"/>
              </w:rPr>
              <w:t>,</w:t>
            </w:r>
            <w:r w:rsidR="00864F68">
              <w:rPr>
                <w:rFonts w:cs="Calibri"/>
                <w:color w:val="000000"/>
                <w:szCs w:val="22"/>
              </w:rPr>
              <w:t>44</w:t>
            </w:r>
            <w:r w:rsidRPr="006C662B">
              <w:rPr>
                <w:rFonts w:cs="Calibri"/>
                <w:color w:val="000000"/>
                <w:szCs w:val="22"/>
              </w:rPr>
              <w:t>1,</w:t>
            </w:r>
            <w:r w:rsidR="00864F68">
              <w:rPr>
                <w:rFonts w:cs="Calibri"/>
                <w:color w:val="000000"/>
                <w:szCs w:val="22"/>
              </w:rPr>
              <w:t>747</w:t>
            </w:r>
          </w:p>
        </w:tc>
      </w:tr>
      <w:tr w:rsidR="006C662B" w:rsidRPr="006C662B" w14:paraId="26D17AEF" w14:textId="77777777" w:rsidTr="00AE52EC">
        <w:trPr>
          <w:trHeight w:val="30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14:paraId="42196B3C" w14:textId="77777777" w:rsidR="006C662B" w:rsidRPr="006C662B" w:rsidRDefault="006C662B" w:rsidP="006C662B">
            <w:pPr>
              <w:rPr>
                <w:rFonts w:cs="Calibri"/>
                <w:color w:val="000000"/>
                <w:szCs w:val="22"/>
              </w:rPr>
            </w:pPr>
            <w:r w:rsidRPr="006C662B">
              <w:rPr>
                <w:rFonts w:cs="Calibri"/>
                <w:color w:val="000000"/>
                <w:szCs w:val="22"/>
              </w:rPr>
              <w:t>Tarrant County</w:t>
            </w:r>
          </w:p>
        </w:tc>
        <w:tc>
          <w:tcPr>
            <w:tcW w:w="580" w:type="dxa"/>
            <w:tcBorders>
              <w:top w:val="nil"/>
              <w:left w:val="nil"/>
              <w:bottom w:val="single" w:sz="4" w:space="0" w:color="auto"/>
              <w:right w:val="single" w:sz="8" w:space="0" w:color="auto"/>
            </w:tcBorders>
            <w:shd w:val="clear" w:color="auto" w:fill="auto"/>
            <w:noWrap/>
            <w:vAlign w:val="center"/>
            <w:hideMark/>
          </w:tcPr>
          <w:p w14:paraId="6433AD45" w14:textId="77777777" w:rsidR="006C662B" w:rsidRPr="006C662B" w:rsidRDefault="006C662B" w:rsidP="006C662B">
            <w:pPr>
              <w:jc w:val="center"/>
              <w:rPr>
                <w:rFonts w:cs="Calibri"/>
                <w:szCs w:val="22"/>
              </w:rPr>
            </w:pPr>
            <w:r w:rsidRPr="006C662B">
              <w:rPr>
                <w:rFonts w:cs="Calibri"/>
                <w:szCs w:val="22"/>
              </w:rPr>
              <w:t>5</w:t>
            </w:r>
          </w:p>
        </w:tc>
        <w:tc>
          <w:tcPr>
            <w:tcW w:w="2188" w:type="dxa"/>
            <w:tcBorders>
              <w:top w:val="nil"/>
              <w:left w:val="nil"/>
              <w:bottom w:val="single" w:sz="4" w:space="0" w:color="auto"/>
              <w:right w:val="single" w:sz="4" w:space="0" w:color="auto"/>
            </w:tcBorders>
            <w:shd w:val="clear" w:color="auto" w:fill="auto"/>
            <w:noWrap/>
            <w:vAlign w:val="center"/>
            <w:hideMark/>
          </w:tcPr>
          <w:p w14:paraId="2D8B0D0E" w14:textId="207F8F26" w:rsidR="006C662B" w:rsidRPr="006C662B" w:rsidRDefault="006C662B" w:rsidP="00AE52EC">
            <w:pPr>
              <w:jc w:val="center"/>
              <w:rPr>
                <w:rFonts w:cs="Calibri"/>
                <w:color w:val="000000"/>
                <w:szCs w:val="22"/>
              </w:rPr>
            </w:pPr>
            <w:r w:rsidRPr="006C662B">
              <w:rPr>
                <w:rFonts w:cs="Calibri"/>
                <w:color w:val="000000"/>
                <w:szCs w:val="22"/>
              </w:rPr>
              <w:t>$49,570,639</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4A809585" w14:textId="77777777" w:rsidR="006C662B" w:rsidRPr="006C662B" w:rsidRDefault="006C662B" w:rsidP="00AE52EC">
            <w:pPr>
              <w:jc w:val="center"/>
              <w:rPr>
                <w:rFonts w:cs="Calibri"/>
                <w:color w:val="000000"/>
                <w:szCs w:val="22"/>
              </w:rPr>
            </w:pPr>
            <w:r w:rsidRPr="006C662B">
              <w:rPr>
                <w:rFonts w:cs="Calibri"/>
                <w:color w:val="000000"/>
                <w:szCs w:val="22"/>
              </w:rPr>
              <w:t>$991,413</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41F4FB70" w14:textId="58A376ED" w:rsidR="006C662B" w:rsidRPr="006C662B" w:rsidRDefault="006C662B" w:rsidP="00AE52EC">
            <w:pPr>
              <w:jc w:val="center"/>
              <w:rPr>
                <w:rFonts w:cs="Calibri"/>
                <w:color w:val="000000"/>
                <w:szCs w:val="22"/>
              </w:rPr>
            </w:pPr>
            <w:r w:rsidRPr="006C662B">
              <w:rPr>
                <w:rFonts w:cs="Calibri"/>
                <w:color w:val="000000"/>
                <w:szCs w:val="22"/>
              </w:rPr>
              <w:t>$48,579,226</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6E5ED5A5" w14:textId="12163EF0" w:rsidR="006C662B" w:rsidRPr="006C662B" w:rsidRDefault="006C662B" w:rsidP="00AE52EC">
            <w:pPr>
              <w:jc w:val="center"/>
              <w:rPr>
                <w:rFonts w:cs="Calibri"/>
                <w:color w:val="000000"/>
                <w:szCs w:val="22"/>
              </w:rPr>
            </w:pPr>
            <w:r w:rsidRPr="006C662B">
              <w:rPr>
                <w:rFonts w:cs="Calibri"/>
                <w:color w:val="000000"/>
                <w:szCs w:val="22"/>
              </w:rPr>
              <w:t>$1,277,083</w:t>
            </w:r>
          </w:p>
        </w:tc>
        <w:tc>
          <w:tcPr>
            <w:tcW w:w="2440" w:type="dxa"/>
            <w:tcBorders>
              <w:top w:val="nil"/>
              <w:left w:val="single" w:sz="4" w:space="0" w:color="auto"/>
              <w:bottom w:val="single" w:sz="4" w:space="0" w:color="auto"/>
              <w:right w:val="single" w:sz="8" w:space="0" w:color="auto"/>
            </w:tcBorders>
            <w:shd w:val="clear" w:color="auto" w:fill="auto"/>
            <w:noWrap/>
            <w:vAlign w:val="center"/>
            <w:hideMark/>
          </w:tcPr>
          <w:p w14:paraId="4737129A" w14:textId="5B569057" w:rsidR="006C662B" w:rsidRPr="006C662B" w:rsidRDefault="006C662B" w:rsidP="00AE52EC">
            <w:pPr>
              <w:jc w:val="center"/>
              <w:rPr>
                <w:rFonts w:cs="Calibri"/>
                <w:color w:val="000000"/>
                <w:szCs w:val="22"/>
              </w:rPr>
            </w:pPr>
            <w:r w:rsidRPr="006C662B">
              <w:rPr>
                <w:rFonts w:cs="Calibri"/>
                <w:color w:val="000000"/>
                <w:szCs w:val="22"/>
              </w:rPr>
              <w:t>$47,302,143</w:t>
            </w:r>
          </w:p>
        </w:tc>
      </w:tr>
      <w:tr w:rsidR="006C662B" w:rsidRPr="006C662B" w14:paraId="1343B58D" w14:textId="77777777" w:rsidTr="00AE52EC">
        <w:trPr>
          <w:trHeight w:val="30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14:paraId="4D65E642" w14:textId="77777777" w:rsidR="006C662B" w:rsidRPr="006C662B" w:rsidRDefault="006C662B" w:rsidP="006C662B">
            <w:pPr>
              <w:rPr>
                <w:rFonts w:cs="Calibri"/>
                <w:color w:val="000000"/>
                <w:szCs w:val="22"/>
              </w:rPr>
            </w:pPr>
            <w:r w:rsidRPr="006C662B">
              <w:rPr>
                <w:rFonts w:cs="Calibri"/>
                <w:color w:val="000000"/>
                <w:szCs w:val="22"/>
              </w:rPr>
              <w:t>Dallas County</w:t>
            </w:r>
          </w:p>
        </w:tc>
        <w:tc>
          <w:tcPr>
            <w:tcW w:w="580" w:type="dxa"/>
            <w:tcBorders>
              <w:top w:val="nil"/>
              <w:left w:val="nil"/>
              <w:bottom w:val="single" w:sz="4" w:space="0" w:color="auto"/>
              <w:right w:val="single" w:sz="8" w:space="0" w:color="auto"/>
            </w:tcBorders>
            <w:shd w:val="clear" w:color="auto" w:fill="auto"/>
            <w:noWrap/>
            <w:vAlign w:val="center"/>
            <w:hideMark/>
          </w:tcPr>
          <w:p w14:paraId="593F5E19" w14:textId="77777777" w:rsidR="006C662B" w:rsidRPr="006C662B" w:rsidRDefault="006C662B" w:rsidP="006C662B">
            <w:pPr>
              <w:jc w:val="center"/>
              <w:rPr>
                <w:rFonts w:cs="Calibri"/>
                <w:szCs w:val="22"/>
              </w:rPr>
            </w:pPr>
            <w:r w:rsidRPr="006C662B">
              <w:rPr>
                <w:rFonts w:cs="Calibri"/>
                <w:szCs w:val="22"/>
              </w:rPr>
              <w:t>6</w:t>
            </w:r>
          </w:p>
        </w:tc>
        <w:tc>
          <w:tcPr>
            <w:tcW w:w="2188" w:type="dxa"/>
            <w:tcBorders>
              <w:top w:val="nil"/>
              <w:left w:val="nil"/>
              <w:bottom w:val="single" w:sz="4" w:space="0" w:color="auto"/>
              <w:right w:val="single" w:sz="4" w:space="0" w:color="auto"/>
            </w:tcBorders>
            <w:shd w:val="clear" w:color="auto" w:fill="auto"/>
            <w:noWrap/>
            <w:vAlign w:val="center"/>
            <w:hideMark/>
          </w:tcPr>
          <w:p w14:paraId="6F09C30A" w14:textId="22EC3911" w:rsidR="006C662B" w:rsidRPr="006C662B" w:rsidRDefault="006C662B" w:rsidP="00AE52EC">
            <w:pPr>
              <w:jc w:val="center"/>
              <w:rPr>
                <w:rFonts w:cs="Calibri"/>
                <w:color w:val="000000"/>
                <w:szCs w:val="22"/>
              </w:rPr>
            </w:pPr>
            <w:r w:rsidRPr="006C662B">
              <w:rPr>
                <w:rFonts w:cs="Calibri"/>
                <w:color w:val="000000"/>
                <w:szCs w:val="22"/>
              </w:rPr>
              <w:t>$</w:t>
            </w:r>
            <w:r w:rsidR="00864F68">
              <w:rPr>
                <w:rFonts w:cs="Calibri"/>
                <w:color w:val="000000"/>
                <w:szCs w:val="22"/>
              </w:rPr>
              <w:t>91,004,946</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648C4E4B" w14:textId="2F86AC72" w:rsidR="006C662B" w:rsidRPr="006C662B" w:rsidRDefault="006C662B" w:rsidP="00AE52EC">
            <w:pPr>
              <w:jc w:val="center"/>
              <w:rPr>
                <w:rFonts w:cs="Calibri"/>
                <w:color w:val="000000"/>
                <w:szCs w:val="22"/>
              </w:rPr>
            </w:pPr>
            <w:r w:rsidRPr="006C662B">
              <w:rPr>
                <w:rFonts w:cs="Calibri"/>
                <w:color w:val="000000"/>
                <w:szCs w:val="22"/>
              </w:rPr>
              <w:t>$1,8</w:t>
            </w:r>
            <w:r w:rsidR="00C032E6">
              <w:rPr>
                <w:rFonts w:cs="Calibri"/>
                <w:color w:val="000000"/>
                <w:szCs w:val="22"/>
              </w:rPr>
              <w:t>2</w:t>
            </w:r>
            <w:r w:rsidRPr="006C662B">
              <w:rPr>
                <w:rFonts w:cs="Calibri"/>
                <w:color w:val="000000"/>
                <w:szCs w:val="22"/>
              </w:rPr>
              <w:t>0,099</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75A4703B" w14:textId="5B560463" w:rsidR="006C662B" w:rsidRPr="006C662B" w:rsidRDefault="006C662B" w:rsidP="00AE52EC">
            <w:pPr>
              <w:jc w:val="center"/>
              <w:rPr>
                <w:rFonts w:cs="Calibri"/>
                <w:color w:val="000000"/>
                <w:szCs w:val="22"/>
              </w:rPr>
            </w:pPr>
            <w:r w:rsidRPr="006C662B">
              <w:rPr>
                <w:rFonts w:cs="Calibri"/>
                <w:color w:val="000000"/>
                <w:szCs w:val="22"/>
              </w:rPr>
              <w:t>$</w:t>
            </w:r>
            <w:r w:rsidR="00C032E6">
              <w:rPr>
                <w:rFonts w:cs="Calibri"/>
                <w:color w:val="000000"/>
                <w:szCs w:val="22"/>
              </w:rPr>
              <w:t>89</w:t>
            </w:r>
            <w:r w:rsidRPr="006C662B">
              <w:rPr>
                <w:rFonts w:cs="Calibri"/>
                <w:color w:val="000000"/>
                <w:szCs w:val="22"/>
              </w:rPr>
              <w:t>,</w:t>
            </w:r>
            <w:r w:rsidR="00C032E6">
              <w:rPr>
                <w:rFonts w:cs="Calibri"/>
                <w:color w:val="000000"/>
                <w:szCs w:val="22"/>
              </w:rPr>
              <w:t>184</w:t>
            </w:r>
            <w:r w:rsidRPr="006C662B">
              <w:rPr>
                <w:rFonts w:cs="Calibri"/>
                <w:color w:val="000000"/>
                <w:szCs w:val="22"/>
              </w:rPr>
              <w:t>,847</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4072713C" w14:textId="0DF3212F" w:rsidR="006C662B" w:rsidRPr="006C662B" w:rsidRDefault="006C662B" w:rsidP="00AE52EC">
            <w:pPr>
              <w:jc w:val="center"/>
              <w:rPr>
                <w:rFonts w:cs="Calibri"/>
                <w:color w:val="000000"/>
                <w:szCs w:val="22"/>
              </w:rPr>
            </w:pPr>
            <w:r w:rsidRPr="006C662B">
              <w:rPr>
                <w:rFonts w:cs="Calibri"/>
                <w:color w:val="000000"/>
                <w:szCs w:val="22"/>
              </w:rPr>
              <w:t>$1,181,974</w:t>
            </w:r>
          </w:p>
        </w:tc>
        <w:tc>
          <w:tcPr>
            <w:tcW w:w="2440" w:type="dxa"/>
            <w:tcBorders>
              <w:top w:val="nil"/>
              <w:left w:val="single" w:sz="4" w:space="0" w:color="auto"/>
              <w:bottom w:val="single" w:sz="4" w:space="0" w:color="auto"/>
              <w:right w:val="single" w:sz="8" w:space="0" w:color="auto"/>
            </w:tcBorders>
            <w:shd w:val="clear" w:color="auto" w:fill="auto"/>
            <w:noWrap/>
            <w:vAlign w:val="center"/>
            <w:hideMark/>
          </w:tcPr>
          <w:p w14:paraId="016ED08F" w14:textId="434CCC09" w:rsidR="006C662B" w:rsidRPr="006C662B" w:rsidRDefault="006C662B" w:rsidP="00AE52EC">
            <w:pPr>
              <w:jc w:val="center"/>
              <w:rPr>
                <w:rFonts w:cs="Calibri"/>
                <w:color w:val="000000"/>
                <w:szCs w:val="22"/>
              </w:rPr>
            </w:pPr>
            <w:r w:rsidRPr="006C662B">
              <w:rPr>
                <w:rFonts w:cs="Calibri"/>
                <w:color w:val="000000"/>
                <w:szCs w:val="22"/>
              </w:rPr>
              <w:t>$</w:t>
            </w:r>
            <w:r w:rsidR="00C032E6">
              <w:rPr>
                <w:rFonts w:cs="Calibri"/>
                <w:color w:val="000000"/>
                <w:szCs w:val="22"/>
              </w:rPr>
              <w:t>88</w:t>
            </w:r>
            <w:r w:rsidRPr="006C662B">
              <w:rPr>
                <w:rFonts w:cs="Calibri"/>
                <w:color w:val="000000"/>
                <w:szCs w:val="22"/>
              </w:rPr>
              <w:t>,</w:t>
            </w:r>
            <w:r w:rsidR="00C032E6">
              <w:rPr>
                <w:rFonts w:cs="Calibri"/>
                <w:color w:val="000000"/>
                <w:szCs w:val="22"/>
              </w:rPr>
              <w:t>002</w:t>
            </w:r>
            <w:r w:rsidRPr="006C662B">
              <w:rPr>
                <w:rFonts w:cs="Calibri"/>
                <w:color w:val="000000"/>
                <w:szCs w:val="22"/>
              </w:rPr>
              <w:t>,873</w:t>
            </w:r>
          </w:p>
        </w:tc>
      </w:tr>
      <w:tr w:rsidR="006C662B" w:rsidRPr="006C662B" w14:paraId="4B45DD41" w14:textId="77777777" w:rsidTr="00AE52EC">
        <w:trPr>
          <w:trHeight w:val="30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14:paraId="27988D29" w14:textId="77777777" w:rsidR="006C662B" w:rsidRPr="006C662B" w:rsidRDefault="006C662B" w:rsidP="006C662B">
            <w:pPr>
              <w:rPr>
                <w:rFonts w:cs="Calibri"/>
                <w:color w:val="000000"/>
                <w:szCs w:val="22"/>
              </w:rPr>
            </w:pPr>
            <w:r w:rsidRPr="006C662B">
              <w:rPr>
                <w:rFonts w:cs="Calibri"/>
                <w:color w:val="000000"/>
                <w:szCs w:val="22"/>
              </w:rPr>
              <w:t>North East</w:t>
            </w:r>
          </w:p>
        </w:tc>
        <w:tc>
          <w:tcPr>
            <w:tcW w:w="580" w:type="dxa"/>
            <w:tcBorders>
              <w:top w:val="nil"/>
              <w:left w:val="nil"/>
              <w:bottom w:val="single" w:sz="4" w:space="0" w:color="auto"/>
              <w:right w:val="single" w:sz="8" w:space="0" w:color="auto"/>
            </w:tcBorders>
            <w:shd w:val="clear" w:color="auto" w:fill="auto"/>
            <w:noWrap/>
            <w:vAlign w:val="center"/>
            <w:hideMark/>
          </w:tcPr>
          <w:p w14:paraId="226C1FF2" w14:textId="77777777" w:rsidR="006C662B" w:rsidRPr="006C662B" w:rsidRDefault="006C662B" w:rsidP="006C662B">
            <w:pPr>
              <w:jc w:val="center"/>
              <w:rPr>
                <w:rFonts w:cs="Calibri"/>
                <w:szCs w:val="22"/>
              </w:rPr>
            </w:pPr>
            <w:r w:rsidRPr="006C662B">
              <w:rPr>
                <w:rFonts w:cs="Calibri"/>
                <w:szCs w:val="22"/>
              </w:rPr>
              <w:t>7</w:t>
            </w:r>
          </w:p>
        </w:tc>
        <w:tc>
          <w:tcPr>
            <w:tcW w:w="2188" w:type="dxa"/>
            <w:tcBorders>
              <w:top w:val="nil"/>
              <w:left w:val="nil"/>
              <w:bottom w:val="single" w:sz="4" w:space="0" w:color="auto"/>
              <w:right w:val="single" w:sz="4" w:space="0" w:color="auto"/>
            </w:tcBorders>
            <w:shd w:val="clear" w:color="auto" w:fill="auto"/>
            <w:noWrap/>
            <w:vAlign w:val="center"/>
            <w:hideMark/>
          </w:tcPr>
          <w:p w14:paraId="29125208" w14:textId="743C4571" w:rsidR="006C662B" w:rsidRPr="006C662B" w:rsidRDefault="006C662B" w:rsidP="00AE52EC">
            <w:pPr>
              <w:jc w:val="center"/>
              <w:rPr>
                <w:rFonts w:cs="Calibri"/>
                <w:color w:val="000000"/>
                <w:szCs w:val="22"/>
              </w:rPr>
            </w:pPr>
            <w:r w:rsidRPr="006C662B">
              <w:rPr>
                <w:rFonts w:cs="Calibri"/>
                <w:color w:val="000000"/>
                <w:szCs w:val="22"/>
              </w:rPr>
              <w:t>$7,586,522</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3EE1C733" w14:textId="77777777" w:rsidR="006C662B" w:rsidRPr="006C662B" w:rsidRDefault="006C662B" w:rsidP="00AE52EC">
            <w:pPr>
              <w:jc w:val="center"/>
              <w:rPr>
                <w:rFonts w:cs="Calibri"/>
                <w:color w:val="000000"/>
                <w:szCs w:val="22"/>
              </w:rPr>
            </w:pPr>
            <w:r w:rsidRPr="006C662B">
              <w:rPr>
                <w:rFonts w:cs="Calibri"/>
                <w:color w:val="000000"/>
                <w:szCs w:val="22"/>
              </w:rPr>
              <w:t>$151,731</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76A3B9E4" w14:textId="4740E787" w:rsidR="006C662B" w:rsidRPr="006C662B" w:rsidRDefault="006C662B" w:rsidP="00AE52EC">
            <w:pPr>
              <w:jc w:val="center"/>
              <w:rPr>
                <w:rFonts w:cs="Calibri"/>
                <w:color w:val="000000"/>
                <w:szCs w:val="22"/>
              </w:rPr>
            </w:pPr>
            <w:r w:rsidRPr="006C662B">
              <w:rPr>
                <w:rFonts w:cs="Calibri"/>
                <w:color w:val="000000"/>
                <w:szCs w:val="22"/>
              </w:rPr>
              <w:t>$7,434,791</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021F5791" w14:textId="1FFEFA0A" w:rsidR="006C662B" w:rsidRPr="006C662B" w:rsidRDefault="006C662B" w:rsidP="00AE52EC">
            <w:pPr>
              <w:jc w:val="center"/>
              <w:rPr>
                <w:rFonts w:cs="Calibri"/>
                <w:color w:val="000000"/>
                <w:szCs w:val="22"/>
              </w:rPr>
            </w:pPr>
            <w:r w:rsidRPr="006C662B">
              <w:rPr>
                <w:rFonts w:cs="Calibri"/>
                <w:color w:val="000000"/>
                <w:szCs w:val="22"/>
              </w:rPr>
              <w:t>$263,227</w:t>
            </w:r>
          </w:p>
        </w:tc>
        <w:tc>
          <w:tcPr>
            <w:tcW w:w="2440" w:type="dxa"/>
            <w:tcBorders>
              <w:top w:val="nil"/>
              <w:left w:val="single" w:sz="4" w:space="0" w:color="auto"/>
              <w:bottom w:val="single" w:sz="4" w:space="0" w:color="auto"/>
              <w:right w:val="single" w:sz="8" w:space="0" w:color="auto"/>
            </w:tcBorders>
            <w:shd w:val="clear" w:color="auto" w:fill="auto"/>
            <w:noWrap/>
            <w:vAlign w:val="center"/>
            <w:hideMark/>
          </w:tcPr>
          <w:p w14:paraId="076F1358" w14:textId="13CB1CDD" w:rsidR="006C662B" w:rsidRPr="006C662B" w:rsidRDefault="006C662B" w:rsidP="00AE52EC">
            <w:pPr>
              <w:jc w:val="center"/>
              <w:rPr>
                <w:rFonts w:cs="Calibri"/>
                <w:color w:val="000000"/>
                <w:szCs w:val="22"/>
              </w:rPr>
            </w:pPr>
            <w:r w:rsidRPr="006C662B">
              <w:rPr>
                <w:rFonts w:cs="Calibri"/>
                <w:color w:val="000000"/>
                <w:szCs w:val="22"/>
              </w:rPr>
              <w:t>$7,171,564</w:t>
            </w:r>
          </w:p>
        </w:tc>
      </w:tr>
      <w:tr w:rsidR="006C662B" w:rsidRPr="006C662B" w14:paraId="5A05875F" w14:textId="77777777" w:rsidTr="00AE52EC">
        <w:trPr>
          <w:trHeight w:val="30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14:paraId="5245DF9E" w14:textId="77777777" w:rsidR="006C662B" w:rsidRPr="006C662B" w:rsidRDefault="006C662B" w:rsidP="006C662B">
            <w:pPr>
              <w:rPr>
                <w:rFonts w:cs="Calibri"/>
                <w:color w:val="000000"/>
                <w:szCs w:val="22"/>
              </w:rPr>
            </w:pPr>
            <w:r w:rsidRPr="006C662B">
              <w:rPr>
                <w:rFonts w:cs="Calibri"/>
                <w:color w:val="000000"/>
                <w:szCs w:val="22"/>
              </w:rPr>
              <w:t>East Texas</w:t>
            </w:r>
          </w:p>
        </w:tc>
        <w:tc>
          <w:tcPr>
            <w:tcW w:w="580" w:type="dxa"/>
            <w:tcBorders>
              <w:top w:val="nil"/>
              <w:left w:val="nil"/>
              <w:bottom w:val="single" w:sz="4" w:space="0" w:color="auto"/>
              <w:right w:val="single" w:sz="8" w:space="0" w:color="auto"/>
            </w:tcBorders>
            <w:shd w:val="clear" w:color="auto" w:fill="auto"/>
            <w:noWrap/>
            <w:vAlign w:val="center"/>
            <w:hideMark/>
          </w:tcPr>
          <w:p w14:paraId="5DA09939" w14:textId="77777777" w:rsidR="006C662B" w:rsidRPr="006C662B" w:rsidRDefault="006C662B" w:rsidP="006C662B">
            <w:pPr>
              <w:jc w:val="center"/>
              <w:rPr>
                <w:rFonts w:cs="Calibri"/>
                <w:szCs w:val="22"/>
              </w:rPr>
            </w:pPr>
            <w:r w:rsidRPr="006C662B">
              <w:rPr>
                <w:rFonts w:cs="Calibri"/>
                <w:szCs w:val="22"/>
              </w:rPr>
              <w:t>8</w:t>
            </w:r>
          </w:p>
        </w:tc>
        <w:tc>
          <w:tcPr>
            <w:tcW w:w="2188" w:type="dxa"/>
            <w:tcBorders>
              <w:top w:val="nil"/>
              <w:left w:val="nil"/>
              <w:bottom w:val="single" w:sz="4" w:space="0" w:color="auto"/>
              <w:right w:val="single" w:sz="4" w:space="0" w:color="auto"/>
            </w:tcBorders>
            <w:shd w:val="clear" w:color="auto" w:fill="auto"/>
            <w:noWrap/>
            <w:vAlign w:val="center"/>
            <w:hideMark/>
          </w:tcPr>
          <w:p w14:paraId="7522FDF7" w14:textId="721F0BD8" w:rsidR="006C662B" w:rsidRPr="006C662B" w:rsidRDefault="006C662B" w:rsidP="00AE52EC">
            <w:pPr>
              <w:jc w:val="center"/>
              <w:rPr>
                <w:rFonts w:cs="Calibri"/>
                <w:color w:val="000000"/>
                <w:szCs w:val="22"/>
              </w:rPr>
            </w:pPr>
            <w:r w:rsidRPr="006C662B">
              <w:rPr>
                <w:rFonts w:cs="Calibri"/>
                <w:color w:val="000000"/>
                <w:szCs w:val="22"/>
              </w:rPr>
              <w:t>$21,111,992</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5A75D9E6" w14:textId="77777777" w:rsidR="006C662B" w:rsidRPr="006C662B" w:rsidRDefault="006C662B" w:rsidP="00AE52EC">
            <w:pPr>
              <w:jc w:val="center"/>
              <w:rPr>
                <w:rFonts w:cs="Calibri"/>
                <w:color w:val="000000"/>
                <w:szCs w:val="22"/>
              </w:rPr>
            </w:pPr>
            <w:r w:rsidRPr="006C662B">
              <w:rPr>
                <w:rFonts w:cs="Calibri"/>
                <w:color w:val="000000"/>
                <w:szCs w:val="22"/>
              </w:rPr>
              <w:t>$422,240</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76353F6B" w14:textId="2C165B33" w:rsidR="006C662B" w:rsidRPr="006C662B" w:rsidRDefault="006C662B" w:rsidP="00AE52EC">
            <w:pPr>
              <w:jc w:val="center"/>
              <w:rPr>
                <w:rFonts w:cs="Calibri"/>
                <w:color w:val="000000"/>
                <w:szCs w:val="22"/>
              </w:rPr>
            </w:pPr>
            <w:r w:rsidRPr="006C662B">
              <w:rPr>
                <w:rFonts w:cs="Calibri"/>
                <w:color w:val="000000"/>
                <w:szCs w:val="22"/>
              </w:rPr>
              <w:t>$20,689,752</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73CED72A" w14:textId="70B58592" w:rsidR="006C662B" w:rsidRPr="006C662B" w:rsidRDefault="006C662B" w:rsidP="00AE52EC">
            <w:pPr>
              <w:jc w:val="center"/>
              <w:rPr>
                <w:rFonts w:cs="Calibri"/>
                <w:color w:val="000000"/>
                <w:szCs w:val="22"/>
              </w:rPr>
            </w:pPr>
            <w:r w:rsidRPr="006C662B">
              <w:rPr>
                <w:rFonts w:cs="Calibri"/>
                <w:color w:val="000000"/>
                <w:szCs w:val="22"/>
              </w:rPr>
              <w:t>$616,822</w:t>
            </w:r>
          </w:p>
        </w:tc>
        <w:tc>
          <w:tcPr>
            <w:tcW w:w="2440" w:type="dxa"/>
            <w:tcBorders>
              <w:top w:val="nil"/>
              <w:left w:val="single" w:sz="4" w:space="0" w:color="auto"/>
              <w:bottom w:val="single" w:sz="4" w:space="0" w:color="auto"/>
              <w:right w:val="single" w:sz="8" w:space="0" w:color="auto"/>
            </w:tcBorders>
            <w:shd w:val="clear" w:color="auto" w:fill="auto"/>
            <w:noWrap/>
            <w:vAlign w:val="center"/>
            <w:hideMark/>
          </w:tcPr>
          <w:p w14:paraId="61216AA8" w14:textId="7ED22E44" w:rsidR="006C662B" w:rsidRPr="006C662B" w:rsidRDefault="006C662B" w:rsidP="00AE52EC">
            <w:pPr>
              <w:jc w:val="center"/>
              <w:rPr>
                <w:rFonts w:cs="Calibri"/>
                <w:color w:val="000000"/>
                <w:szCs w:val="22"/>
              </w:rPr>
            </w:pPr>
            <w:r w:rsidRPr="006C662B">
              <w:rPr>
                <w:rFonts w:cs="Calibri"/>
                <w:color w:val="000000"/>
                <w:szCs w:val="22"/>
              </w:rPr>
              <w:t>$20,072,930</w:t>
            </w:r>
          </w:p>
        </w:tc>
      </w:tr>
      <w:tr w:rsidR="006C662B" w:rsidRPr="006C662B" w14:paraId="69935CEA" w14:textId="77777777" w:rsidTr="00AE52EC">
        <w:trPr>
          <w:trHeight w:val="30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14:paraId="21272746" w14:textId="77777777" w:rsidR="006C662B" w:rsidRPr="006C662B" w:rsidRDefault="006C662B" w:rsidP="006C662B">
            <w:pPr>
              <w:rPr>
                <w:rFonts w:cs="Calibri"/>
                <w:color w:val="000000"/>
                <w:szCs w:val="22"/>
              </w:rPr>
            </w:pPr>
            <w:r w:rsidRPr="006C662B">
              <w:rPr>
                <w:rFonts w:cs="Calibri"/>
                <w:color w:val="000000"/>
                <w:szCs w:val="22"/>
              </w:rPr>
              <w:t>West Central</w:t>
            </w:r>
          </w:p>
        </w:tc>
        <w:tc>
          <w:tcPr>
            <w:tcW w:w="580" w:type="dxa"/>
            <w:tcBorders>
              <w:top w:val="nil"/>
              <w:left w:val="nil"/>
              <w:bottom w:val="single" w:sz="4" w:space="0" w:color="auto"/>
              <w:right w:val="single" w:sz="8" w:space="0" w:color="auto"/>
            </w:tcBorders>
            <w:shd w:val="clear" w:color="auto" w:fill="auto"/>
            <w:noWrap/>
            <w:vAlign w:val="center"/>
            <w:hideMark/>
          </w:tcPr>
          <w:p w14:paraId="761A6126" w14:textId="77777777" w:rsidR="006C662B" w:rsidRPr="006C662B" w:rsidRDefault="006C662B" w:rsidP="006C662B">
            <w:pPr>
              <w:jc w:val="center"/>
              <w:rPr>
                <w:rFonts w:cs="Calibri"/>
                <w:szCs w:val="22"/>
              </w:rPr>
            </w:pPr>
            <w:r w:rsidRPr="006C662B">
              <w:rPr>
                <w:rFonts w:cs="Calibri"/>
                <w:szCs w:val="22"/>
              </w:rPr>
              <w:t>9</w:t>
            </w:r>
          </w:p>
        </w:tc>
        <w:tc>
          <w:tcPr>
            <w:tcW w:w="2188" w:type="dxa"/>
            <w:tcBorders>
              <w:top w:val="nil"/>
              <w:left w:val="nil"/>
              <w:bottom w:val="single" w:sz="4" w:space="0" w:color="auto"/>
              <w:right w:val="single" w:sz="4" w:space="0" w:color="auto"/>
            </w:tcBorders>
            <w:shd w:val="clear" w:color="auto" w:fill="auto"/>
            <w:noWrap/>
            <w:vAlign w:val="center"/>
            <w:hideMark/>
          </w:tcPr>
          <w:p w14:paraId="6D0DDBE6" w14:textId="6045ED33" w:rsidR="006C662B" w:rsidRPr="006C662B" w:rsidRDefault="006C662B" w:rsidP="00AE52EC">
            <w:pPr>
              <w:jc w:val="center"/>
              <w:rPr>
                <w:rFonts w:cs="Calibri"/>
                <w:color w:val="000000"/>
                <w:szCs w:val="22"/>
              </w:rPr>
            </w:pPr>
            <w:r w:rsidRPr="006C662B">
              <w:rPr>
                <w:rFonts w:cs="Calibri"/>
                <w:color w:val="000000"/>
                <w:szCs w:val="22"/>
              </w:rPr>
              <w:t>$7,617,013</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47B9F260" w14:textId="77777777" w:rsidR="006C662B" w:rsidRPr="006C662B" w:rsidRDefault="006C662B" w:rsidP="00AE52EC">
            <w:pPr>
              <w:jc w:val="center"/>
              <w:rPr>
                <w:rFonts w:cs="Calibri"/>
                <w:color w:val="000000"/>
                <w:szCs w:val="22"/>
              </w:rPr>
            </w:pPr>
            <w:r w:rsidRPr="006C662B">
              <w:rPr>
                <w:rFonts w:cs="Calibri"/>
                <w:color w:val="000000"/>
                <w:szCs w:val="22"/>
              </w:rPr>
              <w:t>$152,341</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43943566" w14:textId="5210B914" w:rsidR="006C662B" w:rsidRPr="006C662B" w:rsidRDefault="006C662B" w:rsidP="00AE52EC">
            <w:pPr>
              <w:jc w:val="center"/>
              <w:rPr>
                <w:rFonts w:cs="Calibri"/>
                <w:color w:val="000000"/>
                <w:szCs w:val="22"/>
              </w:rPr>
            </w:pPr>
            <w:r w:rsidRPr="006C662B">
              <w:rPr>
                <w:rFonts w:cs="Calibri"/>
                <w:color w:val="000000"/>
                <w:szCs w:val="22"/>
              </w:rPr>
              <w:t>$7,464,672</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27D172CE" w14:textId="66990530" w:rsidR="006C662B" w:rsidRPr="006C662B" w:rsidRDefault="006C662B" w:rsidP="00AE52EC">
            <w:pPr>
              <w:jc w:val="center"/>
              <w:rPr>
                <w:rFonts w:cs="Calibri"/>
                <w:color w:val="000000"/>
                <w:szCs w:val="22"/>
              </w:rPr>
            </w:pPr>
            <w:r w:rsidRPr="006C662B">
              <w:rPr>
                <w:rFonts w:cs="Calibri"/>
                <w:color w:val="000000"/>
                <w:szCs w:val="22"/>
              </w:rPr>
              <w:t>$329,321</w:t>
            </w:r>
          </w:p>
        </w:tc>
        <w:tc>
          <w:tcPr>
            <w:tcW w:w="2440" w:type="dxa"/>
            <w:tcBorders>
              <w:top w:val="nil"/>
              <w:left w:val="single" w:sz="4" w:space="0" w:color="auto"/>
              <w:bottom w:val="single" w:sz="4" w:space="0" w:color="auto"/>
              <w:right w:val="single" w:sz="8" w:space="0" w:color="auto"/>
            </w:tcBorders>
            <w:shd w:val="clear" w:color="auto" w:fill="auto"/>
            <w:noWrap/>
            <w:vAlign w:val="center"/>
            <w:hideMark/>
          </w:tcPr>
          <w:p w14:paraId="292E2021" w14:textId="1768E2DF" w:rsidR="006C662B" w:rsidRPr="006C662B" w:rsidRDefault="006C662B" w:rsidP="00AE52EC">
            <w:pPr>
              <w:jc w:val="center"/>
              <w:rPr>
                <w:rFonts w:cs="Calibri"/>
                <w:color w:val="000000"/>
                <w:szCs w:val="22"/>
              </w:rPr>
            </w:pPr>
            <w:r w:rsidRPr="006C662B">
              <w:rPr>
                <w:rFonts w:cs="Calibri"/>
                <w:color w:val="000000"/>
                <w:szCs w:val="22"/>
              </w:rPr>
              <w:t>$7,135,351</w:t>
            </w:r>
          </w:p>
        </w:tc>
      </w:tr>
      <w:tr w:rsidR="00D56845" w:rsidRPr="006C662B" w14:paraId="75DAAA80" w14:textId="77777777" w:rsidTr="00AE52EC">
        <w:trPr>
          <w:trHeight w:val="30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14:paraId="55606F6C" w14:textId="77777777" w:rsidR="00D56845" w:rsidRPr="006C662B" w:rsidRDefault="00D56845" w:rsidP="00D56845">
            <w:pPr>
              <w:rPr>
                <w:rFonts w:cs="Calibri"/>
                <w:color w:val="000000"/>
                <w:szCs w:val="22"/>
              </w:rPr>
            </w:pPr>
            <w:r w:rsidRPr="006C662B">
              <w:rPr>
                <w:rFonts w:cs="Calibri"/>
                <w:color w:val="000000"/>
                <w:szCs w:val="22"/>
              </w:rPr>
              <w:t>Borderplex</w:t>
            </w:r>
          </w:p>
        </w:tc>
        <w:tc>
          <w:tcPr>
            <w:tcW w:w="580" w:type="dxa"/>
            <w:tcBorders>
              <w:top w:val="nil"/>
              <w:left w:val="nil"/>
              <w:bottom w:val="single" w:sz="4" w:space="0" w:color="auto"/>
              <w:right w:val="single" w:sz="8" w:space="0" w:color="auto"/>
            </w:tcBorders>
            <w:shd w:val="clear" w:color="auto" w:fill="auto"/>
            <w:noWrap/>
            <w:vAlign w:val="center"/>
          </w:tcPr>
          <w:p w14:paraId="6F9F6A15" w14:textId="3ADE1A26" w:rsidR="00D56845" w:rsidRPr="006C662B" w:rsidRDefault="00D56845" w:rsidP="00D56845">
            <w:pPr>
              <w:jc w:val="center"/>
              <w:rPr>
                <w:rFonts w:cs="Calibri"/>
                <w:szCs w:val="22"/>
              </w:rPr>
            </w:pPr>
            <w:r w:rsidRPr="007D5123">
              <w:rPr>
                <w:rFonts w:cs="Calibri"/>
                <w:szCs w:val="22"/>
              </w:rPr>
              <w:t>10</w:t>
            </w:r>
          </w:p>
        </w:tc>
        <w:tc>
          <w:tcPr>
            <w:tcW w:w="2188" w:type="dxa"/>
            <w:tcBorders>
              <w:top w:val="nil"/>
              <w:left w:val="nil"/>
              <w:bottom w:val="single" w:sz="4" w:space="0" w:color="auto"/>
              <w:right w:val="single" w:sz="4" w:space="0" w:color="auto"/>
            </w:tcBorders>
            <w:shd w:val="clear" w:color="auto" w:fill="auto"/>
            <w:noWrap/>
            <w:vAlign w:val="center"/>
            <w:hideMark/>
          </w:tcPr>
          <w:p w14:paraId="51B59E64" w14:textId="2DD45616" w:rsidR="00D56845" w:rsidRPr="006C662B" w:rsidRDefault="00D56845" w:rsidP="00AE52EC">
            <w:pPr>
              <w:jc w:val="center"/>
              <w:rPr>
                <w:rFonts w:cs="Calibri"/>
                <w:color w:val="000000"/>
                <w:szCs w:val="22"/>
              </w:rPr>
            </w:pPr>
            <w:r w:rsidRPr="006C662B">
              <w:rPr>
                <w:rFonts w:cs="Calibri"/>
                <w:color w:val="000000"/>
                <w:szCs w:val="22"/>
              </w:rPr>
              <w:t>$27,259,843</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3F8A386C" w14:textId="77777777" w:rsidR="00D56845" w:rsidRPr="006C662B" w:rsidRDefault="00D56845" w:rsidP="00AE52EC">
            <w:pPr>
              <w:jc w:val="center"/>
              <w:rPr>
                <w:rFonts w:cs="Calibri"/>
                <w:color w:val="000000"/>
                <w:szCs w:val="22"/>
              </w:rPr>
            </w:pPr>
            <w:r w:rsidRPr="006C662B">
              <w:rPr>
                <w:rFonts w:cs="Calibri"/>
                <w:color w:val="000000"/>
                <w:szCs w:val="22"/>
              </w:rPr>
              <w:t>$545,197</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34A355C3" w14:textId="45F75200" w:rsidR="00D56845" w:rsidRPr="006C662B" w:rsidRDefault="00D56845" w:rsidP="00AE52EC">
            <w:pPr>
              <w:jc w:val="center"/>
              <w:rPr>
                <w:rFonts w:cs="Calibri"/>
                <w:color w:val="000000"/>
                <w:szCs w:val="22"/>
              </w:rPr>
            </w:pPr>
            <w:r w:rsidRPr="006C662B">
              <w:rPr>
                <w:rFonts w:cs="Calibri"/>
                <w:color w:val="000000"/>
                <w:szCs w:val="22"/>
              </w:rPr>
              <w:t>$26,714,646</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791DDB19" w14:textId="3C1192D5" w:rsidR="00D56845" w:rsidRPr="006C662B" w:rsidRDefault="00D56845" w:rsidP="00AE52EC">
            <w:pPr>
              <w:jc w:val="center"/>
              <w:rPr>
                <w:rFonts w:cs="Calibri"/>
                <w:color w:val="000000"/>
                <w:szCs w:val="22"/>
              </w:rPr>
            </w:pPr>
            <w:r w:rsidRPr="006C662B">
              <w:rPr>
                <w:rFonts w:cs="Calibri"/>
                <w:color w:val="000000"/>
                <w:szCs w:val="22"/>
              </w:rPr>
              <w:t>$845,506</w:t>
            </w:r>
          </w:p>
        </w:tc>
        <w:tc>
          <w:tcPr>
            <w:tcW w:w="2440" w:type="dxa"/>
            <w:tcBorders>
              <w:top w:val="nil"/>
              <w:left w:val="single" w:sz="4" w:space="0" w:color="auto"/>
              <w:bottom w:val="single" w:sz="4" w:space="0" w:color="auto"/>
              <w:right w:val="single" w:sz="8" w:space="0" w:color="auto"/>
            </w:tcBorders>
            <w:shd w:val="clear" w:color="auto" w:fill="auto"/>
            <w:noWrap/>
            <w:vAlign w:val="center"/>
            <w:hideMark/>
          </w:tcPr>
          <w:p w14:paraId="096B564E" w14:textId="093ABE23" w:rsidR="00D56845" w:rsidRPr="006C662B" w:rsidRDefault="00D56845" w:rsidP="00AE52EC">
            <w:pPr>
              <w:jc w:val="center"/>
              <w:rPr>
                <w:rFonts w:cs="Calibri"/>
                <w:color w:val="000000"/>
                <w:szCs w:val="22"/>
              </w:rPr>
            </w:pPr>
            <w:r w:rsidRPr="006C662B">
              <w:rPr>
                <w:rFonts w:cs="Calibri"/>
                <w:color w:val="000000"/>
                <w:szCs w:val="22"/>
              </w:rPr>
              <w:t>$25,869,140</w:t>
            </w:r>
          </w:p>
        </w:tc>
      </w:tr>
      <w:tr w:rsidR="00D56845" w:rsidRPr="006C662B" w14:paraId="76A3A93E" w14:textId="77777777" w:rsidTr="00AE52EC">
        <w:trPr>
          <w:trHeight w:val="30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14:paraId="60CBEB3B" w14:textId="77777777" w:rsidR="00D56845" w:rsidRPr="006C662B" w:rsidRDefault="00D56845" w:rsidP="00D56845">
            <w:pPr>
              <w:rPr>
                <w:rFonts w:cs="Calibri"/>
                <w:color w:val="000000"/>
                <w:szCs w:val="22"/>
              </w:rPr>
            </w:pPr>
            <w:r w:rsidRPr="006C662B">
              <w:rPr>
                <w:rFonts w:cs="Calibri"/>
                <w:color w:val="000000"/>
                <w:szCs w:val="22"/>
              </w:rPr>
              <w:t>Permian Basin</w:t>
            </w:r>
          </w:p>
        </w:tc>
        <w:tc>
          <w:tcPr>
            <w:tcW w:w="580" w:type="dxa"/>
            <w:tcBorders>
              <w:top w:val="nil"/>
              <w:left w:val="nil"/>
              <w:bottom w:val="single" w:sz="4" w:space="0" w:color="auto"/>
              <w:right w:val="single" w:sz="8" w:space="0" w:color="auto"/>
            </w:tcBorders>
            <w:shd w:val="clear" w:color="auto" w:fill="auto"/>
            <w:noWrap/>
            <w:vAlign w:val="center"/>
          </w:tcPr>
          <w:p w14:paraId="0A0C24A8" w14:textId="759E07FB" w:rsidR="00D56845" w:rsidRPr="006C662B" w:rsidRDefault="00D56845" w:rsidP="00D56845">
            <w:pPr>
              <w:jc w:val="center"/>
              <w:rPr>
                <w:rFonts w:cs="Calibri"/>
                <w:szCs w:val="22"/>
              </w:rPr>
            </w:pPr>
            <w:r w:rsidRPr="007D5123">
              <w:rPr>
                <w:rFonts w:cs="Calibri"/>
                <w:szCs w:val="22"/>
              </w:rPr>
              <w:t>11</w:t>
            </w:r>
          </w:p>
        </w:tc>
        <w:tc>
          <w:tcPr>
            <w:tcW w:w="2188" w:type="dxa"/>
            <w:tcBorders>
              <w:top w:val="nil"/>
              <w:left w:val="nil"/>
              <w:bottom w:val="single" w:sz="4" w:space="0" w:color="auto"/>
              <w:right w:val="single" w:sz="4" w:space="0" w:color="auto"/>
            </w:tcBorders>
            <w:shd w:val="clear" w:color="auto" w:fill="auto"/>
            <w:noWrap/>
            <w:vAlign w:val="center"/>
            <w:hideMark/>
          </w:tcPr>
          <w:p w14:paraId="0EE6FBEE" w14:textId="2D9D0681" w:rsidR="00D56845" w:rsidRPr="006C662B" w:rsidRDefault="00D56845" w:rsidP="00AE52EC">
            <w:pPr>
              <w:jc w:val="center"/>
              <w:rPr>
                <w:rFonts w:cs="Calibri"/>
                <w:color w:val="000000"/>
                <w:szCs w:val="22"/>
              </w:rPr>
            </w:pPr>
            <w:r w:rsidRPr="006C662B">
              <w:rPr>
                <w:rFonts w:cs="Calibri"/>
                <w:color w:val="000000"/>
                <w:szCs w:val="22"/>
              </w:rPr>
              <w:t>$11,281,757</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4E5B8418" w14:textId="77777777" w:rsidR="00D56845" w:rsidRPr="006C662B" w:rsidRDefault="00D56845" w:rsidP="00AE52EC">
            <w:pPr>
              <w:jc w:val="center"/>
              <w:rPr>
                <w:rFonts w:cs="Calibri"/>
                <w:color w:val="000000"/>
                <w:szCs w:val="22"/>
              </w:rPr>
            </w:pPr>
            <w:r w:rsidRPr="006C662B">
              <w:rPr>
                <w:rFonts w:cs="Calibri"/>
                <w:color w:val="000000"/>
                <w:szCs w:val="22"/>
              </w:rPr>
              <w:t>$225,636</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27E7741F" w14:textId="7C0F48C5" w:rsidR="00D56845" w:rsidRPr="006C662B" w:rsidRDefault="00D56845" w:rsidP="00AE52EC">
            <w:pPr>
              <w:jc w:val="center"/>
              <w:rPr>
                <w:rFonts w:cs="Calibri"/>
                <w:color w:val="000000"/>
                <w:szCs w:val="22"/>
              </w:rPr>
            </w:pPr>
            <w:r w:rsidRPr="006C662B">
              <w:rPr>
                <w:rFonts w:cs="Calibri"/>
                <w:color w:val="000000"/>
                <w:szCs w:val="22"/>
              </w:rPr>
              <w:t>$11,056,121</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755E9636" w14:textId="71679976" w:rsidR="00D56845" w:rsidRPr="006C662B" w:rsidRDefault="00D56845" w:rsidP="00AE52EC">
            <w:pPr>
              <w:jc w:val="center"/>
              <w:rPr>
                <w:rFonts w:cs="Calibri"/>
                <w:color w:val="000000"/>
                <w:szCs w:val="22"/>
              </w:rPr>
            </w:pPr>
            <w:r w:rsidRPr="006C662B">
              <w:rPr>
                <w:rFonts w:cs="Calibri"/>
                <w:color w:val="000000"/>
                <w:szCs w:val="22"/>
              </w:rPr>
              <w:t>$390,381</w:t>
            </w:r>
          </w:p>
        </w:tc>
        <w:tc>
          <w:tcPr>
            <w:tcW w:w="2440" w:type="dxa"/>
            <w:tcBorders>
              <w:top w:val="nil"/>
              <w:left w:val="single" w:sz="4" w:space="0" w:color="auto"/>
              <w:bottom w:val="single" w:sz="4" w:space="0" w:color="auto"/>
              <w:right w:val="single" w:sz="8" w:space="0" w:color="auto"/>
            </w:tcBorders>
            <w:shd w:val="clear" w:color="auto" w:fill="auto"/>
            <w:noWrap/>
            <w:vAlign w:val="center"/>
            <w:hideMark/>
          </w:tcPr>
          <w:p w14:paraId="48B5845C" w14:textId="2E773349" w:rsidR="00D56845" w:rsidRPr="006C662B" w:rsidRDefault="00D56845" w:rsidP="00AE52EC">
            <w:pPr>
              <w:jc w:val="center"/>
              <w:rPr>
                <w:rFonts w:cs="Calibri"/>
                <w:color w:val="000000"/>
                <w:szCs w:val="22"/>
              </w:rPr>
            </w:pPr>
            <w:r w:rsidRPr="006C662B">
              <w:rPr>
                <w:rFonts w:cs="Calibri"/>
                <w:color w:val="000000"/>
                <w:szCs w:val="22"/>
              </w:rPr>
              <w:t>$10,665,740</w:t>
            </w:r>
          </w:p>
        </w:tc>
      </w:tr>
      <w:tr w:rsidR="00D56845" w:rsidRPr="006C662B" w14:paraId="5B7FA041" w14:textId="77777777" w:rsidTr="00AE52EC">
        <w:trPr>
          <w:trHeight w:val="30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14:paraId="7FA097F8" w14:textId="77777777" w:rsidR="00D56845" w:rsidRPr="006C662B" w:rsidRDefault="00D56845" w:rsidP="00D56845">
            <w:pPr>
              <w:rPr>
                <w:rFonts w:cs="Calibri"/>
                <w:color w:val="000000"/>
                <w:szCs w:val="22"/>
              </w:rPr>
            </w:pPr>
            <w:r w:rsidRPr="006C662B">
              <w:rPr>
                <w:rFonts w:cs="Calibri"/>
                <w:color w:val="000000"/>
                <w:szCs w:val="22"/>
              </w:rPr>
              <w:t>Concho Valley</w:t>
            </w:r>
          </w:p>
        </w:tc>
        <w:tc>
          <w:tcPr>
            <w:tcW w:w="580" w:type="dxa"/>
            <w:tcBorders>
              <w:top w:val="nil"/>
              <w:left w:val="nil"/>
              <w:bottom w:val="single" w:sz="4" w:space="0" w:color="auto"/>
              <w:right w:val="single" w:sz="8" w:space="0" w:color="auto"/>
            </w:tcBorders>
            <w:shd w:val="clear" w:color="auto" w:fill="auto"/>
            <w:noWrap/>
            <w:vAlign w:val="center"/>
          </w:tcPr>
          <w:p w14:paraId="4EF30D63" w14:textId="4AA522C4" w:rsidR="00D56845" w:rsidRPr="006C662B" w:rsidRDefault="00D56845" w:rsidP="00D56845">
            <w:pPr>
              <w:jc w:val="center"/>
              <w:rPr>
                <w:rFonts w:cs="Calibri"/>
                <w:szCs w:val="22"/>
              </w:rPr>
            </w:pPr>
            <w:r w:rsidRPr="007D5123">
              <w:rPr>
                <w:rFonts w:cs="Calibri"/>
                <w:szCs w:val="22"/>
              </w:rPr>
              <w:t>12</w:t>
            </w:r>
          </w:p>
        </w:tc>
        <w:tc>
          <w:tcPr>
            <w:tcW w:w="2188" w:type="dxa"/>
            <w:tcBorders>
              <w:top w:val="nil"/>
              <w:left w:val="nil"/>
              <w:bottom w:val="single" w:sz="4" w:space="0" w:color="auto"/>
              <w:right w:val="single" w:sz="4" w:space="0" w:color="auto"/>
            </w:tcBorders>
            <w:shd w:val="clear" w:color="auto" w:fill="auto"/>
            <w:noWrap/>
            <w:vAlign w:val="center"/>
            <w:hideMark/>
          </w:tcPr>
          <w:p w14:paraId="5D557863" w14:textId="2DF75542" w:rsidR="00D56845" w:rsidRPr="006C662B" w:rsidRDefault="00D56845" w:rsidP="00AE52EC">
            <w:pPr>
              <w:jc w:val="center"/>
              <w:rPr>
                <w:rFonts w:cs="Calibri"/>
                <w:color w:val="000000"/>
                <w:szCs w:val="22"/>
              </w:rPr>
            </w:pPr>
            <w:r w:rsidRPr="006C662B">
              <w:rPr>
                <w:rFonts w:cs="Calibri"/>
                <w:color w:val="000000"/>
                <w:szCs w:val="22"/>
              </w:rPr>
              <w:t>$3,227,885</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32F85D9C" w14:textId="77777777" w:rsidR="00D56845" w:rsidRPr="006C662B" w:rsidRDefault="00D56845" w:rsidP="00AE52EC">
            <w:pPr>
              <w:jc w:val="center"/>
              <w:rPr>
                <w:rFonts w:cs="Calibri"/>
                <w:color w:val="000000"/>
                <w:szCs w:val="22"/>
              </w:rPr>
            </w:pPr>
            <w:r w:rsidRPr="006C662B">
              <w:rPr>
                <w:rFonts w:cs="Calibri"/>
                <w:color w:val="000000"/>
                <w:szCs w:val="22"/>
              </w:rPr>
              <w:t>$64,558</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7D2BF5DF" w14:textId="048E815F" w:rsidR="00D56845" w:rsidRPr="006C662B" w:rsidRDefault="00D56845" w:rsidP="00AE52EC">
            <w:pPr>
              <w:jc w:val="center"/>
              <w:rPr>
                <w:rFonts w:cs="Calibri"/>
                <w:color w:val="000000"/>
                <w:szCs w:val="22"/>
              </w:rPr>
            </w:pPr>
            <w:r w:rsidRPr="006C662B">
              <w:rPr>
                <w:rFonts w:cs="Calibri"/>
                <w:color w:val="000000"/>
                <w:szCs w:val="22"/>
              </w:rPr>
              <w:t>$3,163,327</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1A8461CD" w14:textId="6A05DC6C" w:rsidR="00D56845" w:rsidRPr="006C662B" w:rsidRDefault="00D56845" w:rsidP="00AE52EC">
            <w:pPr>
              <w:jc w:val="center"/>
              <w:rPr>
                <w:rFonts w:cs="Calibri"/>
                <w:color w:val="000000"/>
                <w:szCs w:val="22"/>
              </w:rPr>
            </w:pPr>
            <w:r w:rsidRPr="006C662B">
              <w:rPr>
                <w:rFonts w:cs="Calibri"/>
                <w:color w:val="000000"/>
                <w:szCs w:val="22"/>
              </w:rPr>
              <w:t>$155,039</w:t>
            </w:r>
          </w:p>
        </w:tc>
        <w:tc>
          <w:tcPr>
            <w:tcW w:w="2440" w:type="dxa"/>
            <w:tcBorders>
              <w:top w:val="nil"/>
              <w:left w:val="single" w:sz="4" w:space="0" w:color="auto"/>
              <w:bottom w:val="single" w:sz="4" w:space="0" w:color="auto"/>
              <w:right w:val="single" w:sz="8" w:space="0" w:color="auto"/>
            </w:tcBorders>
            <w:shd w:val="clear" w:color="auto" w:fill="auto"/>
            <w:noWrap/>
            <w:vAlign w:val="center"/>
            <w:hideMark/>
          </w:tcPr>
          <w:p w14:paraId="63A8BDA0" w14:textId="7DE5FCF0" w:rsidR="00D56845" w:rsidRPr="006C662B" w:rsidRDefault="00D56845" w:rsidP="00AE52EC">
            <w:pPr>
              <w:jc w:val="center"/>
              <w:rPr>
                <w:rFonts w:cs="Calibri"/>
                <w:color w:val="000000"/>
                <w:szCs w:val="22"/>
              </w:rPr>
            </w:pPr>
            <w:r w:rsidRPr="006C662B">
              <w:rPr>
                <w:rFonts w:cs="Calibri"/>
                <w:color w:val="000000"/>
                <w:szCs w:val="22"/>
              </w:rPr>
              <w:t>$3,008,288</w:t>
            </w:r>
          </w:p>
        </w:tc>
      </w:tr>
      <w:tr w:rsidR="00D56845" w:rsidRPr="006C662B" w14:paraId="38728E8B" w14:textId="77777777" w:rsidTr="00AE52EC">
        <w:trPr>
          <w:trHeight w:val="30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14:paraId="4A33C47D" w14:textId="77777777" w:rsidR="00D56845" w:rsidRPr="006C662B" w:rsidRDefault="00D56845" w:rsidP="00D56845">
            <w:pPr>
              <w:rPr>
                <w:rFonts w:cs="Calibri"/>
                <w:color w:val="000000"/>
                <w:szCs w:val="22"/>
              </w:rPr>
            </w:pPr>
            <w:r w:rsidRPr="006C662B">
              <w:rPr>
                <w:rFonts w:cs="Calibri"/>
                <w:color w:val="000000"/>
                <w:szCs w:val="22"/>
              </w:rPr>
              <w:t>Heart of Texas</w:t>
            </w:r>
          </w:p>
        </w:tc>
        <w:tc>
          <w:tcPr>
            <w:tcW w:w="580" w:type="dxa"/>
            <w:tcBorders>
              <w:top w:val="nil"/>
              <w:left w:val="nil"/>
              <w:bottom w:val="single" w:sz="4" w:space="0" w:color="auto"/>
              <w:right w:val="single" w:sz="8" w:space="0" w:color="auto"/>
            </w:tcBorders>
            <w:shd w:val="clear" w:color="auto" w:fill="auto"/>
            <w:noWrap/>
            <w:vAlign w:val="center"/>
          </w:tcPr>
          <w:p w14:paraId="3F05D84F" w14:textId="3C339956" w:rsidR="00D56845" w:rsidRPr="006C662B" w:rsidRDefault="00D56845" w:rsidP="00D56845">
            <w:pPr>
              <w:jc w:val="center"/>
              <w:rPr>
                <w:rFonts w:cs="Calibri"/>
                <w:szCs w:val="22"/>
              </w:rPr>
            </w:pPr>
            <w:r w:rsidRPr="007D5123">
              <w:rPr>
                <w:rFonts w:cs="Calibri"/>
                <w:szCs w:val="22"/>
              </w:rPr>
              <w:t>13</w:t>
            </w:r>
          </w:p>
        </w:tc>
        <w:tc>
          <w:tcPr>
            <w:tcW w:w="2188" w:type="dxa"/>
            <w:tcBorders>
              <w:top w:val="nil"/>
              <w:left w:val="nil"/>
              <w:bottom w:val="single" w:sz="4" w:space="0" w:color="auto"/>
              <w:right w:val="single" w:sz="4" w:space="0" w:color="auto"/>
            </w:tcBorders>
            <w:shd w:val="clear" w:color="auto" w:fill="auto"/>
            <w:noWrap/>
            <w:vAlign w:val="center"/>
            <w:hideMark/>
          </w:tcPr>
          <w:p w14:paraId="5E4833ED" w14:textId="7B257DFE" w:rsidR="00D56845" w:rsidRPr="006C662B" w:rsidRDefault="00D56845" w:rsidP="00AE52EC">
            <w:pPr>
              <w:jc w:val="center"/>
              <w:rPr>
                <w:rFonts w:cs="Calibri"/>
                <w:color w:val="000000"/>
                <w:szCs w:val="22"/>
              </w:rPr>
            </w:pPr>
            <w:r w:rsidRPr="006C662B">
              <w:rPr>
                <w:rFonts w:cs="Calibri"/>
                <w:color w:val="000000"/>
                <w:szCs w:val="22"/>
              </w:rPr>
              <w:t>$9,705,432</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12FCF426" w14:textId="77777777" w:rsidR="00D56845" w:rsidRPr="006C662B" w:rsidRDefault="00D56845" w:rsidP="00AE52EC">
            <w:pPr>
              <w:jc w:val="center"/>
              <w:rPr>
                <w:rFonts w:cs="Calibri"/>
                <w:color w:val="000000"/>
                <w:szCs w:val="22"/>
              </w:rPr>
            </w:pPr>
            <w:r w:rsidRPr="006C662B">
              <w:rPr>
                <w:rFonts w:cs="Calibri"/>
                <w:color w:val="000000"/>
                <w:szCs w:val="22"/>
              </w:rPr>
              <w:t>$194,109</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0D2F229C" w14:textId="685F6E62" w:rsidR="00D56845" w:rsidRPr="006C662B" w:rsidRDefault="00D56845" w:rsidP="00AE52EC">
            <w:pPr>
              <w:jc w:val="center"/>
              <w:rPr>
                <w:rFonts w:cs="Calibri"/>
                <w:color w:val="000000"/>
                <w:szCs w:val="22"/>
              </w:rPr>
            </w:pPr>
            <w:r w:rsidRPr="006C662B">
              <w:rPr>
                <w:rFonts w:cs="Calibri"/>
                <w:color w:val="000000"/>
                <w:szCs w:val="22"/>
              </w:rPr>
              <w:t>$9,511,323</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644F751D" w14:textId="301AA235" w:rsidR="00D56845" w:rsidRPr="006C662B" w:rsidRDefault="00D56845" w:rsidP="00AE52EC">
            <w:pPr>
              <w:jc w:val="center"/>
              <w:rPr>
                <w:rFonts w:cs="Calibri"/>
                <w:color w:val="000000"/>
                <w:szCs w:val="22"/>
              </w:rPr>
            </w:pPr>
            <w:r w:rsidRPr="006C662B">
              <w:rPr>
                <w:rFonts w:cs="Calibri"/>
                <w:color w:val="000000"/>
                <w:szCs w:val="22"/>
              </w:rPr>
              <w:t>$395,478</w:t>
            </w:r>
          </w:p>
        </w:tc>
        <w:tc>
          <w:tcPr>
            <w:tcW w:w="2440" w:type="dxa"/>
            <w:tcBorders>
              <w:top w:val="nil"/>
              <w:left w:val="single" w:sz="4" w:space="0" w:color="auto"/>
              <w:bottom w:val="single" w:sz="4" w:space="0" w:color="auto"/>
              <w:right w:val="single" w:sz="8" w:space="0" w:color="auto"/>
            </w:tcBorders>
            <w:shd w:val="clear" w:color="auto" w:fill="auto"/>
            <w:noWrap/>
            <w:vAlign w:val="center"/>
            <w:hideMark/>
          </w:tcPr>
          <w:p w14:paraId="574CCD73" w14:textId="08CDA7B8" w:rsidR="00D56845" w:rsidRPr="006C662B" w:rsidRDefault="00D56845" w:rsidP="00AE52EC">
            <w:pPr>
              <w:jc w:val="center"/>
              <w:rPr>
                <w:rFonts w:cs="Calibri"/>
                <w:color w:val="000000"/>
                <w:szCs w:val="22"/>
              </w:rPr>
            </w:pPr>
            <w:r w:rsidRPr="006C662B">
              <w:rPr>
                <w:rFonts w:cs="Calibri"/>
                <w:color w:val="000000"/>
                <w:szCs w:val="22"/>
              </w:rPr>
              <w:t>$9,115,845</w:t>
            </w:r>
          </w:p>
        </w:tc>
      </w:tr>
      <w:tr w:rsidR="00D56845" w:rsidRPr="006C662B" w14:paraId="34FCDFFF" w14:textId="77777777" w:rsidTr="00AE52EC">
        <w:trPr>
          <w:trHeight w:val="30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14:paraId="1DD33534" w14:textId="77777777" w:rsidR="00D56845" w:rsidRPr="006C662B" w:rsidRDefault="00D56845" w:rsidP="00D56845">
            <w:pPr>
              <w:rPr>
                <w:rFonts w:cs="Calibri"/>
                <w:color w:val="000000"/>
                <w:szCs w:val="22"/>
              </w:rPr>
            </w:pPr>
            <w:r w:rsidRPr="006C662B">
              <w:rPr>
                <w:rFonts w:cs="Calibri"/>
                <w:color w:val="000000"/>
                <w:szCs w:val="22"/>
              </w:rPr>
              <w:t>Capital Area</w:t>
            </w:r>
          </w:p>
        </w:tc>
        <w:tc>
          <w:tcPr>
            <w:tcW w:w="580" w:type="dxa"/>
            <w:tcBorders>
              <w:top w:val="nil"/>
              <w:left w:val="nil"/>
              <w:bottom w:val="single" w:sz="4" w:space="0" w:color="auto"/>
              <w:right w:val="single" w:sz="8" w:space="0" w:color="auto"/>
            </w:tcBorders>
            <w:shd w:val="clear" w:color="auto" w:fill="auto"/>
            <w:noWrap/>
            <w:vAlign w:val="center"/>
          </w:tcPr>
          <w:p w14:paraId="4AACC30A" w14:textId="228E53CF" w:rsidR="00D56845" w:rsidRPr="006C662B" w:rsidRDefault="00D56845" w:rsidP="00D56845">
            <w:pPr>
              <w:jc w:val="center"/>
              <w:rPr>
                <w:rFonts w:cs="Calibri"/>
                <w:szCs w:val="22"/>
              </w:rPr>
            </w:pPr>
            <w:r w:rsidRPr="007D5123">
              <w:rPr>
                <w:rFonts w:cs="Calibri"/>
                <w:szCs w:val="22"/>
              </w:rPr>
              <w:t>14</w:t>
            </w:r>
          </w:p>
        </w:tc>
        <w:tc>
          <w:tcPr>
            <w:tcW w:w="2188" w:type="dxa"/>
            <w:tcBorders>
              <w:top w:val="nil"/>
              <w:left w:val="nil"/>
              <w:bottom w:val="single" w:sz="4" w:space="0" w:color="auto"/>
              <w:right w:val="single" w:sz="4" w:space="0" w:color="auto"/>
            </w:tcBorders>
            <w:shd w:val="clear" w:color="auto" w:fill="auto"/>
            <w:noWrap/>
            <w:vAlign w:val="center"/>
            <w:hideMark/>
          </w:tcPr>
          <w:p w14:paraId="60C3247B" w14:textId="54A7F6DD" w:rsidR="00D56845" w:rsidRPr="006C662B" w:rsidRDefault="00D56845" w:rsidP="00AE52EC">
            <w:pPr>
              <w:jc w:val="center"/>
              <w:rPr>
                <w:rFonts w:cs="Calibri"/>
                <w:color w:val="000000"/>
                <w:szCs w:val="22"/>
              </w:rPr>
            </w:pPr>
            <w:r w:rsidRPr="006C662B">
              <w:rPr>
                <w:rFonts w:cs="Calibri"/>
                <w:color w:val="000000"/>
                <w:szCs w:val="22"/>
              </w:rPr>
              <w:t>$24,320,342</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395B7852" w14:textId="77777777" w:rsidR="00D56845" w:rsidRPr="006C662B" w:rsidRDefault="00D56845" w:rsidP="00AE52EC">
            <w:pPr>
              <w:jc w:val="center"/>
              <w:rPr>
                <w:rFonts w:cs="Calibri"/>
                <w:color w:val="000000"/>
                <w:szCs w:val="22"/>
              </w:rPr>
            </w:pPr>
            <w:r w:rsidRPr="006C662B">
              <w:rPr>
                <w:rFonts w:cs="Calibri"/>
                <w:color w:val="000000"/>
                <w:szCs w:val="22"/>
              </w:rPr>
              <w:t>$486,407</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0523C260" w14:textId="4AB65EE4" w:rsidR="00D56845" w:rsidRPr="006C662B" w:rsidRDefault="00D56845" w:rsidP="00AE52EC">
            <w:pPr>
              <w:jc w:val="center"/>
              <w:rPr>
                <w:rFonts w:cs="Calibri"/>
                <w:color w:val="000000"/>
                <w:szCs w:val="22"/>
              </w:rPr>
            </w:pPr>
            <w:r w:rsidRPr="006C662B">
              <w:rPr>
                <w:rFonts w:cs="Calibri"/>
                <w:color w:val="000000"/>
                <w:szCs w:val="22"/>
              </w:rPr>
              <w:t>$23,833,935</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47E49585" w14:textId="51632C2A" w:rsidR="00D56845" w:rsidRPr="006C662B" w:rsidRDefault="00D56845" w:rsidP="00AE52EC">
            <w:pPr>
              <w:jc w:val="center"/>
              <w:rPr>
                <w:rFonts w:cs="Calibri"/>
                <w:color w:val="000000"/>
                <w:szCs w:val="22"/>
              </w:rPr>
            </w:pPr>
            <w:r w:rsidRPr="006C662B">
              <w:rPr>
                <w:rFonts w:cs="Calibri"/>
                <w:color w:val="000000"/>
                <w:szCs w:val="22"/>
              </w:rPr>
              <w:t>$1,089,727</w:t>
            </w:r>
          </w:p>
        </w:tc>
        <w:tc>
          <w:tcPr>
            <w:tcW w:w="2440" w:type="dxa"/>
            <w:tcBorders>
              <w:top w:val="nil"/>
              <w:left w:val="single" w:sz="4" w:space="0" w:color="auto"/>
              <w:bottom w:val="single" w:sz="4" w:space="0" w:color="auto"/>
              <w:right w:val="single" w:sz="8" w:space="0" w:color="auto"/>
            </w:tcBorders>
            <w:shd w:val="clear" w:color="auto" w:fill="auto"/>
            <w:noWrap/>
            <w:vAlign w:val="center"/>
            <w:hideMark/>
          </w:tcPr>
          <w:p w14:paraId="2748F572" w14:textId="64A23134" w:rsidR="00D56845" w:rsidRPr="006C662B" w:rsidRDefault="00D56845" w:rsidP="00AE52EC">
            <w:pPr>
              <w:jc w:val="center"/>
              <w:rPr>
                <w:rFonts w:cs="Calibri"/>
                <w:color w:val="000000"/>
                <w:szCs w:val="22"/>
              </w:rPr>
            </w:pPr>
            <w:r w:rsidRPr="006C662B">
              <w:rPr>
                <w:rFonts w:cs="Calibri"/>
                <w:color w:val="000000"/>
                <w:szCs w:val="22"/>
              </w:rPr>
              <w:t>$22,744,208</w:t>
            </w:r>
          </w:p>
        </w:tc>
      </w:tr>
      <w:tr w:rsidR="00D56845" w:rsidRPr="006C662B" w14:paraId="6AAEEB2C" w14:textId="77777777" w:rsidTr="00AE52EC">
        <w:trPr>
          <w:trHeight w:val="30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14:paraId="6429FB59" w14:textId="77777777" w:rsidR="00D56845" w:rsidRPr="006C662B" w:rsidRDefault="00D56845" w:rsidP="00D56845">
            <w:pPr>
              <w:rPr>
                <w:rFonts w:cs="Calibri"/>
                <w:color w:val="000000"/>
                <w:szCs w:val="22"/>
              </w:rPr>
            </w:pPr>
            <w:r w:rsidRPr="006C662B">
              <w:rPr>
                <w:rFonts w:cs="Calibri"/>
                <w:color w:val="000000"/>
                <w:szCs w:val="22"/>
              </w:rPr>
              <w:t>Rural Capital</w:t>
            </w:r>
          </w:p>
        </w:tc>
        <w:tc>
          <w:tcPr>
            <w:tcW w:w="580" w:type="dxa"/>
            <w:tcBorders>
              <w:top w:val="nil"/>
              <w:left w:val="nil"/>
              <w:bottom w:val="single" w:sz="4" w:space="0" w:color="auto"/>
              <w:right w:val="single" w:sz="8" w:space="0" w:color="auto"/>
            </w:tcBorders>
            <w:shd w:val="clear" w:color="auto" w:fill="auto"/>
            <w:noWrap/>
            <w:vAlign w:val="center"/>
          </w:tcPr>
          <w:p w14:paraId="399C6AA3" w14:textId="4931DE53" w:rsidR="00D56845" w:rsidRPr="006C662B" w:rsidRDefault="00D56845" w:rsidP="00D56845">
            <w:pPr>
              <w:jc w:val="center"/>
              <w:rPr>
                <w:rFonts w:cs="Calibri"/>
                <w:szCs w:val="22"/>
              </w:rPr>
            </w:pPr>
            <w:r w:rsidRPr="007D5123">
              <w:rPr>
                <w:rFonts w:cs="Calibri"/>
                <w:szCs w:val="22"/>
              </w:rPr>
              <w:t>15</w:t>
            </w:r>
          </w:p>
        </w:tc>
        <w:tc>
          <w:tcPr>
            <w:tcW w:w="2188" w:type="dxa"/>
            <w:tcBorders>
              <w:top w:val="nil"/>
              <w:left w:val="nil"/>
              <w:bottom w:val="single" w:sz="4" w:space="0" w:color="auto"/>
              <w:right w:val="single" w:sz="4" w:space="0" w:color="auto"/>
            </w:tcBorders>
            <w:shd w:val="clear" w:color="auto" w:fill="auto"/>
            <w:noWrap/>
            <w:vAlign w:val="center"/>
            <w:hideMark/>
          </w:tcPr>
          <w:p w14:paraId="40B3B8DF" w14:textId="3D4691F3" w:rsidR="00D56845" w:rsidRPr="006C662B" w:rsidRDefault="00D56845" w:rsidP="00AE52EC">
            <w:pPr>
              <w:jc w:val="center"/>
              <w:rPr>
                <w:rFonts w:cs="Calibri"/>
                <w:color w:val="000000"/>
                <w:szCs w:val="22"/>
              </w:rPr>
            </w:pPr>
            <w:r w:rsidRPr="006C662B">
              <w:rPr>
                <w:rFonts w:cs="Calibri"/>
                <w:color w:val="000000"/>
                <w:szCs w:val="22"/>
              </w:rPr>
              <w:t>$17,461,267</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49C80BB1" w14:textId="77777777" w:rsidR="00D56845" w:rsidRPr="006C662B" w:rsidRDefault="00D56845" w:rsidP="00AE52EC">
            <w:pPr>
              <w:jc w:val="center"/>
              <w:rPr>
                <w:rFonts w:cs="Calibri"/>
                <w:color w:val="000000"/>
                <w:szCs w:val="22"/>
              </w:rPr>
            </w:pPr>
            <w:r w:rsidRPr="006C662B">
              <w:rPr>
                <w:rFonts w:cs="Calibri"/>
                <w:color w:val="000000"/>
                <w:szCs w:val="22"/>
              </w:rPr>
              <w:t>$349,226</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1A75667C" w14:textId="5759ECFF" w:rsidR="00D56845" w:rsidRPr="006C662B" w:rsidRDefault="00D56845" w:rsidP="00AE52EC">
            <w:pPr>
              <w:jc w:val="center"/>
              <w:rPr>
                <w:rFonts w:cs="Calibri"/>
                <w:color w:val="000000"/>
                <w:szCs w:val="22"/>
              </w:rPr>
            </w:pPr>
            <w:r w:rsidRPr="006C662B">
              <w:rPr>
                <w:rFonts w:cs="Calibri"/>
                <w:color w:val="000000"/>
                <w:szCs w:val="22"/>
              </w:rPr>
              <w:t>$17,112,041</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24E96D14" w14:textId="2FE5C4AF" w:rsidR="00D56845" w:rsidRPr="006C662B" w:rsidRDefault="00D56845" w:rsidP="00AE52EC">
            <w:pPr>
              <w:jc w:val="center"/>
              <w:rPr>
                <w:rFonts w:cs="Calibri"/>
                <w:color w:val="000000"/>
                <w:szCs w:val="22"/>
              </w:rPr>
            </w:pPr>
            <w:r w:rsidRPr="006C662B">
              <w:rPr>
                <w:rFonts w:cs="Calibri"/>
                <w:color w:val="000000"/>
                <w:szCs w:val="22"/>
              </w:rPr>
              <w:t>$996,653</w:t>
            </w:r>
          </w:p>
        </w:tc>
        <w:tc>
          <w:tcPr>
            <w:tcW w:w="2440" w:type="dxa"/>
            <w:tcBorders>
              <w:top w:val="nil"/>
              <w:left w:val="single" w:sz="4" w:space="0" w:color="auto"/>
              <w:bottom w:val="single" w:sz="4" w:space="0" w:color="auto"/>
              <w:right w:val="single" w:sz="8" w:space="0" w:color="auto"/>
            </w:tcBorders>
            <w:shd w:val="clear" w:color="auto" w:fill="auto"/>
            <w:noWrap/>
            <w:vAlign w:val="center"/>
            <w:hideMark/>
          </w:tcPr>
          <w:p w14:paraId="2A0A5D6D" w14:textId="1CB74372" w:rsidR="00D56845" w:rsidRPr="006C662B" w:rsidRDefault="00D56845" w:rsidP="00AE52EC">
            <w:pPr>
              <w:jc w:val="center"/>
              <w:rPr>
                <w:rFonts w:cs="Calibri"/>
                <w:color w:val="000000"/>
                <w:szCs w:val="22"/>
              </w:rPr>
            </w:pPr>
            <w:r w:rsidRPr="006C662B">
              <w:rPr>
                <w:rFonts w:cs="Calibri"/>
                <w:color w:val="000000"/>
                <w:szCs w:val="22"/>
              </w:rPr>
              <w:t>$16,115,388</w:t>
            </w:r>
          </w:p>
        </w:tc>
      </w:tr>
      <w:tr w:rsidR="00D56845" w:rsidRPr="006C662B" w14:paraId="3E68A0B9" w14:textId="77777777" w:rsidTr="00AE52EC">
        <w:trPr>
          <w:trHeight w:val="30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14:paraId="5380E940" w14:textId="77777777" w:rsidR="00D56845" w:rsidRPr="006C662B" w:rsidRDefault="00D56845" w:rsidP="00D56845">
            <w:pPr>
              <w:rPr>
                <w:rFonts w:cs="Calibri"/>
                <w:color w:val="000000"/>
                <w:szCs w:val="22"/>
              </w:rPr>
            </w:pPr>
            <w:r w:rsidRPr="006C662B">
              <w:rPr>
                <w:rFonts w:cs="Calibri"/>
                <w:color w:val="000000"/>
                <w:szCs w:val="22"/>
              </w:rPr>
              <w:t>Brazos Valley</w:t>
            </w:r>
          </w:p>
        </w:tc>
        <w:tc>
          <w:tcPr>
            <w:tcW w:w="580" w:type="dxa"/>
            <w:tcBorders>
              <w:top w:val="nil"/>
              <w:left w:val="nil"/>
              <w:bottom w:val="single" w:sz="4" w:space="0" w:color="auto"/>
              <w:right w:val="single" w:sz="8" w:space="0" w:color="auto"/>
            </w:tcBorders>
            <w:shd w:val="clear" w:color="auto" w:fill="auto"/>
            <w:noWrap/>
            <w:vAlign w:val="center"/>
          </w:tcPr>
          <w:p w14:paraId="1381162B" w14:textId="192B03DA" w:rsidR="00D56845" w:rsidRPr="006C662B" w:rsidRDefault="00D56845" w:rsidP="00D56845">
            <w:pPr>
              <w:jc w:val="center"/>
              <w:rPr>
                <w:rFonts w:cs="Calibri"/>
                <w:szCs w:val="22"/>
              </w:rPr>
            </w:pPr>
            <w:r w:rsidRPr="007D5123">
              <w:rPr>
                <w:rFonts w:cs="Calibri"/>
                <w:szCs w:val="22"/>
              </w:rPr>
              <w:t>16</w:t>
            </w:r>
          </w:p>
        </w:tc>
        <w:tc>
          <w:tcPr>
            <w:tcW w:w="2188" w:type="dxa"/>
            <w:tcBorders>
              <w:top w:val="nil"/>
              <w:left w:val="nil"/>
              <w:bottom w:val="single" w:sz="4" w:space="0" w:color="auto"/>
              <w:right w:val="single" w:sz="4" w:space="0" w:color="auto"/>
            </w:tcBorders>
            <w:shd w:val="clear" w:color="auto" w:fill="auto"/>
            <w:noWrap/>
            <w:vAlign w:val="center"/>
            <w:hideMark/>
          </w:tcPr>
          <w:p w14:paraId="5A3C21E6" w14:textId="3DA32609" w:rsidR="00D56845" w:rsidRPr="006C662B" w:rsidRDefault="00D56845" w:rsidP="00AE52EC">
            <w:pPr>
              <w:jc w:val="center"/>
              <w:rPr>
                <w:rFonts w:cs="Calibri"/>
                <w:color w:val="000000"/>
                <w:szCs w:val="22"/>
              </w:rPr>
            </w:pPr>
            <w:r w:rsidRPr="006C662B">
              <w:rPr>
                <w:rFonts w:cs="Calibri"/>
                <w:color w:val="000000"/>
                <w:szCs w:val="22"/>
              </w:rPr>
              <w:t>$8,090,836</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4FED49D3" w14:textId="77777777" w:rsidR="00D56845" w:rsidRPr="006C662B" w:rsidRDefault="00D56845" w:rsidP="00AE52EC">
            <w:pPr>
              <w:jc w:val="center"/>
              <w:rPr>
                <w:rFonts w:cs="Calibri"/>
                <w:color w:val="000000"/>
                <w:szCs w:val="22"/>
              </w:rPr>
            </w:pPr>
            <w:r w:rsidRPr="006C662B">
              <w:rPr>
                <w:rFonts w:cs="Calibri"/>
                <w:color w:val="000000"/>
                <w:szCs w:val="22"/>
              </w:rPr>
              <w:t>$161,817</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5D35F240" w14:textId="36F6F4E5" w:rsidR="00D56845" w:rsidRPr="006C662B" w:rsidRDefault="00D56845" w:rsidP="00AE52EC">
            <w:pPr>
              <w:jc w:val="center"/>
              <w:rPr>
                <w:rFonts w:cs="Calibri"/>
                <w:color w:val="000000"/>
                <w:szCs w:val="22"/>
              </w:rPr>
            </w:pPr>
            <w:r w:rsidRPr="006C662B">
              <w:rPr>
                <w:rFonts w:cs="Calibri"/>
                <w:color w:val="000000"/>
                <w:szCs w:val="22"/>
              </w:rPr>
              <w:t>$7,929,019</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799B6FD7" w14:textId="3B1DD5ED" w:rsidR="00D56845" w:rsidRPr="006C662B" w:rsidRDefault="00D56845" w:rsidP="00AE52EC">
            <w:pPr>
              <w:jc w:val="center"/>
              <w:rPr>
                <w:rFonts w:cs="Calibri"/>
                <w:color w:val="000000"/>
                <w:szCs w:val="22"/>
              </w:rPr>
            </w:pPr>
            <w:r w:rsidRPr="006C662B">
              <w:rPr>
                <w:rFonts w:cs="Calibri"/>
                <w:color w:val="000000"/>
                <w:szCs w:val="22"/>
              </w:rPr>
              <w:t>$380,236</w:t>
            </w:r>
          </w:p>
        </w:tc>
        <w:tc>
          <w:tcPr>
            <w:tcW w:w="2440" w:type="dxa"/>
            <w:tcBorders>
              <w:top w:val="nil"/>
              <w:left w:val="single" w:sz="4" w:space="0" w:color="auto"/>
              <w:bottom w:val="single" w:sz="4" w:space="0" w:color="auto"/>
              <w:right w:val="single" w:sz="8" w:space="0" w:color="auto"/>
            </w:tcBorders>
            <w:shd w:val="clear" w:color="auto" w:fill="auto"/>
            <w:noWrap/>
            <w:vAlign w:val="center"/>
            <w:hideMark/>
          </w:tcPr>
          <w:p w14:paraId="5B1E8F34" w14:textId="02A4ABAF" w:rsidR="00D56845" w:rsidRPr="006C662B" w:rsidRDefault="00D56845" w:rsidP="00AE52EC">
            <w:pPr>
              <w:jc w:val="center"/>
              <w:rPr>
                <w:rFonts w:cs="Calibri"/>
                <w:color w:val="000000"/>
                <w:szCs w:val="22"/>
              </w:rPr>
            </w:pPr>
            <w:r w:rsidRPr="006C662B">
              <w:rPr>
                <w:rFonts w:cs="Calibri"/>
                <w:color w:val="000000"/>
                <w:szCs w:val="22"/>
              </w:rPr>
              <w:t>$7,548,783</w:t>
            </w:r>
          </w:p>
        </w:tc>
      </w:tr>
      <w:tr w:rsidR="00D56845" w:rsidRPr="006C662B" w14:paraId="3E6990A4" w14:textId="77777777" w:rsidTr="00AE52EC">
        <w:trPr>
          <w:trHeight w:val="30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14:paraId="4EEAA316" w14:textId="77777777" w:rsidR="00D56845" w:rsidRPr="006C662B" w:rsidRDefault="00D56845" w:rsidP="00D56845">
            <w:pPr>
              <w:rPr>
                <w:rFonts w:cs="Calibri"/>
                <w:color w:val="000000"/>
                <w:szCs w:val="22"/>
              </w:rPr>
            </w:pPr>
            <w:r w:rsidRPr="006C662B">
              <w:rPr>
                <w:rFonts w:cs="Calibri"/>
                <w:color w:val="000000"/>
                <w:szCs w:val="22"/>
              </w:rPr>
              <w:t>Deep East</w:t>
            </w:r>
          </w:p>
        </w:tc>
        <w:tc>
          <w:tcPr>
            <w:tcW w:w="580" w:type="dxa"/>
            <w:tcBorders>
              <w:top w:val="nil"/>
              <w:left w:val="nil"/>
              <w:bottom w:val="single" w:sz="4" w:space="0" w:color="auto"/>
              <w:right w:val="single" w:sz="8" w:space="0" w:color="auto"/>
            </w:tcBorders>
            <w:shd w:val="clear" w:color="auto" w:fill="auto"/>
            <w:noWrap/>
            <w:vAlign w:val="center"/>
          </w:tcPr>
          <w:p w14:paraId="1A7F6095" w14:textId="223F72AD" w:rsidR="00D56845" w:rsidRPr="006C662B" w:rsidRDefault="00D56845" w:rsidP="00D56845">
            <w:pPr>
              <w:jc w:val="center"/>
              <w:rPr>
                <w:rFonts w:cs="Calibri"/>
                <w:szCs w:val="22"/>
              </w:rPr>
            </w:pPr>
            <w:r w:rsidRPr="007D5123">
              <w:rPr>
                <w:rFonts w:cs="Calibri"/>
                <w:szCs w:val="22"/>
              </w:rPr>
              <w:t>17</w:t>
            </w:r>
          </w:p>
        </w:tc>
        <w:tc>
          <w:tcPr>
            <w:tcW w:w="2188" w:type="dxa"/>
            <w:tcBorders>
              <w:top w:val="nil"/>
              <w:left w:val="nil"/>
              <w:bottom w:val="single" w:sz="4" w:space="0" w:color="auto"/>
              <w:right w:val="single" w:sz="4" w:space="0" w:color="auto"/>
            </w:tcBorders>
            <w:shd w:val="clear" w:color="auto" w:fill="auto"/>
            <w:noWrap/>
            <w:vAlign w:val="center"/>
            <w:hideMark/>
          </w:tcPr>
          <w:p w14:paraId="23A8E296" w14:textId="025B101A" w:rsidR="00D56845" w:rsidRPr="006C662B" w:rsidRDefault="00D56845" w:rsidP="00AE52EC">
            <w:pPr>
              <w:jc w:val="center"/>
              <w:rPr>
                <w:rFonts w:cs="Calibri"/>
                <w:color w:val="000000"/>
                <w:szCs w:val="22"/>
              </w:rPr>
            </w:pPr>
            <w:r w:rsidRPr="006C662B">
              <w:rPr>
                <w:rFonts w:cs="Calibri"/>
                <w:color w:val="000000"/>
                <w:szCs w:val="22"/>
              </w:rPr>
              <w:t>$10,050,037</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21095FA6" w14:textId="77777777" w:rsidR="00D56845" w:rsidRPr="006C662B" w:rsidRDefault="00D56845" w:rsidP="00AE52EC">
            <w:pPr>
              <w:jc w:val="center"/>
              <w:rPr>
                <w:rFonts w:cs="Calibri"/>
                <w:color w:val="000000"/>
                <w:szCs w:val="22"/>
              </w:rPr>
            </w:pPr>
            <w:r w:rsidRPr="006C662B">
              <w:rPr>
                <w:rFonts w:cs="Calibri"/>
                <w:color w:val="000000"/>
                <w:szCs w:val="22"/>
              </w:rPr>
              <w:t>$201,001</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7FA71DE5" w14:textId="7A855969" w:rsidR="00D56845" w:rsidRPr="006C662B" w:rsidRDefault="00D56845" w:rsidP="00AE52EC">
            <w:pPr>
              <w:jc w:val="center"/>
              <w:rPr>
                <w:rFonts w:cs="Calibri"/>
                <w:color w:val="000000"/>
                <w:szCs w:val="22"/>
              </w:rPr>
            </w:pPr>
            <w:r w:rsidRPr="006C662B">
              <w:rPr>
                <w:rFonts w:cs="Calibri"/>
                <w:color w:val="000000"/>
                <w:szCs w:val="22"/>
              </w:rPr>
              <w:t>$9,849,036</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4932DC0B" w14:textId="68C4092C" w:rsidR="00D56845" w:rsidRPr="006C662B" w:rsidRDefault="00D56845" w:rsidP="00AE52EC">
            <w:pPr>
              <w:jc w:val="center"/>
              <w:rPr>
                <w:rFonts w:cs="Calibri"/>
                <w:color w:val="000000"/>
                <w:szCs w:val="22"/>
              </w:rPr>
            </w:pPr>
            <w:r w:rsidRPr="006C662B">
              <w:rPr>
                <w:rFonts w:cs="Calibri"/>
                <w:color w:val="000000"/>
                <w:szCs w:val="22"/>
              </w:rPr>
              <w:t>$326,483</w:t>
            </w:r>
          </w:p>
        </w:tc>
        <w:tc>
          <w:tcPr>
            <w:tcW w:w="2440" w:type="dxa"/>
            <w:tcBorders>
              <w:top w:val="nil"/>
              <w:left w:val="single" w:sz="4" w:space="0" w:color="auto"/>
              <w:bottom w:val="single" w:sz="4" w:space="0" w:color="auto"/>
              <w:right w:val="single" w:sz="8" w:space="0" w:color="auto"/>
            </w:tcBorders>
            <w:shd w:val="clear" w:color="auto" w:fill="auto"/>
            <w:noWrap/>
            <w:vAlign w:val="center"/>
            <w:hideMark/>
          </w:tcPr>
          <w:p w14:paraId="3F306398" w14:textId="43A0D53F" w:rsidR="00D56845" w:rsidRPr="006C662B" w:rsidRDefault="00D56845" w:rsidP="00AE52EC">
            <w:pPr>
              <w:jc w:val="center"/>
              <w:rPr>
                <w:rFonts w:cs="Calibri"/>
                <w:color w:val="000000"/>
                <w:szCs w:val="22"/>
              </w:rPr>
            </w:pPr>
            <w:r w:rsidRPr="006C662B">
              <w:rPr>
                <w:rFonts w:cs="Calibri"/>
                <w:color w:val="000000"/>
                <w:szCs w:val="22"/>
              </w:rPr>
              <w:t>$9,522,553</w:t>
            </w:r>
          </w:p>
        </w:tc>
      </w:tr>
      <w:tr w:rsidR="00D56845" w:rsidRPr="006C662B" w14:paraId="081D1F95" w14:textId="77777777" w:rsidTr="00AE52EC">
        <w:trPr>
          <w:trHeight w:val="30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14:paraId="72DEB5EC" w14:textId="77777777" w:rsidR="00D56845" w:rsidRPr="006C662B" w:rsidRDefault="00D56845" w:rsidP="00D56845">
            <w:pPr>
              <w:rPr>
                <w:rFonts w:cs="Calibri"/>
                <w:color w:val="000000"/>
                <w:szCs w:val="22"/>
              </w:rPr>
            </w:pPr>
            <w:r w:rsidRPr="006C662B">
              <w:rPr>
                <w:rFonts w:cs="Calibri"/>
                <w:color w:val="000000"/>
                <w:szCs w:val="22"/>
              </w:rPr>
              <w:t>Southeast</w:t>
            </w:r>
          </w:p>
        </w:tc>
        <w:tc>
          <w:tcPr>
            <w:tcW w:w="580" w:type="dxa"/>
            <w:tcBorders>
              <w:top w:val="nil"/>
              <w:left w:val="nil"/>
              <w:bottom w:val="single" w:sz="4" w:space="0" w:color="auto"/>
              <w:right w:val="single" w:sz="8" w:space="0" w:color="auto"/>
            </w:tcBorders>
            <w:shd w:val="clear" w:color="auto" w:fill="auto"/>
            <w:noWrap/>
            <w:vAlign w:val="center"/>
          </w:tcPr>
          <w:p w14:paraId="64F61079" w14:textId="771F1E54" w:rsidR="00D56845" w:rsidRPr="006C662B" w:rsidRDefault="00D56845" w:rsidP="00D56845">
            <w:pPr>
              <w:jc w:val="center"/>
              <w:rPr>
                <w:rFonts w:cs="Calibri"/>
                <w:szCs w:val="22"/>
              </w:rPr>
            </w:pPr>
            <w:r w:rsidRPr="007D5123">
              <w:rPr>
                <w:rFonts w:cs="Calibri"/>
                <w:szCs w:val="22"/>
              </w:rPr>
              <w:t>18</w:t>
            </w:r>
          </w:p>
        </w:tc>
        <w:tc>
          <w:tcPr>
            <w:tcW w:w="2188" w:type="dxa"/>
            <w:tcBorders>
              <w:top w:val="nil"/>
              <w:left w:val="nil"/>
              <w:bottom w:val="single" w:sz="4" w:space="0" w:color="auto"/>
              <w:right w:val="single" w:sz="4" w:space="0" w:color="auto"/>
            </w:tcBorders>
            <w:shd w:val="clear" w:color="auto" w:fill="auto"/>
            <w:noWrap/>
            <w:vAlign w:val="center"/>
            <w:hideMark/>
          </w:tcPr>
          <w:p w14:paraId="4EE2E7F8" w14:textId="0C2199D2" w:rsidR="00D56845" w:rsidRPr="006C662B" w:rsidRDefault="00D56845" w:rsidP="00AE52EC">
            <w:pPr>
              <w:jc w:val="center"/>
              <w:rPr>
                <w:rFonts w:cs="Calibri"/>
                <w:color w:val="000000"/>
                <w:szCs w:val="22"/>
              </w:rPr>
            </w:pPr>
            <w:r w:rsidRPr="006C662B">
              <w:rPr>
                <w:rFonts w:cs="Calibri"/>
                <w:color w:val="000000"/>
                <w:szCs w:val="22"/>
              </w:rPr>
              <w:t>$10,021,722</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71E9F227" w14:textId="77777777" w:rsidR="00D56845" w:rsidRPr="006C662B" w:rsidRDefault="00D56845" w:rsidP="00AE52EC">
            <w:pPr>
              <w:jc w:val="center"/>
              <w:rPr>
                <w:rFonts w:cs="Calibri"/>
                <w:color w:val="000000"/>
                <w:szCs w:val="22"/>
              </w:rPr>
            </w:pPr>
            <w:r w:rsidRPr="006C662B">
              <w:rPr>
                <w:rFonts w:cs="Calibri"/>
                <w:color w:val="000000"/>
                <w:szCs w:val="22"/>
              </w:rPr>
              <w:t>$200,435</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36FBB2F0" w14:textId="0016CF28" w:rsidR="00D56845" w:rsidRPr="006C662B" w:rsidRDefault="00D56845" w:rsidP="00AE52EC">
            <w:pPr>
              <w:jc w:val="center"/>
              <w:rPr>
                <w:rFonts w:cs="Calibri"/>
                <w:color w:val="000000"/>
                <w:szCs w:val="22"/>
              </w:rPr>
            </w:pPr>
            <w:r w:rsidRPr="006C662B">
              <w:rPr>
                <w:rFonts w:cs="Calibri"/>
                <w:color w:val="000000"/>
                <w:szCs w:val="22"/>
              </w:rPr>
              <w:t>$9,821,287</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710C62E6" w14:textId="0615D80C" w:rsidR="00D56845" w:rsidRPr="006C662B" w:rsidRDefault="00D56845" w:rsidP="00AE52EC">
            <w:pPr>
              <w:jc w:val="center"/>
              <w:rPr>
                <w:rFonts w:cs="Calibri"/>
                <w:color w:val="000000"/>
                <w:szCs w:val="22"/>
              </w:rPr>
            </w:pPr>
            <w:r w:rsidRPr="006C662B">
              <w:rPr>
                <w:rFonts w:cs="Calibri"/>
                <w:color w:val="000000"/>
                <w:szCs w:val="22"/>
              </w:rPr>
              <w:t>$359,808</w:t>
            </w:r>
          </w:p>
        </w:tc>
        <w:tc>
          <w:tcPr>
            <w:tcW w:w="2440" w:type="dxa"/>
            <w:tcBorders>
              <w:top w:val="nil"/>
              <w:left w:val="single" w:sz="4" w:space="0" w:color="auto"/>
              <w:bottom w:val="single" w:sz="4" w:space="0" w:color="auto"/>
              <w:right w:val="single" w:sz="8" w:space="0" w:color="auto"/>
            </w:tcBorders>
            <w:shd w:val="clear" w:color="auto" w:fill="auto"/>
            <w:noWrap/>
            <w:vAlign w:val="center"/>
            <w:hideMark/>
          </w:tcPr>
          <w:p w14:paraId="033AF6DD" w14:textId="0F0E05C7" w:rsidR="00D56845" w:rsidRPr="006C662B" w:rsidRDefault="00D56845" w:rsidP="00AE52EC">
            <w:pPr>
              <w:jc w:val="center"/>
              <w:rPr>
                <w:rFonts w:cs="Calibri"/>
                <w:color w:val="000000"/>
                <w:szCs w:val="22"/>
              </w:rPr>
            </w:pPr>
            <w:r w:rsidRPr="006C662B">
              <w:rPr>
                <w:rFonts w:cs="Calibri"/>
                <w:color w:val="000000"/>
                <w:szCs w:val="22"/>
              </w:rPr>
              <w:t>$9,461,479</w:t>
            </w:r>
          </w:p>
        </w:tc>
      </w:tr>
      <w:tr w:rsidR="00D56845" w:rsidRPr="006C662B" w14:paraId="2174F00B" w14:textId="77777777" w:rsidTr="00AE52EC">
        <w:trPr>
          <w:trHeight w:val="30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14:paraId="60513972" w14:textId="77777777" w:rsidR="00D56845" w:rsidRPr="006C662B" w:rsidRDefault="00D56845" w:rsidP="00D56845">
            <w:pPr>
              <w:rPr>
                <w:rFonts w:cs="Calibri"/>
                <w:color w:val="000000"/>
                <w:szCs w:val="22"/>
              </w:rPr>
            </w:pPr>
            <w:r w:rsidRPr="006C662B">
              <w:rPr>
                <w:rFonts w:cs="Calibri"/>
                <w:color w:val="000000"/>
                <w:szCs w:val="22"/>
              </w:rPr>
              <w:t>Golden Crescent</w:t>
            </w:r>
          </w:p>
        </w:tc>
        <w:tc>
          <w:tcPr>
            <w:tcW w:w="580" w:type="dxa"/>
            <w:tcBorders>
              <w:top w:val="nil"/>
              <w:left w:val="nil"/>
              <w:bottom w:val="single" w:sz="4" w:space="0" w:color="auto"/>
              <w:right w:val="single" w:sz="8" w:space="0" w:color="auto"/>
            </w:tcBorders>
            <w:shd w:val="clear" w:color="auto" w:fill="auto"/>
            <w:noWrap/>
            <w:vAlign w:val="center"/>
          </w:tcPr>
          <w:p w14:paraId="2715C297" w14:textId="7FDB614A" w:rsidR="00D56845" w:rsidRPr="006C662B" w:rsidRDefault="00D56845" w:rsidP="00D56845">
            <w:pPr>
              <w:jc w:val="center"/>
              <w:rPr>
                <w:rFonts w:cs="Calibri"/>
                <w:szCs w:val="22"/>
              </w:rPr>
            </w:pPr>
            <w:r w:rsidRPr="007D5123">
              <w:rPr>
                <w:rFonts w:cs="Calibri"/>
                <w:szCs w:val="22"/>
              </w:rPr>
              <w:t>19</w:t>
            </w:r>
          </w:p>
        </w:tc>
        <w:tc>
          <w:tcPr>
            <w:tcW w:w="2188" w:type="dxa"/>
            <w:tcBorders>
              <w:top w:val="nil"/>
              <w:left w:val="nil"/>
              <w:bottom w:val="single" w:sz="4" w:space="0" w:color="auto"/>
              <w:right w:val="single" w:sz="4" w:space="0" w:color="auto"/>
            </w:tcBorders>
            <w:shd w:val="clear" w:color="auto" w:fill="auto"/>
            <w:noWrap/>
            <w:vAlign w:val="center"/>
            <w:hideMark/>
          </w:tcPr>
          <w:p w14:paraId="08D6F2E6" w14:textId="28005404" w:rsidR="00D56845" w:rsidRPr="006C662B" w:rsidRDefault="00D56845" w:rsidP="00AE52EC">
            <w:pPr>
              <w:jc w:val="center"/>
              <w:rPr>
                <w:rFonts w:cs="Calibri"/>
                <w:color w:val="000000"/>
                <w:szCs w:val="22"/>
              </w:rPr>
            </w:pPr>
            <w:r w:rsidRPr="006C662B">
              <w:rPr>
                <w:rFonts w:cs="Calibri"/>
                <w:color w:val="000000"/>
                <w:szCs w:val="22"/>
              </w:rPr>
              <w:t>$4,817,573</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39312571" w14:textId="77777777" w:rsidR="00D56845" w:rsidRPr="006C662B" w:rsidRDefault="00D56845" w:rsidP="00AE52EC">
            <w:pPr>
              <w:jc w:val="center"/>
              <w:rPr>
                <w:rFonts w:cs="Calibri"/>
                <w:color w:val="000000"/>
                <w:szCs w:val="22"/>
              </w:rPr>
            </w:pPr>
            <w:r w:rsidRPr="006C662B">
              <w:rPr>
                <w:rFonts w:cs="Calibri"/>
                <w:color w:val="000000"/>
                <w:szCs w:val="22"/>
              </w:rPr>
              <w:t>$96,352</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2D762942" w14:textId="2FA3F1FE" w:rsidR="00D56845" w:rsidRPr="006C662B" w:rsidRDefault="00D56845" w:rsidP="00AE52EC">
            <w:pPr>
              <w:jc w:val="center"/>
              <w:rPr>
                <w:rFonts w:cs="Calibri"/>
                <w:color w:val="000000"/>
                <w:szCs w:val="22"/>
              </w:rPr>
            </w:pPr>
            <w:r w:rsidRPr="006C662B">
              <w:rPr>
                <w:rFonts w:cs="Calibri"/>
                <w:color w:val="000000"/>
                <w:szCs w:val="22"/>
              </w:rPr>
              <w:t>$4,721,221</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29198E36" w14:textId="3F876B0D" w:rsidR="00D56845" w:rsidRPr="006C662B" w:rsidRDefault="00D56845" w:rsidP="00AE52EC">
            <w:pPr>
              <w:jc w:val="center"/>
              <w:rPr>
                <w:rFonts w:cs="Calibri"/>
                <w:color w:val="000000"/>
                <w:szCs w:val="22"/>
              </w:rPr>
            </w:pPr>
            <w:r w:rsidRPr="006C662B">
              <w:rPr>
                <w:rFonts w:cs="Calibri"/>
                <w:color w:val="000000"/>
                <w:szCs w:val="22"/>
              </w:rPr>
              <w:t>$197,230</w:t>
            </w:r>
          </w:p>
        </w:tc>
        <w:tc>
          <w:tcPr>
            <w:tcW w:w="2440" w:type="dxa"/>
            <w:tcBorders>
              <w:top w:val="nil"/>
              <w:left w:val="single" w:sz="4" w:space="0" w:color="auto"/>
              <w:bottom w:val="single" w:sz="4" w:space="0" w:color="auto"/>
              <w:right w:val="single" w:sz="8" w:space="0" w:color="auto"/>
            </w:tcBorders>
            <w:shd w:val="clear" w:color="auto" w:fill="auto"/>
            <w:noWrap/>
            <w:vAlign w:val="center"/>
            <w:hideMark/>
          </w:tcPr>
          <w:p w14:paraId="54718129" w14:textId="49229A07" w:rsidR="00D56845" w:rsidRPr="006C662B" w:rsidRDefault="00D56845" w:rsidP="00AE52EC">
            <w:pPr>
              <w:jc w:val="center"/>
              <w:rPr>
                <w:rFonts w:cs="Calibri"/>
                <w:color w:val="000000"/>
                <w:szCs w:val="22"/>
              </w:rPr>
            </w:pPr>
            <w:r w:rsidRPr="006C662B">
              <w:rPr>
                <w:rFonts w:cs="Calibri"/>
                <w:color w:val="000000"/>
                <w:szCs w:val="22"/>
              </w:rPr>
              <w:t>$4,523,991</w:t>
            </w:r>
          </w:p>
        </w:tc>
      </w:tr>
      <w:tr w:rsidR="00D56845" w:rsidRPr="006C662B" w14:paraId="72E942C2" w14:textId="77777777" w:rsidTr="00AE52EC">
        <w:trPr>
          <w:trHeight w:val="30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14:paraId="1E2989EC" w14:textId="77777777" w:rsidR="00D56845" w:rsidRPr="006C662B" w:rsidRDefault="00D56845" w:rsidP="00D56845">
            <w:pPr>
              <w:rPr>
                <w:rFonts w:cs="Calibri"/>
                <w:color w:val="000000"/>
                <w:szCs w:val="22"/>
              </w:rPr>
            </w:pPr>
            <w:r w:rsidRPr="006C662B">
              <w:rPr>
                <w:rFonts w:cs="Calibri"/>
                <w:color w:val="000000"/>
                <w:szCs w:val="22"/>
              </w:rPr>
              <w:t>Alamo</w:t>
            </w:r>
          </w:p>
        </w:tc>
        <w:tc>
          <w:tcPr>
            <w:tcW w:w="580" w:type="dxa"/>
            <w:tcBorders>
              <w:top w:val="nil"/>
              <w:left w:val="nil"/>
              <w:bottom w:val="single" w:sz="4" w:space="0" w:color="auto"/>
              <w:right w:val="single" w:sz="8" w:space="0" w:color="auto"/>
            </w:tcBorders>
            <w:shd w:val="clear" w:color="auto" w:fill="auto"/>
            <w:noWrap/>
            <w:vAlign w:val="center"/>
          </w:tcPr>
          <w:p w14:paraId="3A9CF7DB" w14:textId="1E305FED" w:rsidR="00D56845" w:rsidRPr="006C662B" w:rsidRDefault="00D56845" w:rsidP="00D56845">
            <w:pPr>
              <w:jc w:val="center"/>
              <w:rPr>
                <w:rFonts w:cs="Calibri"/>
                <w:szCs w:val="22"/>
              </w:rPr>
            </w:pPr>
            <w:r w:rsidRPr="007D5123">
              <w:rPr>
                <w:rFonts w:cs="Calibri"/>
                <w:szCs w:val="22"/>
              </w:rPr>
              <w:t>20</w:t>
            </w:r>
          </w:p>
        </w:tc>
        <w:tc>
          <w:tcPr>
            <w:tcW w:w="2188" w:type="dxa"/>
            <w:tcBorders>
              <w:top w:val="nil"/>
              <w:left w:val="nil"/>
              <w:bottom w:val="single" w:sz="4" w:space="0" w:color="auto"/>
              <w:right w:val="single" w:sz="4" w:space="0" w:color="auto"/>
            </w:tcBorders>
            <w:shd w:val="clear" w:color="auto" w:fill="auto"/>
            <w:noWrap/>
            <w:vAlign w:val="center"/>
            <w:hideMark/>
          </w:tcPr>
          <w:p w14:paraId="32DD4D39" w14:textId="4F7BE33F" w:rsidR="00D56845" w:rsidRPr="006C662B" w:rsidRDefault="00D56845" w:rsidP="00AE52EC">
            <w:pPr>
              <w:jc w:val="center"/>
              <w:rPr>
                <w:rFonts w:cs="Calibri"/>
                <w:color w:val="000000"/>
                <w:szCs w:val="22"/>
              </w:rPr>
            </w:pPr>
            <w:r w:rsidRPr="006C662B">
              <w:rPr>
                <w:rFonts w:cs="Calibri"/>
                <w:color w:val="000000"/>
                <w:szCs w:val="22"/>
              </w:rPr>
              <w:t>$62,708,843</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6EE8542D" w14:textId="77777777" w:rsidR="00D56845" w:rsidRPr="006C662B" w:rsidRDefault="00D56845" w:rsidP="00AE52EC">
            <w:pPr>
              <w:jc w:val="center"/>
              <w:rPr>
                <w:rFonts w:cs="Calibri"/>
                <w:color w:val="000000"/>
                <w:szCs w:val="22"/>
              </w:rPr>
            </w:pPr>
            <w:r w:rsidRPr="006C662B">
              <w:rPr>
                <w:rFonts w:cs="Calibri"/>
                <w:color w:val="000000"/>
                <w:szCs w:val="22"/>
              </w:rPr>
              <w:t>$1,254,177</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61F245B2" w14:textId="5EC9C685" w:rsidR="00D56845" w:rsidRPr="006C662B" w:rsidRDefault="00D56845" w:rsidP="00AE52EC">
            <w:pPr>
              <w:jc w:val="center"/>
              <w:rPr>
                <w:rFonts w:cs="Calibri"/>
                <w:color w:val="000000"/>
                <w:szCs w:val="22"/>
              </w:rPr>
            </w:pPr>
            <w:r w:rsidRPr="006C662B">
              <w:rPr>
                <w:rFonts w:cs="Calibri"/>
                <w:color w:val="000000"/>
                <w:szCs w:val="22"/>
              </w:rPr>
              <w:t>$61,454,666</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2668A78A" w14:textId="7DD1C5F6" w:rsidR="00D56845" w:rsidRPr="006C662B" w:rsidRDefault="00D56845" w:rsidP="00AE52EC">
            <w:pPr>
              <w:jc w:val="center"/>
              <w:rPr>
                <w:rFonts w:cs="Calibri"/>
                <w:color w:val="000000"/>
                <w:szCs w:val="22"/>
              </w:rPr>
            </w:pPr>
            <w:r w:rsidRPr="006C662B">
              <w:rPr>
                <w:rFonts w:cs="Calibri"/>
                <w:color w:val="000000"/>
                <w:szCs w:val="22"/>
              </w:rPr>
              <w:t>$1,609,543</w:t>
            </w:r>
          </w:p>
        </w:tc>
        <w:tc>
          <w:tcPr>
            <w:tcW w:w="2440" w:type="dxa"/>
            <w:tcBorders>
              <w:top w:val="nil"/>
              <w:left w:val="single" w:sz="4" w:space="0" w:color="auto"/>
              <w:bottom w:val="single" w:sz="4" w:space="0" w:color="auto"/>
              <w:right w:val="single" w:sz="8" w:space="0" w:color="auto"/>
            </w:tcBorders>
            <w:shd w:val="clear" w:color="auto" w:fill="auto"/>
            <w:noWrap/>
            <w:vAlign w:val="center"/>
            <w:hideMark/>
          </w:tcPr>
          <w:p w14:paraId="17F025DD" w14:textId="73A472EA" w:rsidR="00D56845" w:rsidRPr="006C662B" w:rsidRDefault="00D56845" w:rsidP="00AE52EC">
            <w:pPr>
              <w:jc w:val="center"/>
              <w:rPr>
                <w:rFonts w:cs="Calibri"/>
                <w:color w:val="000000"/>
                <w:szCs w:val="22"/>
              </w:rPr>
            </w:pPr>
            <w:r w:rsidRPr="006C662B">
              <w:rPr>
                <w:rFonts w:cs="Calibri"/>
                <w:color w:val="000000"/>
                <w:szCs w:val="22"/>
              </w:rPr>
              <w:t>$59,845,123</w:t>
            </w:r>
          </w:p>
        </w:tc>
      </w:tr>
      <w:tr w:rsidR="00D56845" w:rsidRPr="006C662B" w14:paraId="1B05ACAF" w14:textId="77777777" w:rsidTr="00AE52EC">
        <w:trPr>
          <w:trHeight w:val="30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14:paraId="79B30482" w14:textId="77777777" w:rsidR="00D56845" w:rsidRPr="006C662B" w:rsidRDefault="00D56845" w:rsidP="00D56845">
            <w:pPr>
              <w:rPr>
                <w:rFonts w:cs="Calibri"/>
                <w:color w:val="000000"/>
                <w:szCs w:val="22"/>
              </w:rPr>
            </w:pPr>
            <w:r w:rsidRPr="006C662B">
              <w:rPr>
                <w:rFonts w:cs="Calibri"/>
                <w:color w:val="000000"/>
                <w:szCs w:val="22"/>
              </w:rPr>
              <w:t>South Texas</w:t>
            </w:r>
          </w:p>
        </w:tc>
        <w:tc>
          <w:tcPr>
            <w:tcW w:w="580" w:type="dxa"/>
            <w:tcBorders>
              <w:top w:val="nil"/>
              <w:left w:val="nil"/>
              <w:bottom w:val="single" w:sz="4" w:space="0" w:color="auto"/>
              <w:right w:val="single" w:sz="8" w:space="0" w:color="auto"/>
            </w:tcBorders>
            <w:shd w:val="clear" w:color="auto" w:fill="auto"/>
            <w:noWrap/>
            <w:vAlign w:val="center"/>
          </w:tcPr>
          <w:p w14:paraId="63C0EF21" w14:textId="40DCCD4E" w:rsidR="00D56845" w:rsidRPr="006C662B" w:rsidRDefault="00D56845" w:rsidP="00D56845">
            <w:pPr>
              <w:jc w:val="center"/>
              <w:rPr>
                <w:rFonts w:cs="Calibri"/>
                <w:szCs w:val="22"/>
              </w:rPr>
            </w:pPr>
            <w:r w:rsidRPr="007D5123">
              <w:rPr>
                <w:rFonts w:cs="Calibri"/>
                <w:szCs w:val="22"/>
              </w:rPr>
              <w:t>21</w:t>
            </w:r>
          </w:p>
        </w:tc>
        <w:tc>
          <w:tcPr>
            <w:tcW w:w="2188" w:type="dxa"/>
            <w:tcBorders>
              <w:top w:val="nil"/>
              <w:left w:val="nil"/>
              <w:bottom w:val="single" w:sz="4" w:space="0" w:color="auto"/>
              <w:right w:val="single" w:sz="4" w:space="0" w:color="auto"/>
            </w:tcBorders>
            <w:shd w:val="clear" w:color="auto" w:fill="auto"/>
            <w:noWrap/>
            <w:vAlign w:val="center"/>
            <w:hideMark/>
          </w:tcPr>
          <w:p w14:paraId="7BA2A139" w14:textId="06D9614A" w:rsidR="00D56845" w:rsidRPr="006C662B" w:rsidRDefault="00D56845" w:rsidP="00AE52EC">
            <w:pPr>
              <w:jc w:val="center"/>
              <w:rPr>
                <w:rFonts w:cs="Calibri"/>
                <w:color w:val="000000"/>
                <w:szCs w:val="22"/>
              </w:rPr>
            </w:pPr>
            <w:r w:rsidRPr="006C662B">
              <w:rPr>
                <w:rFonts w:cs="Calibri"/>
                <w:color w:val="000000"/>
                <w:szCs w:val="22"/>
              </w:rPr>
              <w:t>$13,307,382</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290FF88D" w14:textId="77777777" w:rsidR="00D56845" w:rsidRPr="006C662B" w:rsidRDefault="00D56845" w:rsidP="00AE52EC">
            <w:pPr>
              <w:jc w:val="center"/>
              <w:rPr>
                <w:rFonts w:cs="Calibri"/>
                <w:color w:val="000000"/>
                <w:szCs w:val="22"/>
              </w:rPr>
            </w:pPr>
            <w:r w:rsidRPr="006C662B">
              <w:rPr>
                <w:rFonts w:cs="Calibri"/>
                <w:color w:val="000000"/>
                <w:szCs w:val="22"/>
              </w:rPr>
              <w:t>$266,148</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64BF01FA" w14:textId="5C76051C" w:rsidR="00D56845" w:rsidRPr="006C662B" w:rsidRDefault="00D56845" w:rsidP="00AE52EC">
            <w:pPr>
              <w:jc w:val="center"/>
              <w:rPr>
                <w:rFonts w:cs="Calibri"/>
                <w:color w:val="000000"/>
                <w:szCs w:val="22"/>
              </w:rPr>
            </w:pPr>
            <w:r w:rsidRPr="006C662B">
              <w:rPr>
                <w:rFonts w:cs="Calibri"/>
                <w:color w:val="000000"/>
                <w:szCs w:val="22"/>
              </w:rPr>
              <w:t>$13,041,234</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0EBBBBF9" w14:textId="36AEE9F9" w:rsidR="00D56845" w:rsidRPr="006C662B" w:rsidRDefault="00D56845" w:rsidP="00AE52EC">
            <w:pPr>
              <w:jc w:val="center"/>
              <w:rPr>
                <w:rFonts w:cs="Calibri"/>
                <w:color w:val="000000"/>
                <w:szCs w:val="22"/>
              </w:rPr>
            </w:pPr>
            <w:r w:rsidRPr="006C662B">
              <w:rPr>
                <w:rFonts w:cs="Calibri"/>
                <w:color w:val="000000"/>
                <w:szCs w:val="22"/>
              </w:rPr>
              <w:t>$363,167</w:t>
            </w:r>
          </w:p>
        </w:tc>
        <w:tc>
          <w:tcPr>
            <w:tcW w:w="2440" w:type="dxa"/>
            <w:tcBorders>
              <w:top w:val="nil"/>
              <w:left w:val="single" w:sz="4" w:space="0" w:color="auto"/>
              <w:bottom w:val="single" w:sz="4" w:space="0" w:color="auto"/>
              <w:right w:val="single" w:sz="8" w:space="0" w:color="auto"/>
            </w:tcBorders>
            <w:shd w:val="clear" w:color="auto" w:fill="auto"/>
            <w:noWrap/>
            <w:vAlign w:val="center"/>
            <w:hideMark/>
          </w:tcPr>
          <w:p w14:paraId="5327055D" w14:textId="6F52D763" w:rsidR="00D56845" w:rsidRPr="006C662B" w:rsidRDefault="00D56845" w:rsidP="00AE52EC">
            <w:pPr>
              <w:jc w:val="center"/>
              <w:rPr>
                <w:rFonts w:cs="Calibri"/>
                <w:color w:val="000000"/>
                <w:szCs w:val="22"/>
              </w:rPr>
            </w:pPr>
            <w:r w:rsidRPr="006C662B">
              <w:rPr>
                <w:rFonts w:cs="Calibri"/>
                <w:color w:val="000000"/>
                <w:szCs w:val="22"/>
              </w:rPr>
              <w:t>$12,678,067</w:t>
            </w:r>
          </w:p>
        </w:tc>
      </w:tr>
      <w:tr w:rsidR="00D56845" w:rsidRPr="006C662B" w14:paraId="3EBD2FD8" w14:textId="77777777" w:rsidTr="00AE52EC">
        <w:trPr>
          <w:trHeight w:val="30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14:paraId="43BE7EA1" w14:textId="77777777" w:rsidR="00D56845" w:rsidRPr="006C662B" w:rsidRDefault="00D56845" w:rsidP="00D56845">
            <w:pPr>
              <w:rPr>
                <w:rFonts w:cs="Calibri"/>
                <w:color w:val="000000"/>
                <w:szCs w:val="22"/>
              </w:rPr>
            </w:pPr>
            <w:r w:rsidRPr="006C662B">
              <w:rPr>
                <w:rFonts w:cs="Calibri"/>
                <w:color w:val="000000"/>
                <w:szCs w:val="22"/>
              </w:rPr>
              <w:t>Coastal Bend</w:t>
            </w:r>
          </w:p>
        </w:tc>
        <w:tc>
          <w:tcPr>
            <w:tcW w:w="580" w:type="dxa"/>
            <w:tcBorders>
              <w:top w:val="nil"/>
              <w:left w:val="nil"/>
              <w:bottom w:val="single" w:sz="4" w:space="0" w:color="auto"/>
              <w:right w:val="single" w:sz="8" w:space="0" w:color="auto"/>
            </w:tcBorders>
            <w:shd w:val="clear" w:color="auto" w:fill="auto"/>
            <w:noWrap/>
            <w:vAlign w:val="center"/>
          </w:tcPr>
          <w:p w14:paraId="7E0CC425" w14:textId="71BD0ABD" w:rsidR="00D56845" w:rsidRPr="006C662B" w:rsidRDefault="00D56845" w:rsidP="00D56845">
            <w:pPr>
              <w:jc w:val="center"/>
              <w:rPr>
                <w:rFonts w:cs="Calibri"/>
                <w:szCs w:val="22"/>
              </w:rPr>
            </w:pPr>
            <w:r w:rsidRPr="007D5123">
              <w:rPr>
                <w:rFonts w:cs="Calibri"/>
                <w:szCs w:val="22"/>
              </w:rPr>
              <w:t>22</w:t>
            </w:r>
          </w:p>
        </w:tc>
        <w:tc>
          <w:tcPr>
            <w:tcW w:w="2188" w:type="dxa"/>
            <w:tcBorders>
              <w:top w:val="nil"/>
              <w:left w:val="nil"/>
              <w:bottom w:val="single" w:sz="4" w:space="0" w:color="auto"/>
              <w:right w:val="single" w:sz="4" w:space="0" w:color="auto"/>
            </w:tcBorders>
            <w:shd w:val="clear" w:color="auto" w:fill="auto"/>
            <w:noWrap/>
            <w:vAlign w:val="center"/>
            <w:hideMark/>
          </w:tcPr>
          <w:p w14:paraId="4ACDC197" w14:textId="581DDA50" w:rsidR="00D56845" w:rsidRPr="006C662B" w:rsidRDefault="00D56845" w:rsidP="00AE52EC">
            <w:pPr>
              <w:jc w:val="center"/>
              <w:rPr>
                <w:rFonts w:cs="Calibri"/>
                <w:color w:val="000000"/>
                <w:szCs w:val="22"/>
              </w:rPr>
            </w:pPr>
            <w:r w:rsidRPr="006C662B">
              <w:rPr>
                <w:rFonts w:cs="Calibri"/>
                <w:color w:val="000000"/>
                <w:szCs w:val="22"/>
              </w:rPr>
              <w:t>$15,567,489</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5288AB53" w14:textId="77777777" w:rsidR="00D56845" w:rsidRPr="006C662B" w:rsidRDefault="00D56845" w:rsidP="00AE52EC">
            <w:pPr>
              <w:jc w:val="center"/>
              <w:rPr>
                <w:rFonts w:cs="Calibri"/>
                <w:color w:val="000000"/>
                <w:szCs w:val="22"/>
              </w:rPr>
            </w:pPr>
            <w:r w:rsidRPr="006C662B">
              <w:rPr>
                <w:rFonts w:cs="Calibri"/>
                <w:color w:val="000000"/>
                <w:szCs w:val="22"/>
              </w:rPr>
              <w:t>$311,350</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60217773" w14:textId="0C4D17E4" w:rsidR="00D56845" w:rsidRPr="006C662B" w:rsidRDefault="00D56845" w:rsidP="00AE52EC">
            <w:pPr>
              <w:jc w:val="center"/>
              <w:rPr>
                <w:rFonts w:cs="Calibri"/>
                <w:color w:val="000000"/>
                <w:szCs w:val="22"/>
              </w:rPr>
            </w:pPr>
            <w:r w:rsidRPr="006C662B">
              <w:rPr>
                <w:rFonts w:cs="Calibri"/>
                <w:color w:val="000000"/>
                <w:szCs w:val="22"/>
              </w:rPr>
              <w:t>$15,256,139</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7EF070FB" w14:textId="049A3DBB" w:rsidR="00D56845" w:rsidRPr="006C662B" w:rsidRDefault="00D56845" w:rsidP="00AE52EC">
            <w:pPr>
              <w:jc w:val="center"/>
              <w:rPr>
                <w:rFonts w:cs="Calibri"/>
                <w:color w:val="000000"/>
                <w:szCs w:val="22"/>
              </w:rPr>
            </w:pPr>
            <w:r w:rsidRPr="006C662B">
              <w:rPr>
                <w:rFonts w:cs="Calibri"/>
                <w:color w:val="000000"/>
                <w:szCs w:val="22"/>
              </w:rPr>
              <w:t>$520,461</w:t>
            </w:r>
          </w:p>
        </w:tc>
        <w:tc>
          <w:tcPr>
            <w:tcW w:w="2440" w:type="dxa"/>
            <w:tcBorders>
              <w:top w:val="nil"/>
              <w:left w:val="single" w:sz="4" w:space="0" w:color="auto"/>
              <w:bottom w:val="single" w:sz="4" w:space="0" w:color="auto"/>
              <w:right w:val="single" w:sz="8" w:space="0" w:color="auto"/>
            </w:tcBorders>
            <w:shd w:val="clear" w:color="auto" w:fill="auto"/>
            <w:noWrap/>
            <w:vAlign w:val="center"/>
            <w:hideMark/>
          </w:tcPr>
          <w:p w14:paraId="692B5733" w14:textId="2C3ECF61" w:rsidR="00D56845" w:rsidRPr="006C662B" w:rsidRDefault="00D56845" w:rsidP="00AE52EC">
            <w:pPr>
              <w:jc w:val="center"/>
              <w:rPr>
                <w:rFonts w:cs="Calibri"/>
                <w:color w:val="000000"/>
                <w:szCs w:val="22"/>
              </w:rPr>
            </w:pPr>
            <w:r w:rsidRPr="006C662B">
              <w:rPr>
                <w:rFonts w:cs="Calibri"/>
                <w:color w:val="000000"/>
                <w:szCs w:val="22"/>
              </w:rPr>
              <w:t>$14,735,678</w:t>
            </w:r>
          </w:p>
        </w:tc>
      </w:tr>
      <w:tr w:rsidR="00D56845" w:rsidRPr="006C662B" w14:paraId="795096CB" w14:textId="77777777" w:rsidTr="00AE52EC">
        <w:trPr>
          <w:trHeight w:val="30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14:paraId="7AE15605" w14:textId="77777777" w:rsidR="00D56845" w:rsidRPr="006C662B" w:rsidRDefault="00D56845" w:rsidP="00D56845">
            <w:pPr>
              <w:rPr>
                <w:rFonts w:cs="Calibri"/>
                <w:color w:val="000000"/>
                <w:szCs w:val="22"/>
              </w:rPr>
            </w:pPr>
            <w:r w:rsidRPr="006C662B">
              <w:rPr>
                <w:rFonts w:cs="Calibri"/>
                <w:color w:val="000000"/>
                <w:szCs w:val="22"/>
              </w:rPr>
              <w:t>Lower Rio</w:t>
            </w:r>
          </w:p>
        </w:tc>
        <w:tc>
          <w:tcPr>
            <w:tcW w:w="580" w:type="dxa"/>
            <w:tcBorders>
              <w:top w:val="nil"/>
              <w:left w:val="nil"/>
              <w:bottom w:val="single" w:sz="4" w:space="0" w:color="auto"/>
              <w:right w:val="single" w:sz="8" w:space="0" w:color="auto"/>
            </w:tcBorders>
            <w:shd w:val="clear" w:color="auto" w:fill="auto"/>
            <w:noWrap/>
            <w:vAlign w:val="center"/>
          </w:tcPr>
          <w:p w14:paraId="31ADF4E1" w14:textId="7C51F9F4" w:rsidR="00D56845" w:rsidRPr="006C662B" w:rsidRDefault="00D56845" w:rsidP="00D56845">
            <w:pPr>
              <w:jc w:val="center"/>
              <w:rPr>
                <w:rFonts w:cs="Calibri"/>
                <w:szCs w:val="22"/>
              </w:rPr>
            </w:pPr>
            <w:r w:rsidRPr="007D5123">
              <w:rPr>
                <w:rFonts w:cs="Calibri"/>
                <w:szCs w:val="22"/>
              </w:rPr>
              <w:t>23</w:t>
            </w:r>
          </w:p>
        </w:tc>
        <w:tc>
          <w:tcPr>
            <w:tcW w:w="2188" w:type="dxa"/>
            <w:tcBorders>
              <w:top w:val="nil"/>
              <w:left w:val="nil"/>
              <w:bottom w:val="single" w:sz="4" w:space="0" w:color="auto"/>
              <w:right w:val="single" w:sz="4" w:space="0" w:color="auto"/>
            </w:tcBorders>
            <w:shd w:val="clear" w:color="auto" w:fill="auto"/>
            <w:noWrap/>
            <w:vAlign w:val="center"/>
            <w:hideMark/>
          </w:tcPr>
          <w:p w14:paraId="79982756" w14:textId="00A688AB" w:rsidR="00D56845" w:rsidRPr="006C662B" w:rsidRDefault="00D56845" w:rsidP="00AE52EC">
            <w:pPr>
              <w:jc w:val="center"/>
              <w:rPr>
                <w:rFonts w:cs="Calibri"/>
                <w:color w:val="000000"/>
                <w:szCs w:val="22"/>
              </w:rPr>
            </w:pPr>
            <w:r w:rsidRPr="006C662B">
              <w:rPr>
                <w:rFonts w:cs="Calibri"/>
                <w:color w:val="000000"/>
                <w:szCs w:val="22"/>
              </w:rPr>
              <w:t>$42,495,730</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5D2A1902" w14:textId="77777777" w:rsidR="00D56845" w:rsidRPr="006C662B" w:rsidRDefault="00D56845" w:rsidP="00AE52EC">
            <w:pPr>
              <w:jc w:val="center"/>
              <w:rPr>
                <w:rFonts w:cs="Calibri"/>
                <w:color w:val="000000"/>
                <w:szCs w:val="22"/>
              </w:rPr>
            </w:pPr>
            <w:r w:rsidRPr="006C662B">
              <w:rPr>
                <w:rFonts w:cs="Calibri"/>
                <w:color w:val="000000"/>
                <w:szCs w:val="22"/>
              </w:rPr>
              <w:t>$849,915</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330E4ADA" w14:textId="0FD5C617" w:rsidR="00D56845" w:rsidRPr="006C662B" w:rsidRDefault="00D56845" w:rsidP="00AE52EC">
            <w:pPr>
              <w:jc w:val="center"/>
              <w:rPr>
                <w:rFonts w:cs="Calibri"/>
                <w:color w:val="000000"/>
                <w:szCs w:val="22"/>
              </w:rPr>
            </w:pPr>
            <w:r w:rsidRPr="006C662B">
              <w:rPr>
                <w:rFonts w:cs="Calibri"/>
                <w:color w:val="000000"/>
                <w:szCs w:val="22"/>
              </w:rPr>
              <w:t>$41,645,815</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465A60F7" w14:textId="171D1C27" w:rsidR="00D56845" w:rsidRPr="006C662B" w:rsidRDefault="00D56845" w:rsidP="00AE52EC">
            <w:pPr>
              <w:jc w:val="center"/>
              <w:rPr>
                <w:rFonts w:cs="Calibri"/>
                <w:color w:val="000000"/>
                <w:szCs w:val="22"/>
              </w:rPr>
            </w:pPr>
            <w:r w:rsidRPr="006C662B">
              <w:rPr>
                <w:rFonts w:cs="Calibri"/>
                <w:color w:val="000000"/>
                <w:szCs w:val="22"/>
              </w:rPr>
              <w:t>$968,066</w:t>
            </w:r>
          </w:p>
        </w:tc>
        <w:tc>
          <w:tcPr>
            <w:tcW w:w="2440" w:type="dxa"/>
            <w:tcBorders>
              <w:top w:val="nil"/>
              <w:left w:val="single" w:sz="4" w:space="0" w:color="auto"/>
              <w:bottom w:val="single" w:sz="4" w:space="0" w:color="auto"/>
              <w:right w:val="single" w:sz="8" w:space="0" w:color="auto"/>
            </w:tcBorders>
            <w:shd w:val="clear" w:color="auto" w:fill="auto"/>
            <w:noWrap/>
            <w:vAlign w:val="center"/>
            <w:hideMark/>
          </w:tcPr>
          <w:p w14:paraId="1446C06B" w14:textId="52CDC132" w:rsidR="00D56845" w:rsidRPr="006C662B" w:rsidRDefault="00D56845" w:rsidP="00AE52EC">
            <w:pPr>
              <w:jc w:val="center"/>
              <w:rPr>
                <w:rFonts w:cs="Calibri"/>
                <w:color w:val="000000"/>
                <w:szCs w:val="22"/>
              </w:rPr>
            </w:pPr>
            <w:r w:rsidRPr="006C662B">
              <w:rPr>
                <w:rFonts w:cs="Calibri"/>
                <w:color w:val="000000"/>
                <w:szCs w:val="22"/>
              </w:rPr>
              <w:t>$40,677,749</w:t>
            </w:r>
          </w:p>
        </w:tc>
      </w:tr>
      <w:tr w:rsidR="00D56845" w:rsidRPr="006C662B" w14:paraId="37B2AF30" w14:textId="77777777" w:rsidTr="00AE52EC">
        <w:trPr>
          <w:trHeight w:val="30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14:paraId="23B5E65B" w14:textId="77777777" w:rsidR="00D56845" w:rsidRPr="006C662B" w:rsidRDefault="00D56845" w:rsidP="00D56845">
            <w:pPr>
              <w:rPr>
                <w:rFonts w:cs="Calibri"/>
                <w:color w:val="000000"/>
                <w:szCs w:val="22"/>
              </w:rPr>
            </w:pPr>
            <w:r w:rsidRPr="006C662B">
              <w:rPr>
                <w:rFonts w:cs="Calibri"/>
                <w:color w:val="000000"/>
                <w:szCs w:val="22"/>
              </w:rPr>
              <w:t>Cameron</w:t>
            </w:r>
          </w:p>
        </w:tc>
        <w:tc>
          <w:tcPr>
            <w:tcW w:w="580" w:type="dxa"/>
            <w:tcBorders>
              <w:top w:val="nil"/>
              <w:left w:val="nil"/>
              <w:bottom w:val="single" w:sz="4" w:space="0" w:color="auto"/>
              <w:right w:val="single" w:sz="8" w:space="0" w:color="auto"/>
            </w:tcBorders>
            <w:shd w:val="clear" w:color="auto" w:fill="auto"/>
            <w:noWrap/>
            <w:vAlign w:val="center"/>
          </w:tcPr>
          <w:p w14:paraId="1452E73C" w14:textId="6FEF0B3C" w:rsidR="00D56845" w:rsidRPr="006C662B" w:rsidRDefault="00D56845" w:rsidP="00D56845">
            <w:pPr>
              <w:jc w:val="center"/>
              <w:rPr>
                <w:rFonts w:cs="Calibri"/>
                <w:szCs w:val="22"/>
              </w:rPr>
            </w:pPr>
            <w:r w:rsidRPr="007D5123">
              <w:rPr>
                <w:rFonts w:cs="Calibri"/>
                <w:szCs w:val="22"/>
              </w:rPr>
              <w:t>24</w:t>
            </w:r>
          </w:p>
        </w:tc>
        <w:tc>
          <w:tcPr>
            <w:tcW w:w="2188" w:type="dxa"/>
            <w:tcBorders>
              <w:top w:val="nil"/>
              <w:left w:val="nil"/>
              <w:bottom w:val="single" w:sz="4" w:space="0" w:color="auto"/>
              <w:right w:val="single" w:sz="4" w:space="0" w:color="auto"/>
            </w:tcBorders>
            <w:shd w:val="clear" w:color="auto" w:fill="auto"/>
            <w:noWrap/>
            <w:vAlign w:val="center"/>
            <w:hideMark/>
          </w:tcPr>
          <w:p w14:paraId="4B7DA8C9" w14:textId="3A798620" w:rsidR="00D56845" w:rsidRPr="006C662B" w:rsidRDefault="00D56845" w:rsidP="00AE52EC">
            <w:pPr>
              <w:jc w:val="center"/>
              <w:rPr>
                <w:rFonts w:cs="Calibri"/>
                <w:color w:val="000000"/>
                <w:szCs w:val="22"/>
              </w:rPr>
            </w:pPr>
            <w:r w:rsidRPr="006C662B">
              <w:rPr>
                <w:rFonts w:cs="Calibri"/>
                <w:color w:val="000000"/>
                <w:szCs w:val="22"/>
              </w:rPr>
              <w:t>$17,694,953</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2EC10581" w14:textId="77777777" w:rsidR="00D56845" w:rsidRPr="006C662B" w:rsidRDefault="00D56845" w:rsidP="00AE52EC">
            <w:pPr>
              <w:jc w:val="center"/>
              <w:rPr>
                <w:rFonts w:cs="Calibri"/>
                <w:color w:val="000000"/>
                <w:szCs w:val="22"/>
              </w:rPr>
            </w:pPr>
            <w:r w:rsidRPr="006C662B">
              <w:rPr>
                <w:rFonts w:cs="Calibri"/>
                <w:color w:val="000000"/>
                <w:szCs w:val="22"/>
              </w:rPr>
              <w:t>$353,900</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3DFD0193" w14:textId="631B4B72" w:rsidR="00D56845" w:rsidRPr="006C662B" w:rsidRDefault="00D56845" w:rsidP="00AE52EC">
            <w:pPr>
              <w:jc w:val="center"/>
              <w:rPr>
                <w:rFonts w:cs="Calibri"/>
                <w:color w:val="000000"/>
                <w:szCs w:val="22"/>
              </w:rPr>
            </w:pPr>
            <w:r w:rsidRPr="006C662B">
              <w:rPr>
                <w:rFonts w:cs="Calibri"/>
                <w:color w:val="000000"/>
                <w:szCs w:val="22"/>
              </w:rPr>
              <w:t>$17,341,053</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2E324AD5" w14:textId="292A3BBE" w:rsidR="00D56845" w:rsidRPr="006C662B" w:rsidRDefault="00D56845" w:rsidP="00AE52EC">
            <w:pPr>
              <w:jc w:val="center"/>
              <w:rPr>
                <w:rFonts w:cs="Calibri"/>
                <w:color w:val="000000"/>
                <w:szCs w:val="22"/>
              </w:rPr>
            </w:pPr>
            <w:r w:rsidRPr="006C662B">
              <w:rPr>
                <w:rFonts w:cs="Calibri"/>
                <w:color w:val="000000"/>
                <w:szCs w:val="22"/>
              </w:rPr>
              <w:t>$495,807</w:t>
            </w:r>
          </w:p>
        </w:tc>
        <w:tc>
          <w:tcPr>
            <w:tcW w:w="2440" w:type="dxa"/>
            <w:tcBorders>
              <w:top w:val="nil"/>
              <w:left w:val="single" w:sz="4" w:space="0" w:color="auto"/>
              <w:bottom w:val="single" w:sz="4" w:space="0" w:color="auto"/>
              <w:right w:val="single" w:sz="8" w:space="0" w:color="auto"/>
            </w:tcBorders>
            <w:shd w:val="clear" w:color="auto" w:fill="auto"/>
            <w:noWrap/>
            <w:vAlign w:val="center"/>
            <w:hideMark/>
          </w:tcPr>
          <w:p w14:paraId="5A6D8C78" w14:textId="5442AE01" w:rsidR="00D56845" w:rsidRPr="006C662B" w:rsidRDefault="00D56845" w:rsidP="00AE52EC">
            <w:pPr>
              <w:jc w:val="center"/>
              <w:rPr>
                <w:rFonts w:cs="Calibri"/>
                <w:color w:val="000000"/>
                <w:szCs w:val="22"/>
              </w:rPr>
            </w:pPr>
            <w:r w:rsidRPr="006C662B">
              <w:rPr>
                <w:rFonts w:cs="Calibri"/>
                <w:color w:val="000000"/>
                <w:szCs w:val="22"/>
              </w:rPr>
              <w:t>$16,845,246</w:t>
            </w:r>
          </w:p>
        </w:tc>
      </w:tr>
      <w:tr w:rsidR="00D56845" w:rsidRPr="006C662B" w14:paraId="00D8F52D" w14:textId="77777777" w:rsidTr="00AE52EC">
        <w:trPr>
          <w:trHeight w:val="30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14:paraId="5CF784E0" w14:textId="77777777" w:rsidR="00D56845" w:rsidRPr="006C662B" w:rsidRDefault="00D56845" w:rsidP="00D56845">
            <w:pPr>
              <w:rPr>
                <w:rFonts w:cs="Calibri"/>
                <w:color w:val="000000"/>
                <w:szCs w:val="22"/>
              </w:rPr>
            </w:pPr>
            <w:r w:rsidRPr="006C662B">
              <w:rPr>
                <w:rFonts w:cs="Calibri"/>
                <w:color w:val="000000"/>
                <w:szCs w:val="22"/>
              </w:rPr>
              <w:t>Texoma</w:t>
            </w:r>
          </w:p>
        </w:tc>
        <w:tc>
          <w:tcPr>
            <w:tcW w:w="580" w:type="dxa"/>
            <w:tcBorders>
              <w:top w:val="nil"/>
              <w:left w:val="nil"/>
              <w:bottom w:val="single" w:sz="4" w:space="0" w:color="auto"/>
              <w:right w:val="single" w:sz="8" w:space="0" w:color="auto"/>
            </w:tcBorders>
            <w:shd w:val="clear" w:color="auto" w:fill="auto"/>
            <w:noWrap/>
            <w:vAlign w:val="center"/>
          </w:tcPr>
          <w:p w14:paraId="1EB1674F" w14:textId="408EF7E8" w:rsidR="00D56845" w:rsidRPr="006C662B" w:rsidRDefault="00D56845" w:rsidP="00D56845">
            <w:pPr>
              <w:jc w:val="center"/>
              <w:rPr>
                <w:rFonts w:cs="Calibri"/>
                <w:szCs w:val="22"/>
              </w:rPr>
            </w:pPr>
            <w:r w:rsidRPr="007D5123">
              <w:rPr>
                <w:rFonts w:cs="Calibri"/>
                <w:szCs w:val="22"/>
              </w:rPr>
              <w:t>25</w:t>
            </w:r>
          </w:p>
        </w:tc>
        <w:tc>
          <w:tcPr>
            <w:tcW w:w="2188" w:type="dxa"/>
            <w:tcBorders>
              <w:top w:val="nil"/>
              <w:left w:val="nil"/>
              <w:bottom w:val="single" w:sz="4" w:space="0" w:color="auto"/>
              <w:right w:val="single" w:sz="4" w:space="0" w:color="auto"/>
            </w:tcBorders>
            <w:shd w:val="clear" w:color="auto" w:fill="auto"/>
            <w:noWrap/>
            <w:vAlign w:val="center"/>
            <w:hideMark/>
          </w:tcPr>
          <w:p w14:paraId="16D504B0" w14:textId="1D1A4F3B" w:rsidR="00D56845" w:rsidRPr="006C662B" w:rsidRDefault="00D56845" w:rsidP="00AE52EC">
            <w:pPr>
              <w:jc w:val="center"/>
              <w:rPr>
                <w:rFonts w:cs="Calibri"/>
                <w:color w:val="000000"/>
                <w:szCs w:val="22"/>
              </w:rPr>
            </w:pPr>
            <w:r w:rsidRPr="006C662B">
              <w:rPr>
                <w:rFonts w:cs="Calibri"/>
                <w:color w:val="000000"/>
                <w:szCs w:val="22"/>
              </w:rPr>
              <w:t>$4,708,554</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05219641" w14:textId="77777777" w:rsidR="00D56845" w:rsidRPr="006C662B" w:rsidRDefault="00D56845" w:rsidP="00AE52EC">
            <w:pPr>
              <w:jc w:val="center"/>
              <w:rPr>
                <w:rFonts w:cs="Calibri"/>
                <w:color w:val="000000"/>
                <w:szCs w:val="22"/>
              </w:rPr>
            </w:pPr>
            <w:r w:rsidRPr="006C662B">
              <w:rPr>
                <w:rFonts w:cs="Calibri"/>
                <w:color w:val="000000"/>
                <w:szCs w:val="22"/>
              </w:rPr>
              <w:t>$94,172</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748DE592" w14:textId="155E4F5F" w:rsidR="00D56845" w:rsidRPr="006C662B" w:rsidRDefault="00D56845" w:rsidP="00AE52EC">
            <w:pPr>
              <w:jc w:val="center"/>
              <w:rPr>
                <w:rFonts w:cs="Calibri"/>
                <w:color w:val="000000"/>
                <w:szCs w:val="22"/>
              </w:rPr>
            </w:pPr>
            <w:r w:rsidRPr="006C662B">
              <w:rPr>
                <w:rFonts w:cs="Calibri"/>
                <w:color w:val="000000"/>
                <w:szCs w:val="22"/>
              </w:rPr>
              <w:t>$4,614,382</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02AD0775" w14:textId="5E17A72F" w:rsidR="00D56845" w:rsidRPr="006C662B" w:rsidRDefault="00D56845" w:rsidP="00AE52EC">
            <w:pPr>
              <w:jc w:val="center"/>
              <w:rPr>
                <w:rFonts w:cs="Calibri"/>
                <w:color w:val="000000"/>
                <w:szCs w:val="22"/>
              </w:rPr>
            </w:pPr>
            <w:r w:rsidRPr="006C662B">
              <w:rPr>
                <w:rFonts w:cs="Calibri"/>
                <w:color w:val="000000"/>
                <w:szCs w:val="22"/>
              </w:rPr>
              <w:t>$134,529</w:t>
            </w:r>
          </w:p>
        </w:tc>
        <w:tc>
          <w:tcPr>
            <w:tcW w:w="2440" w:type="dxa"/>
            <w:tcBorders>
              <w:top w:val="nil"/>
              <w:left w:val="single" w:sz="4" w:space="0" w:color="auto"/>
              <w:bottom w:val="single" w:sz="4" w:space="0" w:color="auto"/>
              <w:right w:val="single" w:sz="8" w:space="0" w:color="auto"/>
            </w:tcBorders>
            <w:shd w:val="clear" w:color="auto" w:fill="auto"/>
            <w:noWrap/>
            <w:vAlign w:val="center"/>
            <w:hideMark/>
          </w:tcPr>
          <w:p w14:paraId="4303B8E5" w14:textId="4C758E57" w:rsidR="00D56845" w:rsidRPr="006C662B" w:rsidRDefault="00D56845" w:rsidP="00AE52EC">
            <w:pPr>
              <w:jc w:val="center"/>
              <w:rPr>
                <w:rFonts w:cs="Calibri"/>
                <w:color w:val="000000"/>
                <w:szCs w:val="22"/>
              </w:rPr>
            </w:pPr>
            <w:r w:rsidRPr="006C662B">
              <w:rPr>
                <w:rFonts w:cs="Calibri"/>
                <w:color w:val="000000"/>
                <w:szCs w:val="22"/>
              </w:rPr>
              <w:t>$4,479,853</w:t>
            </w:r>
          </w:p>
        </w:tc>
      </w:tr>
      <w:tr w:rsidR="00D56845" w:rsidRPr="006C662B" w14:paraId="6C284512" w14:textId="77777777" w:rsidTr="00AE52EC">
        <w:trPr>
          <w:trHeight w:val="30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14:paraId="1E426A82" w14:textId="77777777" w:rsidR="00D56845" w:rsidRPr="006C662B" w:rsidRDefault="00D56845" w:rsidP="00D56845">
            <w:pPr>
              <w:rPr>
                <w:rFonts w:cs="Calibri"/>
                <w:color w:val="000000"/>
                <w:szCs w:val="22"/>
              </w:rPr>
            </w:pPr>
            <w:r w:rsidRPr="006C662B">
              <w:rPr>
                <w:rFonts w:cs="Calibri"/>
                <w:color w:val="000000"/>
                <w:szCs w:val="22"/>
              </w:rPr>
              <w:t>Central Texas</w:t>
            </w:r>
          </w:p>
        </w:tc>
        <w:tc>
          <w:tcPr>
            <w:tcW w:w="580" w:type="dxa"/>
            <w:tcBorders>
              <w:top w:val="nil"/>
              <w:left w:val="nil"/>
              <w:bottom w:val="single" w:sz="4" w:space="0" w:color="auto"/>
              <w:right w:val="single" w:sz="8" w:space="0" w:color="auto"/>
            </w:tcBorders>
            <w:shd w:val="clear" w:color="auto" w:fill="auto"/>
            <w:noWrap/>
            <w:vAlign w:val="center"/>
          </w:tcPr>
          <w:p w14:paraId="74FCC8AD" w14:textId="47C9438A" w:rsidR="00D56845" w:rsidRPr="006C662B" w:rsidRDefault="00D56845" w:rsidP="00D56845">
            <w:pPr>
              <w:jc w:val="center"/>
              <w:rPr>
                <w:rFonts w:cs="Calibri"/>
                <w:szCs w:val="22"/>
              </w:rPr>
            </w:pPr>
            <w:r w:rsidRPr="007D5123">
              <w:rPr>
                <w:rFonts w:cs="Calibri"/>
                <w:szCs w:val="22"/>
              </w:rPr>
              <w:t>26</w:t>
            </w:r>
          </w:p>
        </w:tc>
        <w:tc>
          <w:tcPr>
            <w:tcW w:w="2188" w:type="dxa"/>
            <w:tcBorders>
              <w:top w:val="nil"/>
              <w:left w:val="nil"/>
              <w:bottom w:val="single" w:sz="4" w:space="0" w:color="auto"/>
              <w:right w:val="single" w:sz="4" w:space="0" w:color="auto"/>
            </w:tcBorders>
            <w:shd w:val="clear" w:color="auto" w:fill="auto"/>
            <w:noWrap/>
            <w:vAlign w:val="center"/>
            <w:hideMark/>
          </w:tcPr>
          <w:p w14:paraId="20AB9D2F" w14:textId="54E27865" w:rsidR="00D56845" w:rsidRPr="006C662B" w:rsidRDefault="00D56845" w:rsidP="00AE52EC">
            <w:pPr>
              <w:jc w:val="center"/>
              <w:rPr>
                <w:rFonts w:cs="Calibri"/>
                <w:color w:val="000000"/>
                <w:szCs w:val="22"/>
              </w:rPr>
            </w:pPr>
            <w:r w:rsidRPr="006C662B">
              <w:rPr>
                <w:rFonts w:cs="Calibri"/>
                <w:color w:val="000000"/>
                <w:szCs w:val="22"/>
              </w:rPr>
              <w:t>$12,660,304</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72B9C766" w14:textId="77777777" w:rsidR="00D56845" w:rsidRPr="006C662B" w:rsidRDefault="00D56845" w:rsidP="00AE52EC">
            <w:pPr>
              <w:jc w:val="center"/>
              <w:rPr>
                <w:rFonts w:cs="Calibri"/>
                <w:color w:val="000000"/>
                <w:szCs w:val="22"/>
              </w:rPr>
            </w:pPr>
            <w:r w:rsidRPr="006C662B">
              <w:rPr>
                <w:rFonts w:cs="Calibri"/>
                <w:color w:val="000000"/>
                <w:szCs w:val="22"/>
              </w:rPr>
              <w:t>$253,207</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5C237E27" w14:textId="0F319DE6" w:rsidR="00D56845" w:rsidRPr="006C662B" w:rsidRDefault="00D56845" w:rsidP="00AE52EC">
            <w:pPr>
              <w:jc w:val="center"/>
              <w:rPr>
                <w:rFonts w:cs="Calibri"/>
                <w:color w:val="000000"/>
                <w:szCs w:val="22"/>
              </w:rPr>
            </w:pPr>
            <w:r w:rsidRPr="006C662B">
              <w:rPr>
                <w:rFonts w:cs="Calibri"/>
                <w:color w:val="000000"/>
                <w:szCs w:val="22"/>
              </w:rPr>
              <w:t>$12,407,097</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58AB7FCC" w14:textId="7D8346E9" w:rsidR="00D56845" w:rsidRPr="006C662B" w:rsidRDefault="00D56845" w:rsidP="00AE52EC">
            <w:pPr>
              <w:jc w:val="center"/>
              <w:rPr>
                <w:rFonts w:cs="Calibri"/>
                <w:color w:val="000000"/>
                <w:szCs w:val="22"/>
              </w:rPr>
            </w:pPr>
            <w:r w:rsidRPr="006C662B">
              <w:rPr>
                <w:rFonts w:cs="Calibri"/>
                <w:color w:val="000000"/>
                <w:szCs w:val="22"/>
              </w:rPr>
              <w:t>$597,811</w:t>
            </w:r>
          </w:p>
        </w:tc>
        <w:tc>
          <w:tcPr>
            <w:tcW w:w="2440" w:type="dxa"/>
            <w:tcBorders>
              <w:top w:val="nil"/>
              <w:left w:val="single" w:sz="4" w:space="0" w:color="auto"/>
              <w:bottom w:val="single" w:sz="4" w:space="0" w:color="auto"/>
              <w:right w:val="single" w:sz="8" w:space="0" w:color="auto"/>
            </w:tcBorders>
            <w:shd w:val="clear" w:color="auto" w:fill="auto"/>
            <w:noWrap/>
            <w:vAlign w:val="center"/>
            <w:hideMark/>
          </w:tcPr>
          <w:p w14:paraId="4652A8F3" w14:textId="304447FD" w:rsidR="00D56845" w:rsidRPr="006C662B" w:rsidRDefault="00D56845" w:rsidP="00AE52EC">
            <w:pPr>
              <w:jc w:val="center"/>
              <w:rPr>
                <w:rFonts w:cs="Calibri"/>
                <w:color w:val="000000"/>
                <w:szCs w:val="22"/>
              </w:rPr>
            </w:pPr>
            <w:r w:rsidRPr="006C662B">
              <w:rPr>
                <w:rFonts w:cs="Calibri"/>
                <w:color w:val="000000"/>
                <w:szCs w:val="22"/>
              </w:rPr>
              <w:t>$11,809,286</w:t>
            </w:r>
          </w:p>
        </w:tc>
      </w:tr>
      <w:tr w:rsidR="00D56845" w:rsidRPr="006C662B" w14:paraId="19ED924C" w14:textId="77777777" w:rsidTr="00AE52EC">
        <w:trPr>
          <w:trHeight w:val="300"/>
        </w:trPr>
        <w:tc>
          <w:tcPr>
            <w:tcW w:w="1660" w:type="dxa"/>
            <w:tcBorders>
              <w:top w:val="nil"/>
              <w:left w:val="single" w:sz="8" w:space="0" w:color="auto"/>
              <w:bottom w:val="single" w:sz="4" w:space="0" w:color="auto"/>
              <w:right w:val="single" w:sz="4" w:space="0" w:color="auto"/>
            </w:tcBorders>
            <w:shd w:val="clear" w:color="auto" w:fill="auto"/>
            <w:noWrap/>
            <w:vAlign w:val="bottom"/>
            <w:hideMark/>
          </w:tcPr>
          <w:p w14:paraId="5FEEB8BA" w14:textId="77777777" w:rsidR="00D56845" w:rsidRPr="006C662B" w:rsidRDefault="00D56845" w:rsidP="00D56845">
            <w:pPr>
              <w:rPr>
                <w:rFonts w:cs="Calibri"/>
                <w:color w:val="000000"/>
                <w:szCs w:val="22"/>
              </w:rPr>
            </w:pPr>
            <w:r w:rsidRPr="006C662B">
              <w:rPr>
                <w:rFonts w:cs="Calibri"/>
                <w:color w:val="000000"/>
                <w:szCs w:val="22"/>
              </w:rPr>
              <w:t>Middle Rio</w:t>
            </w:r>
          </w:p>
        </w:tc>
        <w:tc>
          <w:tcPr>
            <w:tcW w:w="580" w:type="dxa"/>
            <w:tcBorders>
              <w:top w:val="nil"/>
              <w:left w:val="nil"/>
              <w:bottom w:val="single" w:sz="4" w:space="0" w:color="auto"/>
              <w:right w:val="single" w:sz="8" w:space="0" w:color="auto"/>
            </w:tcBorders>
            <w:shd w:val="clear" w:color="auto" w:fill="auto"/>
            <w:noWrap/>
            <w:vAlign w:val="center"/>
          </w:tcPr>
          <w:p w14:paraId="643194B4" w14:textId="0F30F12F" w:rsidR="00D56845" w:rsidRPr="006C662B" w:rsidRDefault="00D56845" w:rsidP="00D56845">
            <w:pPr>
              <w:jc w:val="center"/>
              <w:rPr>
                <w:rFonts w:cs="Calibri"/>
                <w:szCs w:val="22"/>
              </w:rPr>
            </w:pPr>
            <w:r w:rsidRPr="007D5123">
              <w:rPr>
                <w:rFonts w:cs="Calibri"/>
                <w:szCs w:val="22"/>
              </w:rPr>
              <w:t>27</w:t>
            </w:r>
          </w:p>
        </w:tc>
        <w:tc>
          <w:tcPr>
            <w:tcW w:w="2188" w:type="dxa"/>
            <w:tcBorders>
              <w:top w:val="nil"/>
              <w:left w:val="nil"/>
              <w:bottom w:val="single" w:sz="4" w:space="0" w:color="auto"/>
              <w:right w:val="single" w:sz="4" w:space="0" w:color="auto"/>
            </w:tcBorders>
            <w:shd w:val="clear" w:color="auto" w:fill="auto"/>
            <w:noWrap/>
            <w:vAlign w:val="center"/>
            <w:hideMark/>
          </w:tcPr>
          <w:p w14:paraId="5D22B520" w14:textId="468A8BC1" w:rsidR="00D56845" w:rsidRPr="006C662B" w:rsidRDefault="00D56845" w:rsidP="00AE52EC">
            <w:pPr>
              <w:jc w:val="center"/>
              <w:rPr>
                <w:rFonts w:cs="Calibri"/>
                <w:color w:val="000000"/>
                <w:szCs w:val="22"/>
              </w:rPr>
            </w:pPr>
            <w:r w:rsidRPr="006C662B">
              <w:rPr>
                <w:rFonts w:cs="Calibri"/>
                <w:color w:val="000000"/>
                <w:szCs w:val="22"/>
              </w:rPr>
              <w:t>$5,988,565</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178B7082" w14:textId="77777777" w:rsidR="00D56845" w:rsidRPr="006C662B" w:rsidRDefault="00D56845" w:rsidP="00AE52EC">
            <w:pPr>
              <w:jc w:val="center"/>
              <w:rPr>
                <w:rFonts w:cs="Calibri"/>
                <w:color w:val="000000"/>
                <w:szCs w:val="22"/>
              </w:rPr>
            </w:pPr>
            <w:r w:rsidRPr="006C662B">
              <w:rPr>
                <w:rFonts w:cs="Calibri"/>
                <w:color w:val="000000"/>
                <w:szCs w:val="22"/>
              </w:rPr>
              <w:t>$119,772</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5B67E392" w14:textId="4C203298" w:rsidR="00D56845" w:rsidRPr="006C662B" w:rsidRDefault="00D56845" w:rsidP="00AE52EC">
            <w:pPr>
              <w:jc w:val="center"/>
              <w:rPr>
                <w:rFonts w:cs="Calibri"/>
                <w:color w:val="000000"/>
                <w:szCs w:val="22"/>
              </w:rPr>
            </w:pPr>
            <w:r w:rsidRPr="006C662B">
              <w:rPr>
                <w:rFonts w:cs="Calibri"/>
                <w:color w:val="000000"/>
                <w:szCs w:val="22"/>
              </w:rPr>
              <w:t>$5,868,793</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14:paraId="3B9248A8" w14:textId="0A41D600" w:rsidR="00D56845" w:rsidRPr="006C662B" w:rsidRDefault="00D56845" w:rsidP="00AE52EC">
            <w:pPr>
              <w:jc w:val="center"/>
              <w:rPr>
                <w:rFonts w:cs="Calibri"/>
                <w:color w:val="000000"/>
                <w:szCs w:val="22"/>
              </w:rPr>
            </w:pPr>
            <w:r w:rsidRPr="006C662B">
              <w:rPr>
                <w:rFonts w:cs="Calibri"/>
                <w:color w:val="000000"/>
                <w:szCs w:val="22"/>
              </w:rPr>
              <w:t>$218,291</w:t>
            </w:r>
          </w:p>
        </w:tc>
        <w:tc>
          <w:tcPr>
            <w:tcW w:w="2440" w:type="dxa"/>
            <w:tcBorders>
              <w:top w:val="nil"/>
              <w:left w:val="single" w:sz="4" w:space="0" w:color="auto"/>
              <w:bottom w:val="single" w:sz="4" w:space="0" w:color="auto"/>
              <w:right w:val="single" w:sz="8" w:space="0" w:color="auto"/>
            </w:tcBorders>
            <w:shd w:val="clear" w:color="auto" w:fill="auto"/>
            <w:noWrap/>
            <w:vAlign w:val="center"/>
            <w:hideMark/>
          </w:tcPr>
          <w:p w14:paraId="75FA2F18" w14:textId="1ABB7D3E" w:rsidR="00D56845" w:rsidRPr="006C662B" w:rsidRDefault="00D56845" w:rsidP="00AE52EC">
            <w:pPr>
              <w:jc w:val="center"/>
              <w:rPr>
                <w:rFonts w:cs="Calibri"/>
                <w:color w:val="000000"/>
                <w:szCs w:val="22"/>
              </w:rPr>
            </w:pPr>
            <w:r w:rsidRPr="006C662B">
              <w:rPr>
                <w:rFonts w:cs="Calibri"/>
                <w:color w:val="000000"/>
                <w:szCs w:val="22"/>
              </w:rPr>
              <w:t>$5,650,502</w:t>
            </w:r>
          </w:p>
        </w:tc>
      </w:tr>
      <w:tr w:rsidR="00D56845" w:rsidRPr="006C662B" w14:paraId="5D93B1E9" w14:textId="77777777" w:rsidTr="00AE52EC">
        <w:trPr>
          <w:trHeight w:val="315"/>
        </w:trPr>
        <w:tc>
          <w:tcPr>
            <w:tcW w:w="1660" w:type="dxa"/>
            <w:tcBorders>
              <w:top w:val="nil"/>
              <w:left w:val="single" w:sz="8" w:space="0" w:color="auto"/>
              <w:bottom w:val="nil"/>
              <w:right w:val="single" w:sz="4" w:space="0" w:color="auto"/>
            </w:tcBorders>
            <w:shd w:val="clear" w:color="auto" w:fill="auto"/>
            <w:noWrap/>
            <w:vAlign w:val="bottom"/>
            <w:hideMark/>
          </w:tcPr>
          <w:p w14:paraId="4A123AB6" w14:textId="77777777" w:rsidR="00D56845" w:rsidRPr="006C662B" w:rsidRDefault="00D56845" w:rsidP="00D56845">
            <w:pPr>
              <w:rPr>
                <w:rFonts w:cs="Calibri"/>
                <w:color w:val="000000"/>
                <w:szCs w:val="22"/>
              </w:rPr>
            </w:pPr>
            <w:r w:rsidRPr="006C662B">
              <w:rPr>
                <w:rFonts w:cs="Calibri"/>
                <w:color w:val="000000"/>
                <w:szCs w:val="22"/>
              </w:rPr>
              <w:t>Gulf Coast</w:t>
            </w:r>
          </w:p>
        </w:tc>
        <w:tc>
          <w:tcPr>
            <w:tcW w:w="580" w:type="dxa"/>
            <w:tcBorders>
              <w:top w:val="nil"/>
              <w:left w:val="nil"/>
              <w:bottom w:val="nil"/>
              <w:right w:val="single" w:sz="8" w:space="0" w:color="auto"/>
            </w:tcBorders>
            <w:shd w:val="clear" w:color="auto" w:fill="auto"/>
            <w:noWrap/>
            <w:vAlign w:val="center"/>
          </w:tcPr>
          <w:p w14:paraId="38632E6F" w14:textId="63A148B3" w:rsidR="00D56845" w:rsidRPr="006C662B" w:rsidRDefault="00D56845" w:rsidP="00D56845">
            <w:pPr>
              <w:jc w:val="center"/>
              <w:rPr>
                <w:rFonts w:cs="Calibri"/>
                <w:szCs w:val="22"/>
              </w:rPr>
            </w:pPr>
            <w:r w:rsidRPr="007D5123">
              <w:rPr>
                <w:rFonts w:cs="Calibri"/>
                <w:szCs w:val="22"/>
              </w:rPr>
              <w:t>28</w:t>
            </w:r>
          </w:p>
        </w:tc>
        <w:tc>
          <w:tcPr>
            <w:tcW w:w="2188" w:type="dxa"/>
            <w:tcBorders>
              <w:top w:val="single" w:sz="4" w:space="0" w:color="auto"/>
              <w:left w:val="nil"/>
              <w:bottom w:val="nil"/>
              <w:right w:val="single" w:sz="4" w:space="0" w:color="auto"/>
            </w:tcBorders>
            <w:shd w:val="clear" w:color="auto" w:fill="auto"/>
            <w:noWrap/>
            <w:vAlign w:val="center"/>
            <w:hideMark/>
          </w:tcPr>
          <w:p w14:paraId="4FF93BC1" w14:textId="25C072B1" w:rsidR="00D56845" w:rsidRPr="006C662B" w:rsidRDefault="00D56845" w:rsidP="00AE52EC">
            <w:pPr>
              <w:jc w:val="center"/>
              <w:rPr>
                <w:rFonts w:cs="Calibri"/>
                <w:color w:val="000000"/>
                <w:szCs w:val="22"/>
              </w:rPr>
            </w:pPr>
            <w:r w:rsidRPr="006C662B">
              <w:rPr>
                <w:rFonts w:cs="Calibri"/>
                <w:color w:val="000000"/>
                <w:szCs w:val="22"/>
              </w:rPr>
              <w:t>$176,227,521</w:t>
            </w:r>
          </w:p>
        </w:tc>
        <w:tc>
          <w:tcPr>
            <w:tcW w:w="2440" w:type="dxa"/>
            <w:tcBorders>
              <w:top w:val="nil"/>
              <w:left w:val="single" w:sz="4" w:space="0" w:color="auto"/>
              <w:bottom w:val="nil"/>
              <w:right w:val="single" w:sz="4" w:space="0" w:color="auto"/>
            </w:tcBorders>
            <w:shd w:val="clear" w:color="auto" w:fill="auto"/>
            <w:noWrap/>
            <w:vAlign w:val="center"/>
            <w:hideMark/>
          </w:tcPr>
          <w:p w14:paraId="27763661" w14:textId="77777777" w:rsidR="00D56845" w:rsidRPr="006C662B" w:rsidRDefault="00D56845" w:rsidP="00AE52EC">
            <w:pPr>
              <w:jc w:val="center"/>
              <w:rPr>
                <w:rFonts w:cs="Calibri"/>
                <w:color w:val="000000"/>
                <w:szCs w:val="22"/>
              </w:rPr>
            </w:pPr>
            <w:r w:rsidRPr="006C662B">
              <w:rPr>
                <w:rFonts w:cs="Calibri"/>
                <w:color w:val="000000"/>
                <w:szCs w:val="22"/>
              </w:rPr>
              <w:t>$3,524,551</w:t>
            </w:r>
          </w:p>
        </w:tc>
        <w:tc>
          <w:tcPr>
            <w:tcW w:w="2440" w:type="dxa"/>
            <w:tcBorders>
              <w:top w:val="nil"/>
              <w:left w:val="single" w:sz="4" w:space="0" w:color="auto"/>
              <w:bottom w:val="nil"/>
              <w:right w:val="single" w:sz="4" w:space="0" w:color="auto"/>
            </w:tcBorders>
            <w:shd w:val="clear" w:color="auto" w:fill="auto"/>
            <w:noWrap/>
            <w:vAlign w:val="center"/>
            <w:hideMark/>
          </w:tcPr>
          <w:p w14:paraId="7D10E3DA" w14:textId="62FCA87F" w:rsidR="00D56845" w:rsidRPr="006C662B" w:rsidRDefault="00D56845" w:rsidP="00AE52EC">
            <w:pPr>
              <w:jc w:val="center"/>
              <w:rPr>
                <w:rFonts w:cs="Calibri"/>
                <w:color w:val="000000"/>
                <w:szCs w:val="22"/>
              </w:rPr>
            </w:pPr>
            <w:r w:rsidRPr="006C662B">
              <w:rPr>
                <w:rFonts w:cs="Calibri"/>
                <w:color w:val="000000"/>
                <w:szCs w:val="22"/>
              </w:rPr>
              <w:t>$172,702,970</w:t>
            </w:r>
          </w:p>
        </w:tc>
        <w:tc>
          <w:tcPr>
            <w:tcW w:w="2440" w:type="dxa"/>
            <w:tcBorders>
              <w:top w:val="nil"/>
              <w:left w:val="single" w:sz="4" w:space="0" w:color="auto"/>
              <w:bottom w:val="nil"/>
              <w:right w:val="single" w:sz="4" w:space="0" w:color="auto"/>
            </w:tcBorders>
            <w:shd w:val="clear" w:color="auto" w:fill="auto"/>
            <w:noWrap/>
            <w:vAlign w:val="center"/>
            <w:hideMark/>
          </w:tcPr>
          <w:p w14:paraId="0C022061" w14:textId="11D8F2D2" w:rsidR="00D56845" w:rsidRPr="006C662B" w:rsidRDefault="00D56845" w:rsidP="00AE52EC">
            <w:pPr>
              <w:jc w:val="center"/>
              <w:rPr>
                <w:rFonts w:cs="Calibri"/>
                <w:color w:val="000000"/>
                <w:szCs w:val="22"/>
              </w:rPr>
            </w:pPr>
            <w:r w:rsidRPr="006C662B">
              <w:rPr>
                <w:rFonts w:cs="Calibri"/>
                <w:color w:val="000000"/>
                <w:szCs w:val="22"/>
              </w:rPr>
              <w:t>$3,209,956</w:t>
            </w:r>
          </w:p>
        </w:tc>
        <w:tc>
          <w:tcPr>
            <w:tcW w:w="2440" w:type="dxa"/>
            <w:tcBorders>
              <w:top w:val="nil"/>
              <w:left w:val="single" w:sz="4" w:space="0" w:color="auto"/>
              <w:bottom w:val="nil"/>
              <w:right w:val="single" w:sz="8" w:space="0" w:color="auto"/>
            </w:tcBorders>
            <w:shd w:val="clear" w:color="auto" w:fill="auto"/>
            <w:noWrap/>
            <w:vAlign w:val="center"/>
            <w:hideMark/>
          </w:tcPr>
          <w:p w14:paraId="48A0D838" w14:textId="36C9BD95" w:rsidR="00D56845" w:rsidRPr="006C662B" w:rsidRDefault="00D56845" w:rsidP="00AE52EC">
            <w:pPr>
              <w:jc w:val="center"/>
              <w:rPr>
                <w:rFonts w:cs="Calibri"/>
                <w:color w:val="000000"/>
                <w:szCs w:val="22"/>
              </w:rPr>
            </w:pPr>
            <w:r w:rsidRPr="006C662B">
              <w:rPr>
                <w:rFonts w:cs="Calibri"/>
                <w:color w:val="000000"/>
                <w:szCs w:val="22"/>
              </w:rPr>
              <w:t>$169,493,014</w:t>
            </w:r>
          </w:p>
        </w:tc>
      </w:tr>
      <w:tr w:rsidR="00D56845" w:rsidRPr="006C662B" w14:paraId="044FD583" w14:textId="77777777" w:rsidTr="00AE52EC">
        <w:trPr>
          <w:trHeight w:val="315"/>
        </w:trPr>
        <w:tc>
          <w:tcPr>
            <w:tcW w:w="16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61D221F" w14:textId="77777777" w:rsidR="00D56845" w:rsidRPr="006C662B" w:rsidRDefault="00D56845" w:rsidP="00D56845">
            <w:pPr>
              <w:jc w:val="center"/>
              <w:rPr>
                <w:rFonts w:cs="Calibri"/>
                <w:b/>
                <w:bCs/>
                <w:color w:val="000000"/>
                <w:szCs w:val="22"/>
              </w:rPr>
            </w:pPr>
            <w:r w:rsidRPr="006C662B">
              <w:rPr>
                <w:rFonts w:cs="Calibri"/>
                <w:b/>
                <w:bCs/>
                <w:color w:val="000000"/>
                <w:szCs w:val="22"/>
              </w:rPr>
              <w:t>Sum of Boards</w:t>
            </w:r>
          </w:p>
        </w:tc>
        <w:tc>
          <w:tcPr>
            <w:tcW w:w="580" w:type="dxa"/>
            <w:tcBorders>
              <w:top w:val="single" w:sz="8" w:space="0" w:color="auto"/>
              <w:left w:val="nil"/>
              <w:bottom w:val="single" w:sz="8" w:space="0" w:color="auto"/>
              <w:right w:val="single" w:sz="8" w:space="0" w:color="auto"/>
            </w:tcBorders>
            <w:shd w:val="clear" w:color="auto" w:fill="auto"/>
            <w:noWrap/>
            <w:vAlign w:val="center"/>
          </w:tcPr>
          <w:p w14:paraId="26B2B703" w14:textId="3D6EF6CF" w:rsidR="00D56845" w:rsidRPr="006C662B" w:rsidRDefault="00D56845" w:rsidP="00D56845">
            <w:pPr>
              <w:jc w:val="center"/>
              <w:rPr>
                <w:rFonts w:cs="Calibri"/>
                <w:b/>
                <w:bCs/>
                <w:color w:val="000000"/>
                <w:szCs w:val="22"/>
              </w:rPr>
            </w:pPr>
            <w:r w:rsidRPr="007D5123">
              <w:rPr>
                <w:rFonts w:cs="Calibri"/>
                <w:b/>
                <w:bCs/>
                <w:color w:val="000000"/>
                <w:szCs w:val="22"/>
              </w:rPr>
              <w:t>99</w:t>
            </w:r>
          </w:p>
        </w:tc>
        <w:tc>
          <w:tcPr>
            <w:tcW w:w="2188" w:type="dxa"/>
            <w:tcBorders>
              <w:top w:val="single" w:sz="8" w:space="0" w:color="auto"/>
              <w:left w:val="nil"/>
              <w:bottom w:val="single" w:sz="8" w:space="0" w:color="auto"/>
              <w:right w:val="single" w:sz="4" w:space="0" w:color="auto"/>
            </w:tcBorders>
            <w:shd w:val="clear" w:color="auto" w:fill="auto"/>
            <w:noWrap/>
            <w:vAlign w:val="center"/>
            <w:hideMark/>
          </w:tcPr>
          <w:p w14:paraId="3123A6F6" w14:textId="4AE81E3B" w:rsidR="00D56845" w:rsidRPr="006C662B" w:rsidRDefault="00D56845" w:rsidP="00AE52EC">
            <w:pPr>
              <w:jc w:val="center"/>
              <w:rPr>
                <w:rFonts w:cs="Calibri"/>
                <w:b/>
                <w:bCs/>
                <w:color w:val="000000"/>
                <w:szCs w:val="22"/>
              </w:rPr>
            </w:pPr>
            <w:r w:rsidRPr="006C662B">
              <w:rPr>
                <w:rFonts w:cs="Calibri"/>
                <w:b/>
                <w:bCs/>
                <w:color w:val="000000"/>
                <w:szCs w:val="22"/>
              </w:rPr>
              <w:t>$7</w:t>
            </w:r>
            <w:r w:rsidR="00365625">
              <w:rPr>
                <w:rFonts w:cs="Calibri"/>
                <w:b/>
                <w:bCs/>
                <w:color w:val="000000"/>
                <w:szCs w:val="22"/>
              </w:rPr>
              <w:t>34</w:t>
            </w:r>
            <w:r w:rsidRPr="006C662B">
              <w:rPr>
                <w:rFonts w:cs="Calibri"/>
                <w:b/>
                <w:bCs/>
                <w:color w:val="000000"/>
                <w:szCs w:val="22"/>
              </w:rPr>
              <w:t>,</w:t>
            </w:r>
            <w:r w:rsidR="00365625">
              <w:rPr>
                <w:rFonts w:cs="Calibri"/>
                <w:b/>
                <w:bCs/>
                <w:color w:val="000000"/>
                <w:szCs w:val="22"/>
              </w:rPr>
              <w:t>66</w:t>
            </w:r>
            <w:r w:rsidRPr="006C662B">
              <w:rPr>
                <w:rFonts w:cs="Calibri"/>
                <w:b/>
                <w:bCs/>
                <w:color w:val="000000"/>
                <w:szCs w:val="22"/>
              </w:rPr>
              <w:t>1,</w:t>
            </w:r>
            <w:r w:rsidR="00365625">
              <w:rPr>
                <w:rFonts w:cs="Calibri"/>
                <w:b/>
                <w:bCs/>
                <w:color w:val="000000"/>
                <w:szCs w:val="22"/>
              </w:rPr>
              <w:t>868</w:t>
            </w:r>
          </w:p>
        </w:tc>
        <w:tc>
          <w:tcPr>
            <w:tcW w:w="2440" w:type="dxa"/>
            <w:tcBorders>
              <w:top w:val="single" w:sz="8" w:space="0" w:color="auto"/>
              <w:left w:val="nil"/>
              <w:bottom w:val="single" w:sz="8" w:space="0" w:color="auto"/>
              <w:right w:val="single" w:sz="4" w:space="0" w:color="auto"/>
            </w:tcBorders>
            <w:shd w:val="clear" w:color="auto" w:fill="auto"/>
            <w:noWrap/>
            <w:vAlign w:val="center"/>
            <w:hideMark/>
          </w:tcPr>
          <w:p w14:paraId="3FC90009" w14:textId="6E72FD1E" w:rsidR="00D56845" w:rsidRPr="006C662B" w:rsidRDefault="00D56845" w:rsidP="00AE52EC">
            <w:pPr>
              <w:jc w:val="center"/>
              <w:rPr>
                <w:rFonts w:cs="Calibri"/>
                <w:b/>
                <w:bCs/>
                <w:color w:val="000000"/>
                <w:szCs w:val="22"/>
              </w:rPr>
            </w:pPr>
            <w:r w:rsidRPr="006C662B">
              <w:rPr>
                <w:rFonts w:cs="Calibri"/>
                <w:b/>
                <w:bCs/>
                <w:color w:val="000000"/>
                <w:szCs w:val="22"/>
              </w:rPr>
              <w:t>$14,6</w:t>
            </w:r>
            <w:r w:rsidR="00365625">
              <w:rPr>
                <w:rFonts w:cs="Calibri"/>
                <w:b/>
                <w:bCs/>
                <w:color w:val="000000"/>
                <w:szCs w:val="22"/>
              </w:rPr>
              <w:t>93</w:t>
            </w:r>
            <w:r w:rsidRPr="006C662B">
              <w:rPr>
                <w:rFonts w:cs="Calibri"/>
                <w:b/>
                <w:bCs/>
                <w:color w:val="000000"/>
                <w:szCs w:val="22"/>
              </w:rPr>
              <w:t>,</w:t>
            </w:r>
            <w:r w:rsidR="00365625">
              <w:rPr>
                <w:rFonts w:cs="Calibri"/>
                <w:b/>
                <w:bCs/>
                <w:color w:val="000000"/>
                <w:szCs w:val="22"/>
              </w:rPr>
              <w:t>249</w:t>
            </w:r>
          </w:p>
        </w:tc>
        <w:tc>
          <w:tcPr>
            <w:tcW w:w="2440" w:type="dxa"/>
            <w:tcBorders>
              <w:top w:val="single" w:sz="8" w:space="0" w:color="auto"/>
              <w:left w:val="nil"/>
              <w:bottom w:val="single" w:sz="8" w:space="0" w:color="auto"/>
              <w:right w:val="single" w:sz="4" w:space="0" w:color="auto"/>
            </w:tcBorders>
            <w:shd w:val="clear" w:color="auto" w:fill="auto"/>
            <w:noWrap/>
            <w:vAlign w:val="center"/>
            <w:hideMark/>
          </w:tcPr>
          <w:p w14:paraId="1D133CDA" w14:textId="45DCA343" w:rsidR="00D56845" w:rsidRPr="006C662B" w:rsidRDefault="00D56845" w:rsidP="00AE52EC">
            <w:pPr>
              <w:jc w:val="center"/>
              <w:rPr>
                <w:rFonts w:cs="Calibri"/>
                <w:b/>
                <w:bCs/>
                <w:color w:val="000000"/>
                <w:szCs w:val="22"/>
              </w:rPr>
            </w:pPr>
            <w:r w:rsidRPr="006C662B">
              <w:rPr>
                <w:rFonts w:cs="Calibri"/>
                <w:b/>
                <w:bCs/>
                <w:color w:val="000000"/>
                <w:szCs w:val="22"/>
              </w:rPr>
              <w:t>$7</w:t>
            </w:r>
            <w:r w:rsidR="00365625">
              <w:rPr>
                <w:rFonts w:cs="Calibri"/>
                <w:b/>
                <w:bCs/>
                <w:color w:val="000000"/>
                <w:szCs w:val="22"/>
              </w:rPr>
              <w:t>19</w:t>
            </w:r>
            <w:r w:rsidRPr="006C662B">
              <w:rPr>
                <w:rFonts w:cs="Calibri"/>
                <w:b/>
                <w:bCs/>
                <w:color w:val="000000"/>
                <w:szCs w:val="22"/>
              </w:rPr>
              <w:t>,</w:t>
            </w:r>
            <w:r w:rsidR="00365625">
              <w:rPr>
                <w:rFonts w:cs="Calibri"/>
                <w:b/>
                <w:bCs/>
                <w:color w:val="000000"/>
                <w:szCs w:val="22"/>
              </w:rPr>
              <w:t>968</w:t>
            </w:r>
            <w:r w:rsidRPr="006C662B">
              <w:rPr>
                <w:rFonts w:cs="Calibri"/>
                <w:b/>
                <w:bCs/>
                <w:color w:val="000000"/>
                <w:szCs w:val="22"/>
              </w:rPr>
              <w:t>,</w:t>
            </w:r>
            <w:r w:rsidR="00365625">
              <w:rPr>
                <w:rFonts w:cs="Calibri"/>
                <w:b/>
                <w:bCs/>
                <w:color w:val="000000"/>
                <w:szCs w:val="22"/>
              </w:rPr>
              <w:t>619</w:t>
            </w:r>
          </w:p>
        </w:tc>
        <w:tc>
          <w:tcPr>
            <w:tcW w:w="2440" w:type="dxa"/>
            <w:tcBorders>
              <w:top w:val="single" w:sz="8" w:space="0" w:color="auto"/>
              <w:left w:val="nil"/>
              <w:bottom w:val="single" w:sz="8" w:space="0" w:color="auto"/>
              <w:right w:val="single" w:sz="4" w:space="0" w:color="auto"/>
            </w:tcBorders>
            <w:shd w:val="clear" w:color="auto" w:fill="auto"/>
            <w:noWrap/>
            <w:vAlign w:val="center"/>
            <w:hideMark/>
          </w:tcPr>
          <w:p w14:paraId="06123A09" w14:textId="3C701569" w:rsidR="00D56845" w:rsidRPr="006C662B" w:rsidRDefault="00D56845" w:rsidP="00AE52EC">
            <w:pPr>
              <w:jc w:val="center"/>
              <w:rPr>
                <w:rFonts w:cs="Calibri"/>
                <w:b/>
                <w:bCs/>
                <w:color w:val="000000"/>
                <w:szCs w:val="22"/>
              </w:rPr>
            </w:pPr>
            <w:r w:rsidRPr="006C662B">
              <w:rPr>
                <w:rFonts w:cs="Calibri"/>
                <w:b/>
                <w:bCs/>
                <w:color w:val="000000"/>
                <w:szCs w:val="22"/>
              </w:rPr>
              <w:t>$19,776,259</w:t>
            </w:r>
          </w:p>
        </w:tc>
        <w:tc>
          <w:tcPr>
            <w:tcW w:w="2440" w:type="dxa"/>
            <w:tcBorders>
              <w:top w:val="single" w:sz="8" w:space="0" w:color="auto"/>
              <w:left w:val="nil"/>
              <w:bottom w:val="single" w:sz="8" w:space="0" w:color="auto"/>
              <w:right w:val="single" w:sz="8" w:space="0" w:color="auto"/>
            </w:tcBorders>
            <w:shd w:val="clear" w:color="auto" w:fill="auto"/>
            <w:noWrap/>
            <w:vAlign w:val="center"/>
            <w:hideMark/>
          </w:tcPr>
          <w:p w14:paraId="04491FA6" w14:textId="2684269B" w:rsidR="00D56845" w:rsidRPr="006C662B" w:rsidRDefault="00D56845" w:rsidP="00AE52EC">
            <w:pPr>
              <w:jc w:val="center"/>
              <w:rPr>
                <w:rFonts w:cs="Calibri"/>
                <w:b/>
                <w:bCs/>
                <w:color w:val="000000"/>
                <w:szCs w:val="22"/>
              </w:rPr>
            </w:pPr>
            <w:r w:rsidRPr="006C662B">
              <w:rPr>
                <w:rFonts w:cs="Calibri"/>
                <w:b/>
                <w:bCs/>
                <w:color w:val="000000"/>
                <w:szCs w:val="22"/>
              </w:rPr>
              <w:t>$</w:t>
            </w:r>
            <w:r w:rsidR="00357597">
              <w:rPr>
                <w:rFonts w:cs="Calibri"/>
                <w:b/>
                <w:bCs/>
                <w:color w:val="000000"/>
                <w:szCs w:val="22"/>
              </w:rPr>
              <w:t>700</w:t>
            </w:r>
            <w:r w:rsidRPr="006C662B">
              <w:rPr>
                <w:rFonts w:cs="Calibri"/>
                <w:b/>
                <w:bCs/>
                <w:color w:val="000000"/>
                <w:szCs w:val="22"/>
              </w:rPr>
              <w:t>,</w:t>
            </w:r>
            <w:r w:rsidR="00357597">
              <w:rPr>
                <w:rFonts w:cs="Calibri"/>
                <w:b/>
                <w:bCs/>
                <w:color w:val="000000"/>
                <w:szCs w:val="22"/>
              </w:rPr>
              <w:t>192</w:t>
            </w:r>
            <w:r w:rsidRPr="006C662B">
              <w:rPr>
                <w:rFonts w:cs="Calibri"/>
                <w:b/>
                <w:bCs/>
                <w:color w:val="000000"/>
                <w:szCs w:val="22"/>
              </w:rPr>
              <w:t>,</w:t>
            </w:r>
            <w:r w:rsidR="00357597">
              <w:rPr>
                <w:rFonts w:cs="Calibri"/>
                <w:b/>
                <w:bCs/>
                <w:color w:val="000000"/>
                <w:szCs w:val="22"/>
              </w:rPr>
              <w:t>360</w:t>
            </w:r>
          </w:p>
        </w:tc>
      </w:tr>
    </w:tbl>
    <w:p w14:paraId="07E85DBE" w14:textId="5A2B1509" w:rsidR="00146028" w:rsidRPr="007D5123" w:rsidRDefault="006317C3" w:rsidP="006317C3">
      <w:pPr>
        <w:spacing w:after="120"/>
        <w:jc w:val="center"/>
        <w:rPr>
          <w:rFonts w:asciiTheme="minorHAnsi" w:hAnsiTheme="minorHAnsi" w:cstheme="minorHAnsi"/>
        </w:rPr>
      </w:pPr>
      <w:r w:rsidRPr="007D5123">
        <w:rPr>
          <w:rFonts w:asciiTheme="minorHAnsi" w:hAnsiTheme="minorHAnsi" w:cstheme="minorHAnsi"/>
          <w:b/>
          <w:bCs/>
        </w:rPr>
        <w:t>Distributing Funding to Targets</w:t>
      </w:r>
    </w:p>
    <w:tbl>
      <w:tblPr>
        <w:tblW w:w="14210" w:type="dxa"/>
        <w:tblLayout w:type="fixed"/>
        <w:tblLook w:val="04A0" w:firstRow="1" w:lastRow="0" w:firstColumn="1" w:lastColumn="0" w:noHBand="0" w:noVBand="1"/>
      </w:tblPr>
      <w:tblGrid>
        <w:gridCol w:w="1700"/>
        <w:gridCol w:w="450"/>
        <w:gridCol w:w="1260"/>
        <w:gridCol w:w="1350"/>
        <w:gridCol w:w="1440"/>
        <w:gridCol w:w="1260"/>
        <w:gridCol w:w="1530"/>
        <w:gridCol w:w="1530"/>
        <w:gridCol w:w="1530"/>
        <w:gridCol w:w="2160"/>
      </w:tblGrid>
      <w:tr w:rsidR="003901B7" w:rsidRPr="007D5123" w14:paraId="29F0085F" w14:textId="77777777" w:rsidTr="006317C3">
        <w:trPr>
          <w:trHeight w:val="943"/>
        </w:trPr>
        <w:tc>
          <w:tcPr>
            <w:tcW w:w="17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21B0ECA" w14:textId="77777777" w:rsidR="003901B7" w:rsidRPr="002F7364" w:rsidRDefault="003901B7" w:rsidP="002F7364">
            <w:pPr>
              <w:rPr>
                <w:rFonts w:cs="Calibri"/>
                <w:color w:val="000000"/>
                <w:szCs w:val="22"/>
              </w:rPr>
            </w:pPr>
            <w:r w:rsidRPr="002F7364">
              <w:rPr>
                <w:rFonts w:cs="Calibri"/>
                <w:color w:val="000000"/>
                <w:szCs w:val="22"/>
              </w:rPr>
              <w:t>Board Name</w:t>
            </w:r>
          </w:p>
        </w:tc>
        <w:tc>
          <w:tcPr>
            <w:tcW w:w="450" w:type="dxa"/>
            <w:tcBorders>
              <w:top w:val="single" w:sz="8" w:space="0" w:color="auto"/>
              <w:left w:val="nil"/>
              <w:bottom w:val="single" w:sz="8" w:space="0" w:color="auto"/>
              <w:right w:val="single" w:sz="8" w:space="0" w:color="auto"/>
            </w:tcBorders>
            <w:shd w:val="clear" w:color="auto" w:fill="auto"/>
            <w:noWrap/>
            <w:vAlign w:val="bottom"/>
            <w:hideMark/>
          </w:tcPr>
          <w:p w14:paraId="63130989" w14:textId="77777777" w:rsidR="003901B7" w:rsidRPr="002F7364" w:rsidRDefault="003901B7" w:rsidP="002F7364">
            <w:pPr>
              <w:jc w:val="center"/>
              <w:rPr>
                <w:rFonts w:cs="Calibri"/>
                <w:color w:val="000000"/>
                <w:szCs w:val="22"/>
              </w:rPr>
            </w:pPr>
            <w:r w:rsidRPr="002F7364">
              <w:rPr>
                <w:rFonts w:cs="Calibri"/>
                <w:color w:val="000000"/>
                <w:szCs w:val="22"/>
              </w:rPr>
              <w:t>#</w:t>
            </w:r>
          </w:p>
        </w:tc>
        <w:tc>
          <w:tcPr>
            <w:tcW w:w="1260" w:type="dxa"/>
            <w:tcBorders>
              <w:top w:val="single" w:sz="8" w:space="0" w:color="auto"/>
              <w:left w:val="single" w:sz="4" w:space="0" w:color="auto"/>
              <w:bottom w:val="single" w:sz="8" w:space="0" w:color="auto"/>
              <w:right w:val="single" w:sz="4" w:space="0" w:color="auto"/>
            </w:tcBorders>
            <w:shd w:val="clear" w:color="auto" w:fill="auto"/>
            <w:vAlign w:val="bottom"/>
            <w:hideMark/>
          </w:tcPr>
          <w:p w14:paraId="6C61C8C7" w14:textId="54ABC893" w:rsidR="003901B7" w:rsidRPr="002F7364" w:rsidRDefault="003901B7" w:rsidP="002F7364">
            <w:pPr>
              <w:jc w:val="center"/>
              <w:rPr>
                <w:rFonts w:cs="Calibri"/>
                <w:color w:val="000000"/>
                <w:sz w:val="20"/>
                <w:szCs w:val="20"/>
              </w:rPr>
            </w:pPr>
            <w:r w:rsidRPr="002F7364">
              <w:rPr>
                <w:rFonts w:cs="Calibri"/>
                <w:color w:val="000000"/>
                <w:sz w:val="20"/>
                <w:szCs w:val="20"/>
              </w:rPr>
              <w:t>Variable Admin/Ops</w:t>
            </w:r>
            <w:r w:rsidRPr="007D5123">
              <w:rPr>
                <w:rFonts w:cs="Calibri"/>
                <w:color w:val="000000"/>
                <w:sz w:val="20"/>
                <w:szCs w:val="20"/>
              </w:rPr>
              <w:t xml:space="preserve"> per Unit</w:t>
            </w:r>
          </w:p>
        </w:tc>
        <w:tc>
          <w:tcPr>
            <w:tcW w:w="1350" w:type="dxa"/>
            <w:tcBorders>
              <w:top w:val="single" w:sz="8" w:space="0" w:color="auto"/>
              <w:left w:val="nil"/>
              <w:bottom w:val="single" w:sz="8" w:space="0" w:color="auto"/>
              <w:right w:val="single" w:sz="4" w:space="0" w:color="auto"/>
            </w:tcBorders>
            <w:shd w:val="clear" w:color="auto" w:fill="auto"/>
            <w:vAlign w:val="bottom"/>
            <w:hideMark/>
          </w:tcPr>
          <w:p w14:paraId="7E605C5F" w14:textId="7BCEE2E3" w:rsidR="003901B7" w:rsidRPr="002F7364" w:rsidRDefault="003901B7" w:rsidP="002F7364">
            <w:pPr>
              <w:jc w:val="center"/>
              <w:rPr>
                <w:rFonts w:cs="Calibri"/>
                <w:color w:val="000000"/>
                <w:sz w:val="20"/>
                <w:szCs w:val="20"/>
              </w:rPr>
            </w:pPr>
            <w:r w:rsidRPr="002F7364">
              <w:rPr>
                <w:rFonts w:cs="Calibri"/>
                <w:color w:val="000000"/>
                <w:sz w:val="20"/>
                <w:szCs w:val="20"/>
              </w:rPr>
              <w:t>Projected Avg D</w:t>
            </w:r>
            <w:r w:rsidRPr="007D5123">
              <w:rPr>
                <w:rFonts w:cs="Calibri"/>
                <w:color w:val="000000"/>
                <w:sz w:val="20"/>
                <w:szCs w:val="20"/>
              </w:rPr>
              <w:t>irect Care</w:t>
            </w:r>
            <w:r w:rsidRPr="002F7364">
              <w:rPr>
                <w:rFonts w:cs="Calibri"/>
                <w:color w:val="000000"/>
                <w:sz w:val="20"/>
                <w:szCs w:val="20"/>
              </w:rPr>
              <w:t xml:space="preserve"> at LESSER Rate: Mandatory</w:t>
            </w:r>
          </w:p>
        </w:tc>
        <w:tc>
          <w:tcPr>
            <w:tcW w:w="1440" w:type="dxa"/>
            <w:tcBorders>
              <w:top w:val="single" w:sz="8" w:space="0" w:color="auto"/>
              <w:left w:val="nil"/>
              <w:bottom w:val="single" w:sz="8" w:space="0" w:color="auto"/>
              <w:right w:val="single" w:sz="4" w:space="0" w:color="auto"/>
            </w:tcBorders>
            <w:shd w:val="clear" w:color="auto" w:fill="auto"/>
            <w:vAlign w:val="bottom"/>
            <w:hideMark/>
          </w:tcPr>
          <w:p w14:paraId="58E33054" w14:textId="0D992503" w:rsidR="003901B7" w:rsidRPr="002F7364" w:rsidRDefault="003901B7" w:rsidP="002F7364">
            <w:pPr>
              <w:jc w:val="center"/>
              <w:rPr>
                <w:rFonts w:cs="Calibri"/>
                <w:color w:val="000000"/>
                <w:sz w:val="20"/>
                <w:szCs w:val="20"/>
              </w:rPr>
            </w:pPr>
            <w:r w:rsidRPr="002F7364">
              <w:rPr>
                <w:rFonts w:cs="Calibri"/>
                <w:color w:val="000000"/>
                <w:sz w:val="20"/>
                <w:szCs w:val="20"/>
              </w:rPr>
              <w:t>Projected Avg D</w:t>
            </w:r>
            <w:r w:rsidRPr="007D5123">
              <w:rPr>
                <w:rFonts w:cs="Calibri"/>
                <w:color w:val="000000"/>
                <w:sz w:val="20"/>
                <w:szCs w:val="20"/>
              </w:rPr>
              <w:t>irect Care</w:t>
            </w:r>
            <w:r w:rsidRPr="002F7364">
              <w:rPr>
                <w:rFonts w:cs="Calibri"/>
                <w:color w:val="000000"/>
                <w:sz w:val="20"/>
                <w:szCs w:val="20"/>
              </w:rPr>
              <w:t xml:space="preserve"> at LESSER Rate: Discretionary</w:t>
            </w:r>
          </w:p>
        </w:tc>
        <w:tc>
          <w:tcPr>
            <w:tcW w:w="1260" w:type="dxa"/>
            <w:tcBorders>
              <w:top w:val="single" w:sz="8" w:space="0" w:color="auto"/>
              <w:left w:val="nil"/>
              <w:bottom w:val="single" w:sz="8" w:space="0" w:color="auto"/>
              <w:right w:val="single" w:sz="4" w:space="0" w:color="auto"/>
            </w:tcBorders>
            <w:shd w:val="clear" w:color="auto" w:fill="auto"/>
            <w:vAlign w:val="bottom"/>
            <w:hideMark/>
          </w:tcPr>
          <w:p w14:paraId="1EC1F124" w14:textId="77777777" w:rsidR="003901B7" w:rsidRPr="002F7364" w:rsidRDefault="003901B7" w:rsidP="002F7364">
            <w:pPr>
              <w:jc w:val="center"/>
              <w:rPr>
                <w:rFonts w:cs="Calibri"/>
                <w:color w:val="000000"/>
                <w:sz w:val="20"/>
                <w:szCs w:val="20"/>
              </w:rPr>
            </w:pPr>
            <w:r w:rsidRPr="002F7364">
              <w:rPr>
                <w:rFonts w:cs="Calibri"/>
                <w:color w:val="000000"/>
                <w:sz w:val="20"/>
                <w:szCs w:val="20"/>
              </w:rPr>
              <w:t>Projected Mandatory Kids Per Day</w:t>
            </w:r>
          </w:p>
        </w:tc>
        <w:tc>
          <w:tcPr>
            <w:tcW w:w="1530" w:type="dxa"/>
            <w:tcBorders>
              <w:top w:val="single" w:sz="8" w:space="0" w:color="auto"/>
              <w:left w:val="nil"/>
              <w:bottom w:val="single" w:sz="8" w:space="0" w:color="auto"/>
              <w:right w:val="single" w:sz="4" w:space="0" w:color="auto"/>
            </w:tcBorders>
            <w:shd w:val="clear" w:color="auto" w:fill="auto"/>
            <w:vAlign w:val="bottom"/>
            <w:hideMark/>
          </w:tcPr>
          <w:p w14:paraId="114CB7C4" w14:textId="77777777" w:rsidR="003901B7" w:rsidRPr="002F7364" w:rsidRDefault="003901B7" w:rsidP="002F7364">
            <w:pPr>
              <w:jc w:val="center"/>
              <w:rPr>
                <w:rFonts w:cs="Calibri"/>
                <w:color w:val="000000"/>
                <w:sz w:val="20"/>
                <w:szCs w:val="20"/>
              </w:rPr>
            </w:pPr>
            <w:r w:rsidRPr="002F7364">
              <w:rPr>
                <w:rFonts w:cs="Calibri"/>
                <w:color w:val="000000"/>
                <w:sz w:val="20"/>
                <w:szCs w:val="20"/>
              </w:rPr>
              <w:t>Total Cost of Projected Mandatory Kids</w:t>
            </w:r>
          </w:p>
        </w:tc>
        <w:tc>
          <w:tcPr>
            <w:tcW w:w="1530" w:type="dxa"/>
            <w:tcBorders>
              <w:top w:val="single" w:sz="8" w:space="0" w:color="auto"/>
              <w:left w:val="nil"/>
              <w:bottom w:val="single" w:sz="8" w:space="0" w:color="auto"/>
              <w:right w:val="single" w:sz="4" w:space="0" w:color="auto"/>
            </w:tcBorders>
            <w:shd w:val="clear" w:color="auto" w:fill="auto"/>
            <w:vAlign w:val="bottom"/>
            <w:hideMark/>
          </w:tcPr>
          <w:p w14:paraId="47328AD5" w14:textId="77777777" w:rsidR="003901B7" w:rsidRPr="002F7364" w:rsidRDefault="003901B7" w:rsidP="002F7364">
            <w:pPr>
              <w:jc w:val="center"/>
              <w:rPr>
                <w:rFonts w:cs="Calibri"/>
                <w:color w:val="000000"/>
                <w:sz w:val="20"/>
                <w:szCs w:val="20"/>
              </w:rPr>
            </w:pPr>
            <w:r w:rsidRPr="002F7364">
              <w:rPr>
                <w:rFonts w:cs="Calibri"/>
                <w:color w:val="000000"/>
                <w:sz w:val="20"/>
                <w:szCs w:val="20"/>
              </w:rPr>
              <w:t>Available for Discretionary Care</w:t>
            </w:r>
          </w:p>
        </w:tc>
        <w:tc>
          <w:tcPr>
            <w:tcW w:w="1530" w:type="dxa"/>
            <w:tcBorders>
              <w:top w:val="single" w:sz="8" w:space="0" w:color="auto"/>
              <w:left w:val="nil"/>
              <w:bottom w:val="single" w:sz="8" w:space="0" w:color="auto"/>
              <w:right w:val="single" w:sz="4" w:space="0" w:color="auto"/>
            </w:tcBorders>
            <w:shd w:val="clear" w:color="auto" w:fill="auto"/>
            <w:vAlign w:val="bottom"/>
            <w:hideMark/>
          </w:tcPr>
          <w:p w14:paraId="7904E2CB" w14:textId="0675EF46" w:rsidR="003901B7" w:rsidRPr="002F7364" w:rsidRDefault="003901B7" w:rsidP="002F7364">
            <w:pPr>
              <w:jc w:val="center"/>
              <w:rPr>
                <w:rFonts w:cs="Calibri"/>
                <w:color w:val="000000"/>
                <w:sz w:val="20"/>
                <w:szCs w:val="20"/>
              </w:rPr>
            </w:pPr>
            <w:r w:rsidRPr="007D5123">
              <w:rPr>
                <w:rFonts w:cs="Calibri"/>
                <w:color w:val="000000"/>
                <w:sz w:val="20"/>
                <w:szCs w:val="20"/>
              </w:rPr>
              <w:t xml:space="preserve">Affordable </w:t>
            </w:r>
            <w:r w:rsidRPr="002F7364">
              <w:rPr>
                <w:rFonts w:cs="Calibri"/>
                <w:color w:val="000000"/>
                <w:sz w:val="20"/>
                <w:szCs w:val="20"/>
              </w:rPr>
              <w:t xml:space="preserve">Discretionary </w:t>
            </w:r>
            <w:r w:rsidRPr="007D5123">
              <w:rPr>
                <w:rFonts w:cs="Calibri"/>
                <w:color w:val="000000"/>
                <w:sz w:val="20"/>
                <w:szCs w:val="20"/>
              </w:rPr>
              <w:t>Kids per Day</w:t>
            </w:r>
          </w:p>
        </w:tc>
        <w:tc>
          <w:tcPr>
            <w:tcW w:w="2160" w:type="dxa"/>
            <w:tcBorders>
              <w:top w:val="single" w:sz="8" w:space="0" w:color="auto"/>
              <w:left w:val="nil"/>
              <w:bottom w:val="single" w:sz="8" w:space="0" w:color="auto"/>
              <w:right w:val="single" w:sz="8" w:space="0" w:color="auto"/>
            </w:tcBorders>
            <w:shd w:val="clear" w:color="000000" w:fill="C6E0B4"/>
            <w:vAlign w:val="bottom"/>
            <w:hideMark/>
          </w:tcPr>
          <w:p w14:paraId="4B7D88A5" w14:textId="77777777" w:rsidR="003901B7" w:rsidRPr="002F7364" w:rsidRDefault="003901B7" w:rsidP="002F7364">
            <w:pPr>
              <w:jc w:val="center"/>
              <w:rPr>
                <w:rFonts w:cs="Calibri"/>
                <w:color w:val="000000"/>
                <w:sz w:val="20"/>
                <w:szCs w:val="20"/>
              </w:rPr>
            </w:pPr>
            <w:r w:rsidRPr="002F7364">
              <w:rPr>
                <w:rFonts w:cs="Calibri"/>
                <w:color w:val="000000"/>
                <w:sz w:val="20"/>
                <w:szCs w:val="20"/>
              </w:rPr>
              <w:t>Total Target (Est Affordable under LESSER Rate)</w:t>
            </w:r>
          </w:p>
        </w:tc>
      </w:tr>
      <w:tr w:rsidR="003901B7" w:rsidRPr="007D5123" w14:paraId="07AB10E5" w14:textId="77777777" w:rsidTr="006317C3">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787DE399" w14:textId="77777777" w:rsidR="003901B7" w:rsidRPr="002F7364" w:rsidRDefault="003901B7" w:rsidP="002F7364">
            <w:pPr>
              <w:rPr>
                <w:rFonts w:cs="Calibri"/>
                <w:color w:val="000000"/>
                <w:szCs w:val="22"/>
              </w:rPr>
            </w:pPr>
            <w:r w:rsidRPr="002F7364">
              <w:rPr>
                <w:rFonts w:cs="Calibri"/>
                <w:color w:val="000000"/>
                <w:szCs w:val="22"/>
              </w:rPr>
              <w:t>Panhandle</w:t>
            </w:r>
          </w:p>
        </w:tc>
        <w:tc>
          <w:tcPr>
            <w:tcW w:w="450" w:type="dxa"/>
            <w:tcBorders>
              <w:top w:val="nil"/>
              <w:left w:val="nil"/>
              <w:bottom w:val="single" w:sz="4" w:space="0" w:color="auto"/>
              <w:right w:val="single" w:sz="8" w:space="0" w:color="auto"/>
            </w:tcBorders>
            <w:shd w:val="clear" w:color="auto" w:fill="auto"/>
            <w:noWrap/>
            <w:vAlign w:val="center"/>
            <w:hideMark/>
          </w:tcPr>
          <w:p w14:paraId="1091628A" w14:textId="77777777" w:rsidR="003901B7" w:rsidRPr="002F7364" w:rsidRDefault="003901B7" w:rsidP="002F7364">
            <w:pPr>
              <w:jc w:val="center"/>
              <w:rPr>
                <w:rFonts w:cs="Calibri"/>
                <w:szCs w:val="22"/>
              </w:rPr>
            </w:pPr>
            <w:r w:rsidRPr="002F7364">
              <w:rPr>
                <w:rFonts w:cs="Calibri"/>
                <w:szCs w:val="22"/>
              </w:rPr>
              <w:t>1</w:t>
            </w:r>
          </w:p>
        </w:tc>
        <w:tc>
          <w:tcPr>
            <w:tcW w:w="1260" w:type="dxa"/>
            <w:tcBorders>
              <w:top w:val="nil"/>
              <w:left w:val="single" w:sz="4" w:space="0" w:color="auto"/>
              <w:bottom w:val="single" w:sz="4" w:space="0" w:color="auto"/>
              <w:right w:val="nil"/>
            </w:tcBorders>
            <w:shd w:val="clear" w:color="auto" w:fill="auto"/>
            <w:noWrap/>
            <w:vAlign w:val="bottom"/>
            <w:hideMark/>
          </w:tcPr>
          <w:p w14:paraId="347E08A6" w14:textId="3A13F5CA" w:rsidR="003901B7" w:rsidRPr="002F7364" w:rsidRDefault="003901B7" w:rsidP="002F7364">
            <w:pPr>
              <w:jc w:val="center"/>
              <w:rPr>
                <w:rFonts w:cs="Calibri"/>
                <w:color w:val="000000"/>
                <w:szCs w:val="22"/>
              </w:rPr>
            </w:pPr>
            <w:r w:rsidRPr="002F7364">
              <w:rPr>
                <w:rFonts w:cs="Calibri"/>
                <w:color w:val="000000"/>
                <w:szCs w:val="22"/>
              </w:rPr>
              <w:t>$2.04</w:t>
            </w:r>
          </w:p>
        </w:tc>
        <w:tc>
          <w:tcPr>
            <w:tcW w:w="1350" w:type="dxa"/>
            <w:tcBorders>
              <w:top w:val="nil"/>
              <w:left w:val="single" w:sz="4" w:space="0" w:color="auto"/>
              <w:bottom w:val="single" w:sz="4" w:space="0" w:color="auto"/>
              <w:right w:val="nil"/>
            </w:tcBorders>
            <w:shd w:val="clear" w:color="auto" w:fill="auto"/>
            <w:noWrap/>
            <w:vAlign w:val="bottom"/>
            <w:hideMark/>
          </w:tcPr>
          <w:p w14:paraId="621E8AD7" w14:textId="2AC92518" w:rsidR="003901B7" w:rsidRPr="002F7364" w:rsidRDefault="003901B7" w:rsidP="002F7364">
            <w:pPr>
              <w:jc w:val="center"/>
              <w:rPr>
                <w:rFonts w:cs="Calibri"/>
                <w:color w:val="000000"/>
                <w:szCs w:val="22"/>
              </w:rPr>
            </w:pPr>
            <w:r w:rsidRPr="002F7364">
              <w:rPr>
                <w:rFonts w:cs="Calibri"/>
                <w:color w:val="000000"/>
                <w:szCs w:val="22"/>
              </w:rPr>
              <w:t>$21.13</w:t>
            </w:r>
          </w:p>
        </w:tc>
        <w:tc>
          <w:tcPr>
            <w:tcW w:w="1440" w:type="dxa"/>
            <w:tcBorders>
              <w:top w:val="nil"/>
              <w:left w:val="single" w:sz="4" w:space="0" w:color="auto"/>
              <w:bottom w:val="single" w:sz="4" w:space="0" w:color="auto"/>
              <w:right w:val="nil"/>
            </w:tcBorders>
            <w:shd w:val="clear" w:color="auto" w:fill="auto"/>
            <w:noWrap/>
            <w:vAlign w:val="bottom"/>
            <w:hideMark/>
          </w:tcPr>
          <w:p w14:paraId="0E3CDF44" w14:textId="01A0D3FA" w:rsidR="003901B7" w:rsidRPr="002F7364" w:rsidRDefault="003901B7" w:rsidP="002F7364">
            <w:pPr>
              <w:jc w:val="center"/>
              <w:rPr>
                <w:rFonts w:cs="Calibri"/>
                <w:color w:val="000000"/>
                <w:szCs w:val="22"/>
              </w:rPr>
            </w:pPr>
            <w:r w:rsidRPr="002F7364">
              <w:rPr>
                <w:rFonts w:cs="Calibri"/>
                <w:color w:val="000000"/>
                <w:szCs w:val="22"/>
              </w:rPr>
              <w:t>$16.87</w:t>
            </w:r>
          </w:p>
        </w:tc>
        <w:tc>
          <w:tcPr>
            <w:tcW w:w="1260" w:type="dxa"/>
            <w:tcBorders>
              <w:top w:val="nil"/>
              <w:left w:val="single" w:sz="4" w:space="0" w:color="auto"/>
              <w:bottom w:val="single" w:sz="4" w:space="0" w:color="auto"/>
              <w:right w:val="nil"/>
            </w:tcBorders>
            <w:shd w:val="clear" w:color="auto" w:fill="auto"/>
            <w:noWrap/>
            <w:vAlign w:val="bottom"/>
            <w:hideMark/>
          </w:tcPr>
          <w:p w14:paraId="504DEE26" w14:textId="77777777" w:rsidR="003901B7" w:rsidRPr="002F7364" w:rsidRDefault="003901B7" w:rsidP="002F7364">
            <w:pPr>
              <w:jc w:val="center"/>
              <w:rPr>
                <w:rFonts w:cs="Calibri"/>
                <w:color w:val="000000"/>
                <w:szCs w:val="22"/>
              </w:rPr>
            </w:pPr>
            <w:r w:rsidRPr="002F7364">
              <w:rPr>
                <w:rFonts w:cs="Calibri"/>
                <w:color w:val="000000"/>
                <w:szCs w:val="22"/>
              </w:rPr>
              <w:t>137</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58B5F55B" w14:textId="11F0D186" w:rsidR="003901B7" w:rsidRPr="002F7364" w:rsidRDefault="003901B7" w:rsidP="002F7364">
            <w:pPr>
              <w:jc w:val="center"/>
              <w:rPr>
                <w:rFonts w:cs="Calibri"/>
                <w:color w:val="000000"/>
                <w:szCs w:val="22"/>
              </w:rPr>
            </w:pPr>
            <w:r w:rsidRPr="002F7364">
              <w:rPr>
                <w:rFonts w:cs="Calibri"/>
                <w:color w:val="000000"/>
                <w:szCs w:val="22"/>
              </w:rPr>
              <w:t>$831,653</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57927DD2" w14:textId="5EA2C1E5" w:rsidR="003901B7" w:rsidRPr="002F7364" w:rsidRDefault="003901B7" w:rsidP="002F7364">
            <w:pPr>
              <w:jc w:val="center"/>
              <w:rPr>
                <w:rFonts w:cs="Calibri"/>
                <w:color w:val="000000"/>
                <w:szCs w:val="22"/>
              </w:rPr>
            </w:pPr>
            <w:r w:rsidRPr="002F7364">
              <w:rPr>
                <w:rFonts w:cs="Calibri"/>
                <w:color w:val="000000"/>
                <w:szCs w:val="22"/>
              </w:rPr>
              <w:t>$10,053,644</w:t>
            </w:r>
          </w:p>
        </w:tc>
        <w:tc>
          <w:tcPr>
            <w:tcW w:w="1530" w:type="dxa"/>
            <w:tcBorders>
              <w:top w:val="nil"/>
              <w:left w:val="single" w:sz="4" w:space="0" w:color="auto"/>
              <w:bottom w:val="single" w:sz="4" w:space="0" w:color="auto"/>
              <w:right w:val="nil"/>
            </w:tcBorders>
            <w:shd w:val="clear" w:color="auto" w:fill="auto"/>
            <w:noWrap/>
            <w:vAlign w:val="bottom"/>
            <w:hideMark/>
          </w:tcPr>
          <w:p w14:paraId="29F1D25C" w14:textId="77777777" w:rsidR="003901B7" w:rsidRPr="002F7364" w:rsidRDefault="003901B7" w:rsidP="002F7364">
            <w:pPr>
              <w:jc w:val="center"/>
              <w:rPr>
                <w:rFonts w:cs="Calibri"/>
                <w:color w:val="000000"/>
                <w:szCs w:val="22"/>
              </w:rPr>
            </w:pPr>
            <w:r w:rsidRPr="002F7364">
              <w:rPr>
                <w:rFonts w:cs="Calibri"/>
                <w:color w:val="000000"/>
                <w:szCs w:val="22"/>
              </w:rPr>
              <w:t>2,029</w:t>
            </w:r>
          </w:p>
        </w:tc>
        <w:tc>
          <w:tcPr>
            <w:tcW w:w="2160" w:type="dxa"/>
            <w:tcBorders>
              <w:top w:val="nil"/>
              <w:left w:val="single" w:sz="4" w:space="0" w:color="auto"/>
              <w:bottom w:val="single" w:sz="4" w:space="0" w:color="auto"/>
              <w:right w:val="single" w:sz="8" w:space="0" w:color="auto"/>
            </w:tcBorders>
            <w:shd w:val="clear" w:color="000000" w:fill="C6E0B4"/>
            <w:noWrap/>
            <w:vAlign w:val="bottom"/>
            <w:hideMark/>
          </w:tcPr>
          <w:p w14:paraId="3D1FCA92" w14:textId="77777777" w:rsidR="003901B7" w:rsidRPr="002F7364" w:rsidRDefault="003901B7" w:rsidP="002F7364">
            <w:pPr>
              <w:jc w:val="center"/>
              <w:rPr>
                <w:rFonts w:cs="Calibri"/>
                <w:color w:val="000000"/>
                <w:szCs w:val="22"/>
              </w:rPr>
            </w:pPr>
            <w:r w:rsidRPr="002F7364">
              <w:rPr>
                <w:rFonts w:cs="Calibri"/>
                <w:color w:val="000000"/>
                <w:szCs w:val="22"/>
              </w:rPr>
              <w:t>2,166</w:t>
            </w:r>
          </w:p>
        </w:tc>
      </w:tr>
      <w:tr w:rsidR="003901B7" w:rsidRPr="007D5123" w14:paraId="21587A41" w14:textId="77777777" w:rsidTr="006317C3">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48B3CA1A" w14:textId="77777777" w:rsidR="003901B7" w:rsidRPr="002F7364" w:rsidRDefault="003901B7" w:rsidP="002F7364">
            <w:pPr>
              <w:rPr>
                <w:rFonts w:cs="Calibri"/>
                <w:color w:val="000000"/>
                <w:szCs w:val="22"/>
              </w:rPr>
            </w:pPr>
            <w:r w:rsidRPr="002F7364">
              <w:rPr>
                <w:rFonts w:cs="Calibri"/>
                <w:color w:val="000000"/>
                <w:szCs w:val="22"/>
              </w:rPr>
              <w:t>South Plains</w:t>
            </w:r>
          </w:p>
        </w:tc>
        <w:tc>
          <w:tcPr>
            <w:tcW w:w="450" w:type="dxa"/>
            <w:tcBorders>
              <w:top w:val="nil"/>
              <w:left w:val="nil"/>
              <w:bottom w:val="single" w:sz="4" w:space="0" w:color="auto"/>
              <w:right w:val="single" w:sz="8" w:space="0" w:color="auto"/>
            </w:tcBorders>
            <w:shd w:val="clear" w:color="auto" w:fill="auto"/>
            <w:noWrap/>
            <w:vAlign w:val="center"/>
            <w:hideMark/>
          </w:tcPr>
          <w:p w14:paraId="345D2807" w14:textId="77777777" w:rsidR="003901B7" w:rsidRPr="002F7364" w:rsidRDefault="003901B7" w:rsidP="002F7364">
            <w:pPr>
              <w:jc w:val="center"/>
              <w:rPr>
                <w:rFonts w:cs="Calibri"/>
                <w:szCs w:val="22"/>
              </w:rPr>
            </w:pPr>
            <w:r w:rsidRPr="002F7364">
              <w:rPr>
                <w:rFonts w:cs="Calibri"/>
                <w:szCs w:val="22"/>
              </w:rPr>
              <w:t>2</w:t>
            </w:r>
          </w:p>
        </w:tc>
        <w:tc>
          <w:tcPr>
            <w:tcW w:w="1260" w:type="dxa"/>
            <w:tcBorders>
              <w:top w:val="nil"/>
              <w:left w:val="single" w:sz="4" w:space="0" w:color="auto"/>
              <w:bottom w:val="single" w:sz="4" w:space="0" w:color="auto"/>
              <w:right w:val="nil"/>
            </w:tcBorders>
            <w:shd w:val="clear" w:color="auto" w:fill="auto"/>
            <w:noWrap/>
            <w:vAlign w:val="bottom"/>
            <w:hideMark/>
          </w:tcPr>
          <w:p w14:paraId="74D5738D" w14:textId="24F546B9" w:rsidR="003901B7" w:rsidRPr="002F7364" w:rsidRDefault="003901B7" w:rsidP="002F7364">
            <w:pPr>
              <w:jc w:val="center"/>
              <w:rPr>
                <w:rFonts w:cs="Calibri"/>
                <w:color w:val="000000"/>
                <w:szCs w:val="22"/>
              </w:rPr>
            </w:pPr>
            <w:r w:rsidRPr="002F7364">
              <w:rPr>
                <w:rFonts w:cs="Calibri"/>
                <w:color w:val="000000"/>
                <w:szCs w:val="22"/>
              </w:rPr>
              <w:t>$1.59</w:t>
            </w:r>
          </w:p>
        </w:tc>
        <w:tc>
          <w:tcPr>
            <w:tcW w:w="1350" w:type="dxa"/>
            <w:tcBorders>
              <w:top w:val="nil"/>
              <w:left w:val="single" w:sz="4" w:space="0" w:color="auto"/>
              <w:bottom w:val="single" w:sz="4" w:space="0" w:color="auto"/>
              <w:right w:val="nil"/>
            </w:tcBorders>
            <w:shd w:val="clear" w:color="auto" w:fill="auto"/>
            <w:noWrap/>
            <w:vAlign w:val="bottom"/>
            <w:hideMark/>
          </w:tcPr>
          <w:p w14:paraId="3BBECE5A" w14:textId="70A6DECD" w:rsidR="003901B7" w:rsidRPr="002F7364" w:rsidRDefault="003901B7" w:rsidP="002F7364">
            <w:pPr>
              <w:jc w:val="center"/>
              <w:rPr>
                <w:rFonts w:cs="Calibri"/>
                <w:color w:val="000000"/>
                <w:szCs w:val="22"/>
              </w:rPr>
            </w:pPr>
            <w:r w:rsidRPr="002F7364">
              <w:rPr>
                <w:rFonts w:cs="Calibri"/>
                <w:color w:val="000000"/>
                <w:szCs w:val="22"/>
              </w:rPr>
              <w:t>$19.99</w:t>
            </w:r>
          </w:p>
        </w:tc>
        <w:tc>
          <w:tcPr>
            <w:tcW w:w="1440" w:type="dxa"/>
            <w:tcBorders>
              <w:top w:val="nil"/>
              <w:left w:val="single" w:sz="4" w:space="0" w:color="auto"/>
              <w:bottom w:val="single" w:sz="4" w:space="0" w:color="auto"/>
              <w:right w:val="nil"/>
            </w:tcBorders>
            <w:shd w:val="clear" w:color="auto" w:fill="auto"/>
            <w:noWrap/>
            <w:vAlign w:val="bottom"/>
            <w:hideMark/>
          </w:tcPr>
          <w:p w14:paraId="46DD510F" w14:textId="4CBE5622" w:rsidR="003901B7" w:rsidRPr="002F7364" w:rsidRDefault="003901B7" w:rsidP="002F7364">
            <w:pPr>
              <w:jc w:val="center"/>
              <w:rPr>
                <w:rFonts w:cs="Calibri"/>
                <w:color w:val="000000"/>
                <w:szCs w:val="22"/>
              </w:rPr>
            </w:pPr>
            <w:r w:rsidRPr="002F7364">
              <w:rPr>
                <w:rFonts w:cs="Calibri"/>
                <w:color w:val="000000"/>
                <w:szCs w:val="22"/>
              </w:rPr>
              <w:t>$16.27</w:t>
            </w:r>
          </w:p>
        </w:tc>
        <w:tc>
          <w:tcPr>
            <w:tcW w:w="1260" w:type="dxa"/>
            <w:tcBorders>
              <w:top w:val="nil"/>
              <w:left w:val="single" w:sz="4" w:space="0" w:color="auto"/>
              <w:bottom w:val="single" w:sz="4" w:space="0" w:color="auto"/>
              <w:right w:val="nil"/>
            </w:tcBorders>
            <w:shd w:val="clear" w:color="auto" w:fill="auto"/>
            <w:noWrap/>
            <w:vAlign w:val="bottom"/>
            <w:hideMark/>
          </w:tcPr>
          <w:p w14:paraId="337B767B" w14:textId="77777777" w:rsidR="003901B7" w:rsidRPr="002F7364" w:rsidRDefault="003901B7" w:rsidP="002F7364">
            <w:pPr>
              <w:jc w:val="center"/>
              <w:rPr>
                <w:rFonts w:cs="Calibri"/>
                <w:color w:val="000000"/>
                <w:szCs w:val="22"/>
              </w:rPr>
            </w:pPr>
            <w:r w:rsidRPr="002F7364">
              <w:rPr>
                <w:rFonts w:cs="Calibri"/>
                <w:color w:val="000000"/>
                <w:szCs w:val="22"/>
              </w:rPr>
              <w:t>215</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227D11D8" w14:textId="3CFB3357" w:rsidR="003901B7" w:rsidRPr="002F7364" w:rsidRDefault="003901B7" w:rsidP="002F7364">
            <w:pPr>
              <w:jc w:val="center"/>
              <w:rPr>
                <w:rFonts w:cs="Calibri"/>
                <w:color w:val="000000"/>
                <w:szCs w:val="22"/>
              </w:rPr>
            </w:pPr>
            <w:r w:rsidRPr="002F7364">
              <w:rPr>
                <w:rFonts w:cs="Calibri"/>
                <w:color w:val="000000"/>
                <w:szCs w:val="22"/>
              </w:rPr>
              <w:t>$1,215,558</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3322580C" w14:textId="0BED540B" w:rsidR="003901B7" w:rsidRPr="002F7364" w:rsidRDefault="003901B7" w:rsidP="002F7364">
            <w:pPr>
              <w:jc w:val="center"/>
              <w:rPr>
                <w:rFonts w:cs="Calibri"/>
                <w:color w:val="000000"/>
                <w:szCs w:val="22"/>
              </w:rPr>
            </w:pPr>
            <w:r w:rsidRPr="002F7364">
              <w:rPr>
                <w:rFonts w:cs="Calibri"/>
                <w:color w:val="000000"/>
                <w:szCs w:val="22"/>
              </w:rPr>
              <w:t>$9,385,890</w:t>
            </w:r>
          </w:p>
        </w:tc>
        <w:tc>
          <w:tcPr>
            <w:tcW w:w="1530" w:type="dxa"/>
            <w:tcBorders>
              <w:top w:val="nil"/>
              <w:left w:val="single" w:sz="4" w:space="0" w:color="auto"/>
              <w:bottom w:val="single" w:sz="4" w:space="0" w:color="auto"/>
              <w:right w:val="nil"/>
            </w:tcBorders>
            <w:shd w:val="clear" w:color="auto" w:fill="auto"/>
            <w:noWrap/>
            <w:vAlign w:val="bottom"/>
            <w:hideMark/>
          </w:tcPr>
          <w:p w14:paraId="47989043" w14:textId="77777777" w:rsidR="003901B7" w:rsidRPr="002F7364" w:rsidRDefault="003901B7" w:rsidP="002F7364">
            <w:pPr>
              <w:jc w:val="center"/>
              <w:rPr>
                <w:rFonts w:cs="Calibri"/>
                <w:color w:val="000000"/>
                <w:szCs w:val="22"/>
              </w:rPr>
            </w:pPr>
            <w:r w:rsidRPr="002F7364">
              <w:rPr>
                <w:rFonts w:cs="Calibri"/>
                <w:color w:val="000000"/>
                <w:szCs w:val="22"/>
              </w:rPr>
              <w:t>2,006</w:t>
            </w:r>
          </w:p>
        </w:tc>
        <w:tc>
          <w:tcPr>
            <w:tcW w:w="2160" w:type="dxa"/>
            <w:tcBorders>
              <w:top w:val="nil"/>
              <w:left w:val="single" w:sz="4" w:space="0" w:color="auto"/>
              <w:bottom w:val="single" w:sz="4" w:space="0" w:color="auto"/>
              <w:right w:val="single" w:sz="8" w:space="0" w:color="auto"/>
            </w:tcBorders>
            <w:shd w:val="clear" w:color="000000" w:fill="C6E0B4"/>
            <w:noWrap/>
            <w:vAlign w:val="bottom"/>
            <w:hideMark/>
          </w:tcPr>
          <w:p w14:paraId="42E33441" w14:textId="77777777" w:rsidR="003901B7" w:rsidRPr="002F7364" w:rsidRDefault="003901B7" w:rsidP="002F7364">
            <w:pPr>
              <w:jc w:val="center"/>
              <w:rPr>
                <w:rFonts w:cs="Calibri"/>
                <w:color w:val="000000"/>
                <w:szCs w:val="22"/>
              </w:rPr>
            </w:pPr>
            <w:r w:rsidRPr="002F7364">
              <w:rPr>
                <w:rFonts w:cs="Calibri"/>
                <w:color w:val="000000"/>
                <w:szCs w:val="22"/>
              </w:rPr>
              <w:t>2,221</w:t>
            </w:r>
          </w:p>
        </w:tc>
      </w:tr>
      <w:tr w:rsidR="003901B7" w:rsidRPr="007D5123" w14:paraId="312CC213" w14:textId="77777777" w:rsidTr="006317C3">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5A56E4E1" w14:textId="77777777" w:rsidR="003901B7" w:rsidRPr="002F7364" w:rsidRDefault="003901B7" w:rsidP="002F7364">
            <w:pPr>
              <w:rPr>
                <w:rFonts w:cs="Calibri"/>
                <w:color w:val="000000"/>
                <w:szCs w:val="22"/>
              </w:rPr>
            </w:pPr>
            <w:r w:rsidRPr="002F7364">
              <w:rPr>
                <w:rFonts w:cs="Calibri"/>
                <w:color w:val="000000"/>
                <w:szCs w:val="22"/>
              </w:rPr>
              <w:t>North Texas</w:t>
            </w:r>
          </w:p>
        </w:tc>
        <w:tc>
          <w:tcPr>
            <w:tcW w:w="450" w:type="dxa"/>
            <w:tcBorders>
              <w:top w:val="nil"/>
              <w:left w:val="nil"/>
              <w:bottom w:val="single" w:sz="4" w:space="0" w:color="auto"/>
              <w:right w:val="single" w:sz="8" w:space="0" w:color="auto"/>
            </w:tcBorders>
            <w:shd w:val="clear" w:color="auto" w:fill="auto"/>
            <w:noWrap/>
            <w:vAlign w:val="center"/>
            <w:hideMark/>
          </w:tcPr>
          <w:p w14:paraId="529780B3" w14:textId="77777777" w:rsidR="003901B7" w:rsidRPr="002F7364" w:rsidRDefault="003901B7" w:rsidP="002F7364">
            <w:pPr>
              <w:jc w:val="center"/>
              <w:rPr>
                <w:rFonts w:cs="Calibri"/>
                <w:szCs w:val="22"/>
              </w:rPr>
            </w:pPr>
            <w:r w:rsidRPr="002F7364">
              <w:rPr>
                <w:rFonts w:cs="Calibri"/>
                <w:szCs w:val="22"/>
              </w:rPr>
              <w:t>3</w:t>
            </w:r>
          </w:p>
        </w:tc>
        <w:tc>
          <w:tcPr>
            <w:tcW w:w="1260" w:type="dxa"/>
            <w:tcBorders>
              <w:top w:val="nil"/>
              <w:left w:val="single" w:sz="4" w:space="0" w:color="auto"/>
              <w:bottom w:val="single" w:sz="4" w:space="0" w:color="auto"/>
              <w:right w:val="nil"/>
            </w:tcBorders>
            <w:shd w:val="clear" w:color="auto" w:fill="auto"/>
            <w:noWrap/>
            <w:vAlign w:val="bottom"/>
            <w:hideMark/>
          </w:tcPr>
          <w:p w14:paraId="193141A0" w14:textId="2ABDEFC2" w:rsidR="003901B7" w:rsidRPr="002F7364" w:rsidRDefault="003901B7" w:rsidP="002F7364">
            <w:pPr>
              <w:jc w:val="center"/>
              <w:rPr>
                <w:rFonts w:cs="Calibri"/>
                <w:color w:val="000000"/>
                <w:szCs w:val="22"/>
              </w:rPr>
            </w:pPr>
            <w:r w:rsidRPr="002F7364">
              <w:rPr>
                <w:rFonts w:cs="Calibri"/>
                <w:color w:val="000000"/>
                <w:szCs w:val="22"/>
              </w:rPr>
              <w:t>$2.58</w:t>
            </w:r>
          </w:p>
        </w:tc>
        <w:tc>
          <w:tcPr>
            <w:tcW w:w="1350" w:type="dxa"/>
            <w:tcBorders>
              <w:top w:val="nil"/>
              <w:left w:val="single" w:sz="4" w:space="0" w:color="auto"/>
              <w:bottom w:val="single" w:sz="4" w:space="0" w:color="auto"/>
              <w:right w:val="nil"/>
            </w:tcBorders>
            <w:shd w:val="clear" w:color="auto" w:fill="auto"/>
            <w:noWrap/>
            <w:vAlign w:val="bottom"/>
            <w:hideMark/>
          </w:tcPr>
          <w:p w14:paraId="11AF4E80" w14:textId="53A39D13" w:rsidR="003901B7" w:rsidRPr="002F7364" w:rsidRDefault="003901B7" w:rsidP="002F7364">
            <w:pPr>
              <w:jc w:val="center"/>
              <w:rPr>
                <w:rFonts w:cs="Calibri"/>
                <w:color w:val="000000"/>
                <w:szCs w:val="22"/>
              </w:rPr>
            </w:pPr>
            <w:r w:rsidRPr="002F7364">
              <w:rPr>
                <w:rFonts w:cs="Calibri"/>
                <w:color w:val="000000"/>
                <w:szCs w:val="22"/>
              </w:rPr>
              <w:t>$19.49</w:t>
            </w:r>
          </w:p>
        </w:tc>
        <w:tc>
          <w:tcPr>
            <w:tcW w:w="1440" w:type="dxa"/>
            <w:tcBorders>
              <w:top w:val="nil"/>
              <w:left w:val="single" w:sz="4" w:space="0" w:color="auto"/>
              <w:bottom w:val="single" w:sz="4" w:space="0" w:color="auto"/>
              <w:right w:val="nil"/>
            </w:tcBorders>
            <w:shd w:val="clear" w:color="auto" w:fill="auto"/>
            <w:noWrap/>
            <w:vAlign w:val="bottom"/>
            <w:hideMark/>
          </w:tcPr>
          <w:p w14:paraId="01504B28" w14:textId="46CDB333" w:rsidR="003901B7" w:rsidRPr="002F7364" w:rsidRDefault="003901B7" w:rsidP="002F7364">
            <w:pPr>
              <w:jc w:val="center"/>
              <w:rPr>
                <w:rFonts w:cs="Calibri"/>
                <w:color w:val="000000"/>
                <w:szCs w:val="22"/>
              </w:rPr>
            </w:pPr>
            <w:r w:rsidRPr="002F7364">
              <w:rPr>
                <w:rFonts w:cs="Calibri"/>
                <w:color w:val="000000"/>
                <w:szCs w:val="22"/>
              </w:rPr>
              <w:t>$14.94</w:t>
            </w:r>
          </w:p>
        </w:tc>
        <w:tc>
          <w:tcPr>
            <w:tcW w:w="1260" w:type="dxa"/>
            <w:tcBorders>
              <w:top w:val="nil"/>
              <w:left w:val="single" w:sz="4" w:space="0" w:color="auto"/>
              <w:bottom w:val="single" w:sz="4" w:space="0" w:color="auto"/>
              <w:right w:val="nil"/>
            </w:tcBorders>
            <w:shd w:val="clear" w:color="auto" w:fill="auto"/>
            <w:noWrap/>
            <w:vAlign w:val="bottom"/>
            <w:hideMark/>
          </w:tcPr>
          <w:p w14:paraId="005FEB9E" w14:textId="77777777" w:rsidR="003901B7" w:rsidRPr="002F7364" w:rsidRDefault="003901B7" w:rsidP="002F7364">
            <w:pPr>
              <w:jc w:val="center"/>
              <w:rPr>
                <w:rFonts w:cs="Calibri"/>
                <w:color w:val="000000"/>
                <w:szCs w:val="22"/>
              </w:rPr>
            </w:pPr>
            <w:r w:rsidRPr="002F7364">
              <w:rPr>
                <w:rFonts w:cs="Calibri"/>
                <w:color w:val="000000"/>
                <w:szCs w:val="22"/>
              </w:rPr>
              <w:t>156</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7ADEB4B5" w14:textId="5C608870" w:rsidR="003901B7" w:rsidRPr="002F7364" w:rsidRDefault="003901B7" w:rsidP="002F7364">
            <w:pPr>
              <w:jc w:val="center"/>
              <w:rPr>
                <w:rFonts w:cs="Calibri"/>
                <w:color w:val="000000"/>
                <w:szCs w:val="22"/>
              </w:rPr>
            </w:pPr>
            <w:r w:rsidRPr="002F7364">
              <w:rPr>
                <w:rFonts w:cs="Calibri"/>
                <w:color w:val="000000"/>
                <w:szCs w:val="22"/>
              </w:rPr>
              <w:t>$902,013</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4CC784D1" w14:textId="7E5F1384" w:rsidR="003901B7" w:rsidRPr="002F7364" w:rsidRDefault="003901B7" w:rsidP="002F7364">
            <w:pPr>
              <w:jc w:val="center"/>
              <w:rPr>
                <w:rFonts w:cs="Calibri"/>
                <w:color w:val="000000"/>
                <w:szCs w:val="22"/>
              </w:rPr>
            </w:pPr>
            <w:r w:rsidRPr="002F7364">
              <w:rPr>
                <w:rFonts w:cs="Calibri"/>
                <w:color w:val="000000"/>
                <w:szCs w:val="22"/>
              </w:rPr>
              <w:t>$3,887,061</w:t>
            </w:r>
          </w:p>
        </w:tc>
        <w:tc>
          <w:tcPr>
            <w:tcW w:w="1530" w:type="dxa"/>
            <w:tcBorders>
              <w:top w:val="nil"/>
              <w:left w:val="single" w:sz="4" w:space="0" w:color="auto"/>
              <w:bottom w:val="single" w:sz="4" w:space="0" w:color="auto"/>
              <w:right w:val="nil"/>
            </w:tcBorders>
            <w:shd w:val="clear" w:color="auto" w:fill="auto"/>
            <w:noWrap/>
            <w:vAlign w:val="bottom"/>
            <w:hideMark/>
          </w:tcPr>
          <w:p w14:paraId="1D3F1A13" w14:textId="77777777" w:rsidR="003901B7" w:rsidRPr="002F7364" w:rsidRDefault="003901B7" w:rsidP="002F7364">
            <w:pPr>
              <w:jc w:val="center"/>
              <w:rPr>
                <w:rFonts w:cs="Calibri"/>
                <w:color w:val="000000"/>
                <w:szCs w:val="22"/>
              </w:rPr>
            </w:pPr>
            <w:r w:rsidRPr="002F7364">
              <w:rPr>
                <w:rFonts w:cs="Calibri"/>
                <w:color w:val="000000"/>
                <w:szCs w:val="22"/>
              </w:rPr>
              <w:t>846</w:t>
            </w:r>
          </w:p>
        </w:tc>
        <w:tc>
          <w:tcPr>
            <w:tcW w:w="2160" w:type="dxa"/>
            <w:tcBorders>
              <w:top w:val="nil"/>
              <w:left w:val="single" w:sz="4" w:space="0" w:color="auto"/>
              <w:bottom w:val="single" w:sz="4" w:space="0" w:color="auto"/>
              <w:right w:val="single" w:sz="8" w:space="0" w:color="auto"/>
            </w:tcBorders>
            <w:shd w:val="clear" w:color="000000" w:fill="C6E0B4"/>
            <w:noWrap/>
            <w:vAlign w:val="bottom"/>
            <w:hideMark/>
          </w:tcPr>
          <w:p w14:paraId="18D7FDB5" w14:textId="77777777" w:rsidR="003901B7" w:rsidRPr="002F7364" w:rsidRDefault="003901B7" w:rsidP="002F7364">
            <w:pPr>
              <w:jc w:val="center"/>
              <w:rPr>
                <w:rFonts w:cs="Calibri"/>
                <w:color w:val="000000"/>
                <w:szCs w:val="22"/>
              </w:rPr>
            </w:pPr>
            <w:r w:rsidRPr="002F7364">
              <w:rPr>
                <w:rFonts w:cs="Calibri"/>
                <w:color w:val="000000"/>
                <w:szCs w:val="22"/>
              </w:rPr>
              <w:t>1,002</w:t>
            </w:r>
          </w:p>
        </w:tc>
      </w:tr>
      <w:tr w:rsidR="003901B7" w:rsidRPr="007D5123" w14:paraId="727C742D" w14:textId="77777777" w:rsidTr="006317C3">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1D1E2B05" w14:textId="77777777" w:rsidR="003901B7" w:rsidRPr="002F7364" w:rsidRDefault="003901B7" w:rsidP="002F7364">
            <w:pPr>
              <w:rPr>
                <w:rFonts w:cs="Calibri"/>
                <w:color w:val="000000"/>
                <w:szCs w:val="22"/>
              </w:rPr>
            </w:pPr>
            <w:r w:rsidRPr="002F7364">
              <w:rPr>
                <w:rFonts w:cs="Calibri"/>
                <w:color w:val="000000"/>
                <w:szCs w:val="22"/>
              </w:rPr>
              <w:t>North Central</w:t>
            </w:r>
          </w:p>
        </w:tc>
        <w:tc>
          <w:tcPr>
            <w:tcW w:w="450" w:type="dxa"/>
            <w:tcBorders>
              <w:top w:val="nil"/>
              <w:left w:val="nil"/>
              <w:bottom w:val="single" w:sz="4" w:space="0" w:color="auto"/>
              <w:right w:val="single" w:sz="8" w:space="0" w:color="auto"/>
            </w:tcBorders>
            <w:shd w:val="clear" w:color="auto" w:fill="auto"/>
            <w:noWrap/>
            <w:vAlign w:val="center"/>
            <w:hideMark/>
          </w:tcPr>
          <w:p w14:paraId="296529AC" w14:textId="77777777" w:rsidR="003901B7" w:rsidRPr="002F7364" w:rsidRDefault="003901B7" w:rsidP="002F7364">
            <w:pPr>
              <w:jc w:val="center"/>
              <w:rPr>
                <w:rFonts w:cs="Calibri"/>
                <w:szCs w:val="22"/>
              </w:rPr>
            </w:pPr>
            <w:r w:rsidRPr="002F7364">
              <w:rPr>
                <w:rFonts w:cs="Calibri"/>
                <w:szCs w:val="22"/>
              </w:rPr>
              <w:t>4</w:t>
            </w:r>
          </w:p>
        </w:tc>
        <w:tc>
          <w:tcPr>
            <w:tcW w:w="1260" w:type="dxa"/>
            <w:tcBorders>
              <w:top w:val="nil"/>
              <w:left w:val="single" w:sz="4" w:space="0" w:color="auto"/>
              <w:bottom w:val="single" w:sz="4" w:space="0" w:color="auto"/>
              <w:right w:val="nil"/>
            </w:tcBorders>
            <w:shd w:val="clear" w:color="auto" w:fill="auto"/>
            <w:noWrap/>
            <w:vAlign w:val="bottom"/>
            <w:hideMark/>
          </w:tcPr>
          <w:p w14:paraId="28FC7092" w14:textId="207C9F33" w:rsidR="003901B7" w:rsidRPr="002F7364" w:rsidRDefault="003901B7" w:rsidP="002F7364">
            <w:pPr>
              <w:jc w:val="center"/>
              <w:rPr>
                <w:rFonts w:cs="Calibri"/>
                <w:color w:val="000000"/>
                <w:szCs w:val="22"/>
              </w:rPr>
            </w:pPr>
            <w:r w:rsidRPr="002F7364">
              <w:rPr>
                <w:rFonts w:cs="Calibri"/>
                <w:color w:val="000000"/>
                <w:szCs w:val="22"/>
              </w:rPr>
              <w:t>$2.67</w:t>
            </w:r>
          </w:p>
        </w:tc>
        <w:tc>
          <w:tcPr>
            <w:tcW w:w="1350" w:type="dxa"/>
            <w:tcBorders>
              <w:top w:val="nil"/>
              <w:left w:val="single" w:sz="4" w:space="0" w:color="auto"/>
              <w:bottom w:val="single" w:sz="4" w:space="0" w:color="auto"/>
              <w:right w:val="nil"/>
            </w:tcBorders>
            <w:shd w:val="clear" w:color="auto" w:fill="auto"/>
            <w:noWrap/>
            <w:vAlign w:val="bottom"/>
            <w:hideMark/>
          </w:tcPr>
          <w:p w14:paraId="777756A5" w14:textId="67F41EE6" w:rsidR="003901B7" w:rsidRPr="002F7364" w:rsidRDefault="003901B7" w:rsidP="002F7364">
            <w:pPr>
              <w:jc w:val="center"/>
              <w:rPr>
                <w:rFonts w:cs="Calibri"/>
                <w:color w:val="000000"/>
                <w:szCs w:val="22"/>
              </w:rPr>
            </w:pPr>
            <w:r w:rsidRPr="002F7364">
              <w:rPr>
                <w:rFonts w:cs="Calibri"/>
                <w:color w:val="000000"/>
                <w:szCs w:val="22"/>
              </w:rPr>
              <w:t>$26.36</w:t>
            </w:r>
          </w:p>
        </w:tc>
        <w:tc>
          <w:tcPr>
            <w:tcW w:w="1440" w:type="dxa"/>
            <w:tcBorders>
              <w:top w:val="nil"/>
              <w:left w:val="single" w:sz="4" w:space="0" w:color="auto"/>
              <w:bottom w:val="single" w:sz="4" w:space="0" w:color="auto"/>
              <w:right w:val="nil"/>
            </w:tcBorders>
            <w:shd w:val="clear" w:color="auto" w:fill="auto"/>
            <w:noWrap/>
            <w:vAlign w:val="bottom"/>
            <w:hideMark/>
          </w:tcPr>
          <w:p w14:paraId="1FF88340" w14:textId="1B524050" w:rsidR="003901B7" w:rsidRPr="002F7364" w:rsidRDefault="003901B7" w:rsidP="002F7364">
            <w:pPr>
              <w:jc w:val="center"/>
              <w:rPr>
                <w:rFonts w:cs="Calibri"/>
                <w:color w:val="000000"/>
                <w:szCs w:val="22"/>
              </w:rPr>
            </w:pPr>
            <w:r w:rsidRPr="002F7364">
              <w:rPr>
                <w:rFonts w:cs="Calibri"/>
                <w:color w:val="000000"/>
                <w:szCs w:val="22"/>
              </w:rPr>
              <w:t>$20.82</w:t>
            </w:r>
          </w:p>
        </w:tc>
        <w:tc>
          <w:tcPr>
            <w:tcW w:w="1260" w:type="dxa"/>
            <w:tcBorders>
              <w:top w:val="nil"/>
              <w:left w:val="single" w:sz="4" w:space="0" w:color="auto"/>
              <w:bottom w:val="single" w:sz="4" w:space="0" w:color="auto"/>
              <w:right w:val="nil"/>
            </w:tcBorders>
            <w:shd w:val="clear" w:color="auto" w:fill="auto"/>
            <w:noWrap/>
            <w:vAlign w:val="bottom"/>
            <w:hideMark/>
          </w:tcPr>
          <w:p w14:paraId="1BCFF1C3" w14:textId="77777777" w:rsidR="003901B7" w:rsidRPr="002F7364" w:rsidRDefault="003901B7" w:rsidP="002F7364">
            <w:pPr>
              <w:jc w:val="center"/>
              <w:rPr>
                <w:rFonts w:cs="Calibri"/>
                <w:color w:val="000000"/>
                <w:szCs w:val="22"/>
              </w:rPr>
            </w:pPr>
            <w:r w:rsidRPr="002F7364">
              <w:rPr>
                <w:rFonts w:cs="Calibri"/>
                <w:color w:val="000000"/>
                <w:szCs w:val="22"/>
              </w:rPr>
              <w:t>971</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137A9292" w14:textId="3D79FFF9" w:rsidR="003901B7" w:rsidRPr="002F7364" w:rsidRDefault="003901B7" w:rsidP="002F7364">
            <w:pPr>
              <w:jc w:val="center"/>
              <w:rPr>
                <w:rFonts w:cs="Calibri"/>
                <w:color w:val="000000"/>
                <w:szCs w:val="22"/>
              </w:rPr>
            </w:pPr>
            <w:r w:rsidRPr="002F7364">
              <w:rPr>
                <w:rFonts w:cs="Calibri"/>
                <w:color w:val="000000"/>
                <w:szCs w:val="22"/>
              </w:rPr>
              <w:t>$7,384,618</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60559E83" w14:textId="0C5DD52B" w:rsidR="003901B7" w:rsidRPr="002F7364" w:rsidRDefault="003901B7" w:rsidP="002F7364">
            <w:pPr>
              <w:jc w:val="center"/>
              <w:rPr>
                <w:rFonts w:cs="Calibri"/>
                <w:color w:val="000000"/>
                <w:szCs w:val="22"/>
              </w:rPr>
            </w:pPr>
            <w:r w:rsidRPr="002F7364">
              <w:rPr>
                <w:rFonts w:cs="Calibri"/>
                <w:color w:val="000000"/>
                <w:szCs w:val="22"/>
              </w:rPr>
              <w:t>$</w:t>
            </w:r>
            <w:r w:rsidR="00C032E6">
              <w:rPr>
                <w:rFonts w:cs="Calibri"/>
                <w:color w:val="000000"/>
                <w:szCs w:val="22"/>
              </w:rPr>
              <w:t>42,</w:t>
            </w:r>
            <w:r w:rsidR="00980708">
              <w:rPr>
                <w:rFonts w:cs="Calibri"/>
                <w:color w:val="000000"/>
                <w:szCs w:val="22"/>
              </w:rPr>
              <w:t>057,12</w:t>
            </w:r>
            <w:r w:rsidRPr="002F7364">
              <w:rPr>
                <w:rFonts w:cs="Calibri"/>
                <w:color w:val="000000"/>
                <w:szCs w:val="22"/>
              </w:rPr>
              <w:t>8</w:t>
            </w:r>
          </w:p>
        </w:tc>
        <w:tc>
          <w:tcPr>
            <w:tcW w:w="1530" w:type="dxa"/>
            <w:tcBorders>
              <w:top w:val="nil"/>
              <w:left w:val="single" w:sz="4" w:space="0" w:color="auto"/>
              <w:bottom w:val="single" w:sz="4" w:space="0" w:color="auto"/>
              <w:right w:val="nil"/>
            </w:tcBorders>
            <w:shd w:val="clear" w:color="auto" w:fill="auto"/>
            <w:noWrap/>
            <w:vAlign w:val="bottom"/>
            <w:hideMark/>
          </w:tcPr>
          <w:p w14:paraId="4FAEFFA0" w14:textId="053B2A27" w:rsidR="003901B7" w:rsidRPr="002F7364" w:rsidRDefault="003901B7" w:rsidP="002F7364">
            <w:pPr>
              <w:jc w:val="center"/>
              <w:rPr>
                <w:rFonts w:cs="Calibri"/>
                <w:color w:val="000000"/>
                <w:szCs w:val="22"/>
              </w:rPr>
            </w:pPr>
            <w:r w:rsidRPr="002F7364">
              <w:rPr>
                <w:rFonts w:cs="Calibri"/>
                <w:color w:val="000000"/>
                <w:szCs w:val="22"/>
              </w:rPr>
              <w:t>6,</w:t>
            </w:r>
            <w:r w:rsidR="00980708">
              <w:rPr>
                <w:rFonts w:cs="Calibri"/>
                <w:color w:val="000000"/>
                <w:szCs w:val="22"/>
              </w:rPr>
              <w:t>833</w:t>
            </w:r>
          </w:p>
        </w:tc>
        <w:tc>
          <w:tcPr>
            <w:tcW w:w="2160" w:type="dxa"/>
            <w:tcBorders>
              <w:top w:val="nil"/>
              <w:left w:val="single" w:sz="4" w:space="0" w:color="auto"/>
              <w:bottom w:val="single" w:sz="4" w:space="0" w:color="auto"/>
              <w:right w:val="single" w:sz="8" w:space="0" w:color="auto"/>
            </w:tcBorders>
            <w:shd w:val="clear" w:color="000000" w:fill="C6E0B4"/>
            <w:noWrap/>
            <w:vAlign w:val="bottom"/>
            <w:hideMark/>
          </w:tcPr>
          <w:p w14:paraId="07917685" w14:textId="76E719E4" w:rsidR="003901B7" w:rsidRPr="002F7364" w:rsidRDefault="003901B7" w:rsidP="002F7364">
            <w:pPr>
              <w:jc w:val="center"/>
              <w:rPr>
                <w:rFonts w:cs="Calibri"/>
                <w:color w:val="000000"/>
                <w:szCs w:val="22"/>
              </w:rPr>
            </w:pPr>
            <w:r w:rsidRPr="002F7364">
              <w:rPr>
                <w:rFonts w:cs="Calibri"/>
                <w:color w:val="000000"/>
                <w:szCs w:val="22"/>
              </w:rPr>
              <w:t>7,</w:t>
            </w:r>
            <w:r w:rsidR="00980708">
              <w:rPr>
                <w:rFonts w:cs="Calibri"/>
                <w:color w:val="000000"/>
                <w:szCs w:val="22"/>
              </w:rPr>
              <w:t>804</w:t>
            </w:r>
          </w:p>
        </w:tc>
      </w:tr>
      <w:tr w:rsidR="003901B7" w:rsidRPr="007D5123" w14:paraId="02185036" w14:textId="77777777" w:rsidTr="006317C3">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2B81D477" w14:textId="77777777" w:rsidR="003901B7" w:rsidRPr="002F7364" w:rsidRDefault="003901B7" w:rsidP="002F7364">
            <w:pPr>
              <w:rPr>
                <w:rFonts w:cs="Calibri"/>
                <w:color w:val="000000"/>
                <w:szCs w:val="22"/>
              </w:rPr>
            </w:pPr>
            <w:r w:rsidRPr="002F7364">
              <w:rPr>
                <w:rFonts w:cs="Calibri"/>
                <w:color w:val="000000"/>
                <w:szCs w:val="22"/>
              </w:rPr>
              <w:t>Tarrant County</w:t>
            </w:r>
          </w:p>
        </w:tc>
        <w:tc>
          <w:tcPr>
            <w:tcW w:w="450" w:type="dxa"/>
            <w:tcBorders>
              <w:top w:val="nil"/>
              <w:left w:val="nil"/>
              <w:bottom w:val="single" w:sz="4" w:space="0" w:color="auto"/>
              <w:right w:val="single" w:sz="8" w:space="0" w:color="auto"/>
            </w:tcBorders>
            <w:shd w:val="clear" w:color="auto" w:fill="auto"/>
            <w:noWrap/>
            <w:vAlign w:val="center"/>
            <w:hideMark/>
          </w:tcPr>
          <w:p w14:paraId="2EC0A549" w14:textId="77777777" w:rsidR="003901B7" w:rsidRPr="002F7364" w:rsidRDefault="003901B7" w:rsidP="002F7364">
            <w:pPr>
              <w:jc w:val="center"/>
              <w:rPr>
                <w:rFonts w:cs="Calibri"/>
                <w:szCs w:val="22"/>
              </w:rPr>
            </w:pPr>
            <w:r w:rsidRPr="002F7364">
              <w:rPr>
                <w:rFonts w:cs="Calibri"/>
                <w:szCs w:val="22"/>
              </w:rPr>
              <w:t>5</w:t>
            </w:r>
          </w:p>
        </w:tc>
        <w:tc>
          <w:tcPr>
            <w:tcW w:w="1260" w:type="dxa"/>
            <w:tcBorders>
              <w:top w:val="nil"/>
              <w:left w:val="single" w:sz="4" w:space="0" w:color="auto"/>
              <w:bottom w:val="single" w:sz="4" w:space="0" w:color="auto"/>
              <w:right w:val="nil"/>
            </w:tcBorders>
            <w:shd w:val="clear" w:color="auto" w:fill="auto"/>
            <w:noWrap/>
            <w:vAlign w:val="bottom"/>
            <w:hideMark/>
          </w:tcPr>
          <w:p w14:paraId="2F91A302" w14:textId="06C780B5" w:rsidR="003901B7" w:rsidRPr="002F7364" w:rsidRDefault="003901B7" w:rsidP="002F7364">
            <w:pPr>
              <w:jc w:val="center"/>
              <w:rPr>
                <w:rFonts w:cs="Calibri"/>
                <w:color w:val="000000"/>
                <w:szCs w:val="22"/>
              </w:rPr>
            </w:pPr>
            <w:r w:rsidRPr="002F7364">
              <w:rPr>
                <w:rFonts w:cs="Calibri"/>
                <w:color w:val="000000"/>
                <w:szCs w:val="22"/>
              </w:rPr>
              <w:t>$2.13</w:t>
            </w:r>
          </w:p>
        </w:tc>
        <w:tc>
          <w:tcPr>
            <w:tcW w:w="1350" w:type="dxa"/>
            <w:tcBorders>
              <w:top w:val="nil"/>
              <w:left w:val="single" w:sz="4" w:space="0" w:color="auto"/>
              <w:bottom w:val="single" w:sz="4" w:space="0" w:color="auto"/>
              <w:right w:val="nil"/>
            </w:tcBorders>
            <w:shd w:val="clear" w:color="auto" w:fill="auto"/>
            <w:noWrap/>
            <w:vAlign w:val="bottom"/>
            <w:hideMark/>
          </w:tcPr>
          <w:p w14:paraId="01275421" w14:textId="2EA14811" w:rsidR="003901B7" w:rsidRPr="002F7364" w:rsidRDefault="003901B7" w:rsidP="002F7364">
            <w:pPr>
              <w:jc w:val="center"/>
              <w:rPr>
                <w:rFonts w:cs="Calibri"/>
                <w:color w:val="000000"/>
                <w:szCs w:val="22"/>
              </w:rPr>
            </w:pPr>
            <w:r w:rsidRPr="002F7364">
              <w:rPr>
                <w:rFonts w:cs="Calibri"/>
                <w:color w:val="000000"/>
                <w:szCs w:val="22"/>
              </w:rPr>
              <w:t>$29.13</w:t>
            </w:r>
          </w:p>
        </w:tc>
        <w:tc>
          <w:tcPr>
            <w:tcW w:w="1440" w:type="dxa"/>
            <w:tcBorders>
              <w:top w:val="nil"/>
              <w:left w:val="single" w:sz="4" w:space="0" w:color="auto"/>
              <w:bottom w:val="single" w:sz="4" w:space="0" w:color="auto"/>
              <w:right w:val="nil"/>
            </w:tcBorders>
            <w:shd w:val="clear" w:color="auto" w:fill="auto"/>
            <w:noWrap/>
            <w:vAlign w:val="bottom"/>
            <w:hideMark/>
          </w:tcPr>
          <w:p w14:paraId="67FEE958" w14:textId="6B6A6590" w:rsidR="003901B7" w:rsidRPr="002F7364" w:rsidRDefault="003901B7" w:rsidP="002F7364">
            <w:pPr>
              <w:jc w:val="center"/>
              <w:rPr>
                <w:rFonts w:cs="Calibri"/>
                <w:color w:val="000000"/>
                <w:szCs w:val="22"/>
              </w:rPr>
            </w:pPr>
            <w:r w:rsidRPr="002F7364">
              <w:rPr>
                <w:rFonts w:cs="Calibri"/>
                <w:color w:val="000000"/>
                <w:szCs w:val="22"/>
              </w:rPr>
              <w:t>$22.76</w:t>
            </w:r>
          </w:p>
        </w:tc>
        <w:tc>
          <w:tcPr>
            <w:tcW w:w="1260" w:type="dxa"/>
            <w:tcBorders>
              <w:top w:val="nil"/>
              <w:left w:val="single" w:sz="4" w:space="0" w:color="auto"/>
              <w:bottom w:val="single" w:sz="4" w:space="0" w:color="auto"/>
              <w:right w:val="nil"/>
            </w:tcBorders>
            <w:shd w:val="clear" w:color="auto" w:fill="auto"/>
            <w:noWrap/>
            <w:vAlign w:val="bottom"/>
            <w:hideMark/>
          </w:tcPr>
          <w:p w14:paraId="394AD4CC" w14:textId="77777777" w:rsidR="003901B7" w:rsidRPr="002F7364" w:rsidRDefault="003901B7" w:rsidP="002F7364">
            <w:pPr>
              <w:jc w:val="center"/>
              <w:rPr>
                <w:rFonts w:cs="Calibri"/>
                <w:color w:val="000000"/>
                <w:szCs w:val="22"/>
              </w:rPr>
            </w:pPr>
            <w:r w:rsidRPr="002F7364">
              <w:rPr>
                <w:rFonts w:cs="Calibri"/>
                <w:color w:val="000000"/>
                <w:szCs w:val="22"/>
              </w:rPr>
              <w:t>1,383</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06D26B4F" w14:textId="6BC741FE" w:rsidR="003901B7" w:rsidRPr="002F7364" w:rsidRDefault="003901B7" w:rsidP="002F7364">
            <w:pPr>
              <w:jc w:val="center"/>
              <w:rPr>
                <w:rFonts w:cs="Calibri"/>
                <w:color w:val="000000"/>
                <w:szCs w:val="22"/>
              </w:rPr>
            </w:pPr>
            <w:r w:rsidRPr="002F7364">
              <w:rPr>
                <w:rFonts w:cs="Calibri"/>
                <w:color w:val="000000"/>
                <w:szCs w:val="22"/>
              </w:rPr>
              <w:t>$11,326,255</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516B56F7" w14:textId="563B90B4" w:rsidR="003901B7" w:rsidRPr="002F7364" w:rsidRDefault="003901B7" w:rsidP="002F7364">
            <w:pPr>
              <w:jc w:val="center"/>
              <w:rPr>
                <w:rFonts w:cs="Calibri"/>
                <w:color w:val="000000"/>
                <w:szCs w:val="22"/>
              </w:rPr>
            </w:pPr>
            <w:r w:rsidRPr="002F7364">
              <w:rPr>
                <w:rFonts w:cs="Calibri"/>
                <w:color w:val="000000"/>
                <w:szCs w:val="22"/>
              </w:rPr>
              <w:t>$35,975,888</w:t>
            </w:r>
          </w:p>
        </w:tc>
        <w:tc>
          <w:tcPr>
            <w:tcW w:w="1530" w:type="dxa"/>
            <w:tcBorders>
              <w:top w:val="nil"/>
              <w:left w:val="single" w:sz="4" w:space="0" w:color="auto"/>
              <w:bottom w:val="single" w:sz="4" w:space="0" w:color="auto"/>
              <w:right w:val="nil"/>
            </w:tcBorders>
            <w:shd w:val="clear" w:color="auto" w:fill="auto"/>
            <w:noWrap/>
            <w:vAlign w:val="bottom"/>
            <w:hideMark/>
          </w:tcPr>
          <w:p w14:paraId="1DF43473" w14:textId="77777777" w:rsidR="003901B7" w:rsidRPr="002F7364" w:rsidRDefault="003901B7" w:rsidP="002F7364">
            <w:pPr>
              <w:jc w:val="center"/>
              <w:rPr>
                <w:rFonts w:cs="Calibri"/>
                <w:color w:val="000000"/>
                <w:szCs w:val="22"/>
              </w:rPr>
            </w:pPr>
            <w:r w:rsidRPr="002F7364">
              <w:rPr>
                <w:rFonts w:cs="Calibri"/>
                <w:color w:val="000000"/>
                <w:szCs w:val="22"/>
              </w:rPr>
              <w:t>5,517</w:t>
            </w:r>
          </w:p>
        </w:tc>
        <w:tc>
          <w:tcPr>
            <w:tcW w:w="2160" w:type="dxa"/>
            <w:tcBorders>
              <w:top w:val="nil"/>
              <w:left w:val="single" w:sz="4" w:space="0" w:color="auto"/>
              <w:bottom w:val="single" w:sz="4" w:space="0" w:color="auto"/>
              <w:right w:val="single" w:sz="8" w:space="0" w:color="auto"/>
            </w:tcBorders>
            <w:shd w:val="clear" w:color="000000" w:fill="C6E0B4"/>
            <w:noWrap/>
            <w:vAlign w:val="bottom"/>
            <w:hideMark/>
          </w:tcPr>
          <w:p w14:paraId="3C8CD6C6" w14:textId="77777777" w:rsidR="003901B7" w:rsidRPr="002F7364" w:rsidRDefault="003901B7" w:rsidP="002F7364">
            <w:pPr>
              <w:jc w:val="center"/>
              <w:rPr>
                <w:rFonts w:cs="Calibri"/>
                <w:color w:val="000000"/>
                <w:szCs w:val="22"/>
              </w:rPr>
            </w:pPr>
            <w:r w:rsidRPr="002F7364">
              <w:rPr>
                <w:rFonts w:cs="Calibri"/>
                <w:color w:val="000000"/>
                <w:szCs w:val="22"/>
              </w:rPr>
              <w:t>6,900</w:t>
            </w:r>
          </w:p>
        </w:tc>
      </w:tr>
      <w:tr w:rsidR="003901B7" w:rsidRPr="007D5123" w14:paraId="66A253A6" w14:textId="77777777" w:rsidTr="006317C3">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79C9D8C4" w14:textId="77777777" w:rsidR="003901B7" w:rsidRPr="002F7364" w:rsidRDefault="003901B7" w:rsidP="002F7364">
            <w:pPr>
              <w:rPr>
                <w:rFonts w:cs="Calibri"/>
                <w:color w:val="000000"/>
                <w:szCs w:val="22"/>
              </w:rPr>
            </w:pPr>
            <w:r w:rsidRPr="002F7364">
              <w:rPr>
                <w:rFonts w:cs="Calibri"/>
                <w:color w:val="000000"/>
                <w:szCs w:val="22"/>
              </w:rPr>
              <w:t>Dallas County</w:t>
            </w:r>
          </w:p>
        </w:tc>
        <w:tc>
          <w:tcPr>
            <w:tcW w:w="450" w:type="dxa"/>
            <w:tcBorders>
              <w:top w:val="nil"/>
              <w:left w:val="nil"/>
              <w:bottom w:val="single" w:sz="4" w:space="0" w:color="auto"/>
              <w:right w:val="single" w:sz="8" w:space="0" w:color="auto"/>
            </w:tcBorders>
            <w:shd w:val="clear" w:color="auto" w:fill="auto"/>
            <w:noWrap/>
            <w:vAlign w:val="center"/>
            <w:hideMark/>
          </w:tcPr>
          <w:p w14:paraId="4F8DDD67" w14:textId="77777777" w:rsidR="003901B7" w:rsidRPr="002F7364" w:rsidRDefault="003901B7" w:rsidP="002F7364">
            <w:pPr>
              <w:jc w:val="center"/>
              <w:rPr>
                <w:rFonts w:cs="Calibri"/>
                <w:szCs w:val="22"/>
              </w:rPr>
            </w:pPr>
            <w:r w:rsidRPr="002F7364">
              <w:rPr>
                <w:rFonts w:cs="Calibri"/>
                <w:szCs w:val="22"/>
              </w:rPr>
              <w:t>6</w:t>
            </w:r>
          </w:p>
        </w:tc>
        <w:tc>
          <w:tcPr>
            <w:tcW w:w="1260" w:type="dxa"/>
            <w:tcBorders>
              <w:top w:val="nil"/>
              <w:left w:val="single" w:sz="4" w:space="0" w:color="auto"/>
              <w:bottom w:val="single" w:sz="4" w:space="0" w:color="auto"/>
              <w:right w:val="nil"/>
            </w:tcBorders>
            <w:shd w:val="clear" w:color="auto" w:fill="auto"/>
            <w:noWrap/>
            <w:vAlign w:val="bottom"/>
            <w:hideMark/>
          </w:tcPr>
          <w:p w14:paraId="10738F1D" w14:textId="462B24BA" w:rsidR="003901B7" w:rsidRPr="002F7364" w:rsidRDefault="003901B7" w:rsidP="002F7364">
            <w:pPr>
              <w:jc w:val="center"/>
              <w:rPr>
                <w:rFonts w:cs="Calibri"/>
                <w:color w:val="000000"/>
                <w:szCs w:val="22"/>
              </w:rPr>
            </w:pPr>
            <w:r w:rsidRPr="002F7364">
              <w:rPr>
                <w:rFonts w:cs="Calibri"/>
                <w:color w:val="000000"/>
                <w:szCs w:val="22"/>
              </w:rPr>
              <w:t>$1.24</w:t>
            </w:r>
          </w:p>
        </w:tc>
        <w:tc>
          <w:tcPr>
            <w:tcW w:w="1350" w:type="dxa"/>
            <w:tcBorders>
              <w:top w:val="nil"/>
              <w:left w:val="single" w:sz="4" w:space="0" w:color="auto"/>
              <w:bottom w:val="single" w:sz="4" w:space="0" w:color="auto"/>
              <w:right w:val="nil"/>
            </w:tcBorders>
            <w:shd w:val="clear" w:color="auto" w:fill="auto"/>
            <w:noWrap/>
            <w:vAlign w:val="bottom"/>
            <w:hideMark/>
          </w:tcPr>
          <w:p w14:paraId="3C460515" w14:textId="002CDD86" w:rsidR="003901B7" w:rsidRPr="002F7364" w:rsidRDefault="003901B7" w:rsidP="002F7364">
            <w:pPr>
              <w:jc w:val="center"/>
              <w:rPr>
                <w:rFonts w:cs="Calibri"/>
                <w:color w:val="000000"/>
                <w:szCs w:val="22"/>
              </w:rPr>
            </w:pPr>
            <w:r w:rsidRPr="002F7364">
              <w:rPr>
                <w:rFonts w:cs="Calibri"/>
                <w:color w:val="000000"/>
                <w:szCs w:val="22"/>
              </w:rPr>
              <w:t>$25.60</w:t>
            </w:r>
          </w:p>
        </w:tc>
        <w:tc>
          <w:tcPr>
            <w:tcW w:w="1440" w:type="dxa"/>
            <w:tcBorders>
              <w:top w:val="nil"/>
              <w:left w:val="single" w:sz="4" w:space="0" w:color="auto"/>
              <w:bottom w:val="single" w:sz="4" w:space="0" w:color="auto"/>
              <w:right w:val="nil"/>
            </w:tcBorders>
            <w:shd w:val="clear" w:color="auto" w:fill="auto"/>
            <w:noWrap/>
            <w:vAlign w:val="bottom"/>
            <w:hideMark/>
          </w:tcPr>
          <w:p w14:paraId="1163EF16" w14:textId="543B0B03" w:rsidR="003901B7" w:rsidRPr="002F7364" w:rsidRDefault="003901B7" w:rsidP="002F7364">
            <w:pPr>
              <w:jc w:val="center"/>
              <w:rPr>
                <w:rFonts w:cs="Calibri"/>
                <w:color w:val="000000"/>
                <w:szCs w:val="22"/>
              </w:rPr>
            </w:pPr>
            <w:r w:rsidRPr="002F7364">
              <w:rPr>
                <w:rFonts w:cs="Calibri"/>
                <w:color w:val="000000"/>
                <w:szCs w:val="22"/>
              </w:rPr>
              <w:t>$19.86</w:t>
            </w:r>
          </w:p>
        </w:tc>
        <w:tc>
          <w:tcPr>
            <w:tcW w:w="1260" w:type="dxa"/>
            <w:tcBorders>
              <w:top w:val="nil"/>
              <w:left w:val="single" w:sz="4" w:space="0" w:color="auto"/>
              <w:bottom w:val="single" w:sz="4" w:space="0" w:color="auto"/>
              <w:right w:val="nil"/>
            </w:tcBorders>
            <w:shd w:val="clear" w:color="auto" w:fill="auto"/>
            <w:noWrap/>
            <w:vAlign w:val="bottom"/>
            <w:hideMark/>
          </w:tcPr>
          <w:p w14:paraId="41D7DA09" w14:textId="77777777" w:rsidR="003901B7" w:rsidRPr="002F7364" w:rsidRDefault="003901B7" w:rsidP="002F7364">
            <w:pPr>
              <w:jc w:val="center"/>
              <w:rPr>
                <w:rFonts w:cs="Calibri"/>
                <w:color w:val="000000"/>
                <w:szCs w:val="22"/>
              </w:rPr>
            </w:pPr>
            <w:r w:rsidRPr="002F7364">
              <w:rPr>
                <w:rFonts w:cs="Calibri"/>
                <w:color w:val="000000"/>
                <w:szCs w:val="22"/>
              </w:rPr>
              <w:t>2,609</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10D46A35" w14:textId="782247CE" w:rsidR="003901B7" w:rsidRPr="002F7364" w:rsidRDefault="003901B7" w:rsidP="002F7364">
            <w:pPr>
              <w:jc w:val="center"/>
              <w:rPr>
                <w:rFonts w:cs="Calibri"/>
                <w:color w:val="000000"/>
                <w:szCs w:val="22"/>
              </w:rPr>
            </w:pPr>
            <w:r w:rsidRPr="002F7364">
              <w:rPr>
                <w:rFonts w:cs="Calibri"/>
                <w:color w:val="000000"/>
                <w:szCs w:val="22"/>
              </w:rPr>
              <w:t>$18,346,678</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3FFB2C0D" w14:textId="5629B0A2" w:rsidR="003901B7" w:rsidRPr="002F7364" w:rsidRDefault="003901B7" w:rsidP="002F7364">
            <w:pPr>
              <w:jc w:val="center"/>
              <w:rPr>
                <w:rFonts w:cs="Calibri"/>
                <w:color w:val="000000"/>
                <w:szCs w:val="22"/>
              </w:rPr>
            </w:pPr>
            <w:r w:rsidRPr="002F7364">
              <w:rPr>
                <w:rFonts w:cs="Calibri"/>
                <w:color w:val="000000"/>
                <w:szCs w:val="22"/>
              </w:rPr>
              <w:t>$</w:t>
            </w:r>
            <w:r w:rsidR="00FB2CAA">
              <w:rPr>
                <w:rFonts w:cs="Calibri"/>
                <w:color w:val="000000"/>
                <w:szCs w:val="22"/>
              </w:rPr>
              <w:t>69</w:t>
            </w:r>
            <w:r w:rsidRPr="002F7364">
              <w:rPr>
                <w:rFonts w:cs="Calibri"/>
                <w:color w:val="000000"/>
                <w:szCs w:val="22"/>
              </w:rPr>
              <w:t>,</w:t>
            </w:r>
            <w:r w:rsidR="00FB2CAA">
              <w:rPr>
                <w:rFonts w:cs="Calibri"/>
                <w:color w:val="000000"/>
                <w:szCs w:val="22"/>
              </w:rPr>
              <w:t>656</w:t>
            </w:r>
            <w:r w:rsidRPr="002F7364">
              <w:rPr>
                <w:rFonts w:cs="Calibri"/>
                <w:color w:val="000000"/>
                <w:szCs w:val="22"/>
              </w:rPr>
              <w:t>,195</w:t>
            </w:r>
          </w:p>
        </w:tc>
        <w:tc>
          <w:tcPr>
            <w:tcW w:w="1530" w:type="dxa"/>
            <w:tcBorders>
              <w:top w:val="nil"/>
              <w:left w:val="single" w:sz="4" w:space="0" w:color="auto"/>
              <w:bottom w:val="single" w:sz="4" w:space="0" w:color="auto"/>
              <w:right w:val="nil"/>
            </w:tcBorders>
            <w:shd w:val="clear" w:color="auto" w:fill="auto"/>
            <w:noWrap/>
            <w:vAlign w:val="bottom"/>
            <w:hideMark/>
          </w:tcPr>
          <w:p w14:paraId="21D5BC6D" w14:textId="69E39C39" w:rsidR="003901B7" w:rsidRPr="002F7364" w:rsidRDefault="003901B7" w:rsidP="002F7364">
            <w:pPr>
              <w:jc w:val="center"/>
              <w:rPr>
                <w:rFonts w:cs="Calibri"/>
                <w:color w:val="000000"/>
                <w:szCs w:val="22"/>
              </w:rPr>
            </w:pPr>
            <w:r w:rsidRPr="002F7364">
              <w:rPr>
                <w:rFonts w:cs="Calibri"/>
                <w:color w:val="000000"/>
                <w:szCs w:val="22"/>
              </w:rPr>
              <w:t>1</w:t>
            </w:r>
            <w:r w:rsidR="00FB2CAA">
              <w:rPr>
                <w:rFonts w:cs="Calibri"/>
                <w:color w:val="000000"/>
                <w:szCs w:val="22"/>
              </w:rPr>
              <w:t>2</w:t>
            </w:r>
            <w:r w:rsidRPr="002F7364">
              <w:rPr>
                <w:rFonts w:cs="Calibri"/>
                <w:color w:val="000000"/>
                <w:szCs w:val="22"/>
              </w:rPr>
              <w:t>,</w:t>
            </w:r>
            <w:r w:rsidR="00FB2CAA">
              <w:rPr>
                <w:rFonts w:cs="Calibri"/>
                <w:color w:val="000000"/>
                <w:szCs w:val="22"/>
              </w:rPr>
              <w:t>600</w:t>
            </w:r>
          </w:p>
        </w:tc>
        <w:tc>
          <w:tcPr>
            <w:tcW w:w="2160" w:type="dxa"/>
            <w:tcBorders>
              <w:top w:val="nil"/>
              <w:left w:val="single" w:sz="4" w:space="0" w:color="auto"/>
              <w:bottom w:val="single" w:sz="4" w:space="0" w:color="auto"/>
              <w:right w:val="single" w:sz="8" w:space="0" w:color="auto"/>
            </w:tcBorders>
            <w:shd w:val="clear" w:color="000000" w:fill="C6E0B4"/>
            <w:noWrap/>
            <w:vAlign w:val="bottom"/>
            <w:hideMark/>
          </w:tcPr>
          <w:p w14:paraId="1FAA62F0" w14:textId="0B03B2BF" w:rsidR="003901B7" w:rsidRPr="002F7364" w:rsidRDefault="00980708" w:rsidP="002F7364">
            <w:pPr>
              <w:jc w:val="center"/>
              <w:rPr>
                <w:rFonts w:cs="Calibri"/>
                <w:color w:val="000000"/>
                <w:szCs w:val="22"/>
              </w:rPr>
            </w:pPr>
            <w:r>
              <w:rPr>
                <w:rFonts w:cs="Calibri"/>
                <w:color w:val="000000"/>
                <w:szCs w:val="22"/>
              </w:rPr>
              <w:t>15</w:t>
            </w:r>
            <w:r w:rsidR="003901B7" w:rsidRPr="002F7364">
              <w:rPr>
                <w:rFonts w:cs="Calibri"/>
                <w:color w:val="000000"/>
                <w:szCs w:val="22"/>
              </w:rPr>
              <w:t>,</w:t>
            </w:r>
            <w:r>
              <w:rPr>
                <w:rFonts w:cs="Calibri"/>
                <w:color w:val="000000"/>
                <w:szCs w:val="22"/>
              </w:rPr>
              <w:t>209</w:t>
            </w:r>
          </w:p>
        </w:tc>
      </w:tr>
      <w:tr w:rsidR="003901B7" w:rsidRPr="007D5123" w14:paraId="7C86E252" w14:textId="77777777" w:rsidTr="006317C3">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7C6FE590" w14:textId="77777777" w:rsidR="003901B7" w:rsidRPr="002F7364" w:rsidRDefault="003901B7" w:rsidP="002F7364">
            <w:pPr>
              <w:rPr>
                <w:rFonts w:cs="Calibri"/>
                <w:color w:val="000000"/>
                <w:szCs w:val="22"/>
              </w:rPr>
            </w:pPr>
            <w:r w:rsidRPr="002F7364">
              <w:rPr>
                <w:rFonts w:cs="Calibri"/>
                <w:color w:val="000000"/>
                <w:szCs w:val="22"/>
              </w:rPr>
              <w:t>North East</w:t>
            </w:r>
          </w:p>
        </w:tc>
        <w:tc>
          <w:tcPr>
            <w:tcW w:w="450" w:type="dxa"/>
            <w:tcBorders>
              <w:top w:val="nil"/>
              <w:left w:val="nil"/>
              <w:bottom w:val="single" w:sz="4" w:space="0" w:color="auto"/>
              <w:right w:val="single" w:sz="8" w:space="0" w:color="auto"/>
            </w:tcBorders>
            <w:shd w:val="clear" w:color="auto" w:fill="auto"/>
            <w:noWrap/>
            <w:vAlign w:val="center"/>
            <w:hideMark/>
          </w:tcPr>
          <w:p w14:paraId="6BC6B27B" w14:textId="77777777" w:rsidR="003901B7" w:rsidRPr="002F7364" w:rsidRDefault="003901B7" w:rsidP="002F7364">
            <w:pPr>
              <w:jc w:val="center"/>
              <w:rPr>
                <w:rFonts w:cs="Calibri"/>
                <w:szCs w:val="22"/>
              </w:rPr>
            </w:pPr>
            <w:r w:rsidRPr="002F7364">
              <w:rPr>
                <w:rFonts w:cs="Calibri"/>
                <w:szCs w:val="22"/>
              </w:rPr>
              <w:t>7</w:t>
            </w:r>
          </w:p>
        </w:tc>
        <w:tc>
          <w:tcPr>
            <w:tcW w:w="1260" w:type="dxa"/>
            <w:tcBorders>
              <w:top w:val="nil"/>
              <w:left w:val="single" w:sz="4" w:space="0" w:color="auto"/>
              <w:bottom w:val="single" w:sz="4" w:space="0" w:color="auto"/>
              <w:right w:val="nil"/>
            </w:tcBorders>
            <w:shd w:val="clear" w:color="auto" w:fill="auto"/>
            <w:noWrap/>
            <w:vAlign w:val="bottom"/>
            <w:hideMark/>
          </w:tcPr>
          <w:p w14:paraId="40BA0B8D" w14:textId="186A0800" w:rsidR="003901B7" w:rsidRPr="002F7364" w:rsidRDefault="003901B7" w:rsidP="002F7364">
            <w:pPr>
              <w:jc w:val="center"/>
              <w:rPr>
                <w:rFonts w:cs="Calibri"/>
                <w:color w:val="000000"/>
                <w:szCs w:val="22"/>
              </w:rPr>
            </w:pPr>
            <w:r w:rsidRPr="002F7364">
              <w:rPr>
                <w:rFonts w:cs="Calibri"/>
                <w:color w:val="000000"/>
                <w:szCs w:val="22"/>
              </w:rPr>
              <w:t>$1.81</w:t>
            </w:r>
          </w:p>
        </w:tc>
        <w:tc>
          <w:tcPr>
            <w:tcW w:w="1350" w:type="dxa"/>
            <w:tcBorders>
              <w:top w:val="nil"/>
              <w:left w:val="single" w:sz="4" w:space="0" w:color="auto"/>
              <w:bottom w:val="single" w:sz="4" w:space="0" w:color="auto"/>
              <w:right w:val="nil"/>
            </w:tcBorders>
            <w:shd w:val="clear" w:color="auto" w:fill="auto"/>
            <w:noWrap/>
            <w:vAlign w:val="bottom"/>
            <w:hideMark/>
          </w:tcPr>
          <w:p w14:paraId="3C59E53B" w14:textId="36C1B6FA" w:rsidR="003901B7" w:rsidRPr="002F7364" w:rsidRDefault="003901B7" w:rsidP="002F7364">
            <w:pPr>
              <w:jc w:val="center"/>
              <w:rPr>
                <w:rFonts w:cs="Calibri"/>
                <w:color w:val="000000"/>
                <w:szCs w:val="22"/>
              </w:rPr>
            </w:pPr>
            <w:r w:rsidRPr="002F7364">
              <w:rPr>
                <w:rFonts w:cs="Calibri"/>
                <w:color w:val="000000"/>
                <w:szCs w:val="22"/>
              </w:rPr>
              <w:t>$19.71</w:t>
            </w:r>
          </w:p>
        </w:tc>
        <w:tc>
          <w:tcPr>
            <w:tcW w:w="1440" w:type="dxa"/>
            <w:tcBorders>
              <w:top w:val="nil"/>
              <w:left w:val="single" w:sz="4" w:space="0" w:color="auto"/>
              <w:bottom w:val="single" w:sz="4" w:space="0" w:color="auto"/>
              <w:right w:val="nil"/>
            </w:tcBorders>
            <w:shd w:val="clear" w:color="auto" w:fill="auto"/>
            <w:noWrap/>
            <w:vAlign w:val="bottom"/>
            <w:hideMark/>
          </w:tcPr>
          <w:p w14:paraId="159C858C" w14:textId="40955988" w:rsidR="003901B7" w:rsidRPr="002F7364" w:rsidRDefault="003901B7" w:rsidP="002F7364">
            <w:pPr>
              <w:jc w:val="center"/>
              <w:rPr>
                <w:rFonts w:cs="Calibri"/>
                <w:color w:val="000000"/>
                <w:szCs w:val="22"/>
              </w:rPr>
            </w:pPr>
            <w:r w:rsidRPr="002F7364">
              <w:rPr>
                <w:rFonts w:cs="Calibri"/>
                <w:color w:val="000000"/>
                <w:szCs w:val="22"/>
              </w:rPr>
              <w:t>$15.84</w:t>
            </w:r>
          </w:p>
        </w:tc>
        <w:tc>
          <w:tcPr>
            <w:tcW w:w="1260" w:type="dxa"/>
            <w:tcBorders>
              <w:top w:val="nil"/>
              <w:left w:val="single" w:sz="4" w:space="0" w:color="auto"/>
              <w:bottom w:val="single" w:sz="4" w:space="0" w:color="auto"/>
              <w:right w:val="nil"/>
            </w:tcBorders>
            <w:shd w:val="clear" w:color="auto" w:fill="auto"/>
            <w:noWrap/>
            <w:vAlign w:val="bottom"/>
            <w:hideMark/>
          </w:tcPr>
          <w:p w14:paraId="30BC052E" w14:textId="77777777" w:rsidR="003901B7" w:rsidRPr="002F7364" w:rsidRDefault="003901B7" w:rsidP="002F7364">
            <w:pPr>
              <w:jc w:val="center"/>
              <w:rPr>
                <w:rFonts w:cs="Calibri"/>
                <w:color w:val="000000"/>
                <w:szCs w:val="22"/>
              </w:rPr>
            </w:pPr>
            <w:r w:rsidRPr="002F7364">
              <w:rPr>
                <w:rFonts w:cs="Calibri"/>
                <w:color w:val="000000"/>
                <w:szCs w:val="22"/>
              </w:rPr>
              <w:t>125</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381F8DD4" w14:textId="3C987F89" w:rsidR="003901B7" w:rsidRPr="002F7364" w:rsidRDefault="003901B7" w:rsidP="002F7364">
            <w:pPr>
              <w:jc w:val="center"/>
              <w:rPr>
                <w:rFonts w:cs="Calibri"/>
                <w:color w:val="000000"/>
                <w:szCs w:val="22"/>
              </w:rPr>
            </w:pPr>
            <w:r w:rsidRPr="002F7364">
              <w:rPr>
                <w:rFonts w:cs="Calibri"/>
                <w:color w:val="000000"/>
                <w:szCs w:val="22"/>
              </w:rPr>
              <w:t>$704,852</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2D90C8DF" w14:textId="41618F66" w:rsidR="003901B7" w:rsidRPr="002F7364" w:rsidRDefault="003901B7" w:rsidP="002F7364">
            <w:pPr>
              <w:jc w:val="center"/>
              <w:rPr>
                <w:rFonts w:cs="Calibri"/>
                <w:color w:val="000000"/>
                <w:szCs w:val="22"/>
              </w:rPr>
            </w:pPr>
            <w:r w:rsidRPr="002F7364">
              <w:rPr>
                <w:rFonts w:cs="Calibri"/>
                <w:color w:val="000000"/>
                <w:szCs w:val="22"/>
              </w:rPr>
              <w:t>$6,466,712</w:t>
            </w:r>
          </w:p>
        </w:tc>
        <w:tc>
          <w:tcPr>
            <w:tcW w:w="1530" w:type="dxa"/>
            <w:tcBorders>
              <w:top w:val="nil"/>
              <w:left w:val="single" w:sz="4" w:space="0" w:color="auto"/>
              <w:bottom w:val="single" w:sz="4" w:space="0" w:color="auto"/>
              <w:right w:val="nil"/>
            </w:tcBorders>
            <w:shd w:val="clear" w:color="auto" w:fill="auto"/>
            <w:noWrap/>
            <w:vAlign w:val="bottom"/>
            <w:hideMark/>
          </w:tcPr>
          <w:p w14:paraId="2676D819" w14:textId="77777777" w:rsidR="003901B7" w:rsidRPr="002F7364" w:rsidRDefault="003901B7" w:rsidP="002F7364">
            <w:pPr>
              <w:jc w:val="center"/>
              <w:rPr>
                <w:rFonts w:cs="Calibri"/>
                <w:color w:val="000000"/>
                <w:szCs w:val="22"/>
              </w:rPr>
            </w:pPr>
            <w:r w:rsidRPr="002F7364">
              <w:rPr>
                <w:rFonts w:cs="Calibri"/>
                <w:color w:val="000000"/>
                <w:szCs w:val="22"/>
              </w:rPr>
              <w:t>1,399</w:t>
            </w:r>
          </w:p>
        </w:tc>
        <w:tc>
          <w:tcPr>
            <w:tcW w:w="2160" w:type="dxa"/>
            <w:tcBorders>
              <w:top w:val="nil"/>
              <w:left w:val="single" w:sz="4" w:space="0" w:color="auto"/>
              <w:bottom w:val="single" w:sz="4" w:space="0" w:color="auto"/>
              <w:right w:val="single" w:sz="8" w:space="0" w:color="auto"/>
            </w:tcBorders>
            <w:shd w:val="clear" w:color="000000" w:fill="C6E0B4"/>
            <w:noWrap/>
            <w:vAlign w:val="bottom"/>
            <w:hideMark/>
          </w:tcPr>
          <w:p w14:paraId="384CFCB1" w14:textId="77777777" w:rsidR="003901B7" w:rsidRPr="002F7364" w:rsidRDefault="003901B7" w:rsidP="002F7364">
            <w:pPr>
              <w:jc w:val="center"/>
              <w:rPr>
                <w:rFonts w:cs="Calibri"/>
                <w:color w:val="000000"/>
                <w:szCs w:val="22"/>
              </w:rPr>
            </w:pPr>
            <w:r w:rsidRPr="002F7364">
              <w:rPr>
                <w:rFonts w:cs="Calibri"/>
                <w:color w:val="000000"/>
                <w:szCs w:val="22"/>
              </w:rPr>
              <w:t>1,524</w:t>
            </w:r>
          </w:p>
        </w:tc>
      </w:tr>
      <w:tr w:rsidR="003901B7" w:rsidRPr="002F7364" w14:paraId="53B2C172" w14:textId="77777777" w:rsidTr="006317C3">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5DA563B1" w14:textId="77777777" w:rsidR="003901B7" w:rsidRPr="002F7364" w:rsidRDefault="003901B7" w:rsidP="002F7364">
            <w:pPr>
              <w:rPr>
                <w:rFonts w:cs="Calibri"/>
                <w:color w:val="000000"/>
                <w:szCs w:val="22"/>
              </w:rPr>
            </w:pPr>
            <w:r w:rsidRPr="002F7364">
              <w:rPr>
                <w:rFonts w:cs="Calibri"/>
                <w:color w:val="000000"/>
                <w:szCs w:val="22"/>
              </w:rPr>
              <w:t>East Texas</w:t>
            </w:r>
          </w:p>
        </w:tc>
        <w:tc>
          <w:tcPr>
            <w:tcW w:w="450" w:type="dxa"/>
            <w:tcBorders>
              <w:top w:val="nil"/>
              <w:left w:val="nil"/>
              <w:bottom w:val="single" w:sz="4" w:space="0" w:color="auto"/>
              <w:right w:val="single" w:sz="8" w:space="0" w:color="auto"/>
            </w:tcBorders>
            <w:shd w:val="clear" w:color="auto" w:fill="auto"/>
            <w:noWrap/>
            <w:vAlign w:val="center"/>
            <w:hideMark/>
          </w:tcPr>
          <w:p w14:paraId="2CEE598A" w14:textId="77777777" w:rsidR="003901B7" w:rsidRPr="002F7364" w:rsidRDefault="003901B7" w:rsidP="002F7364">
            <w:pPr>
              <w:jc w:val="center"/>
              <w:rPr>
                <w:rFonts w:cs="Calibri"/>
                <w:szCs w:val="22"/>
              </w:rPr>
            </w:pPr>
            <w:r w:rsidRPr="002F7364">
              <w:rPr>
                <w:rFonts w:cs="Calibri"/>
                <w:szCs w:val="22"/>
              </w:rPr>
              <w:t>8</w:t>
            </w:r>
          </w:p>
        </w:tc>
        <w:tc>
          <w:tcPr>
            <w:tcW w:w="1260" w:type="dxa"/>
            <w:tcBorders>
              <w:top w:val="nil"/>
              <w:left w:val="single" w:sz="4" w:space="0" w:color="auto"/>
              <w:bottom w:val="single" w:sz="4" w:space="0" w:color="auto"/>
              <w:right w:val="nil"/>
            </w:tcBorders>
            <w:shd w:val="clear" w:color="auto" w:fill="auto"/>
            <w:noWrap/>
            <w:vAlign w:val="bottom"/>
            <w:hideMark/>
          </w:tcPr>
          <w:p w14:paraId="4EEDCD9C" w14:textId="56C713B8" w:rsidR="003901B7" w:rsidRPr="002F7364" w:rsidRDefault="003901B7" w:rsidP="002F7364">
            <w:pPr>
              <w:jc w:val="center"/>
              <w:rPr>
                <w:rFonts w:cs="Calibri"/>
                <w:color w:val="000000"/>
                <w:szCs w:val="22"/>
              </w:rPr>
            </w:pPr>
            <w:r w:rsidRPr="002F7364">
              <w:rPr>
                <w:rFonts w:cs="Calibri"/>
                <w:color w:val="000000"/>
                <w:szCs w:val="22"/>
              </w:rPr>
              <w:t>$2.10</w:t>
            </w:r>
          </w:p>
        </w:tc>
        <w:tc>
          <w:tcPr>
            <w:tcW w:w="1350" w:type="dxa"/>
            <w:tcBorders>
              <w:top w:val="nil"/>
              <w:left w:val="single" w:sz="4" w:space="0" w:color="auto"/>
              <w:bottom w:val="single" w:sz="4" w:space="0" w:color="auto"/>
              <w:right w:val="nil"/>
            </w:tcBorders>
            <w:shd w:val="clear" w:color="auto" w:fill="auto"/>
            <w:noWrap/>
            <w:vAlign w:val="bottom"/>
            <w:hideMark/>
          </w:tcPr>
          <w:p w14:paraId="13F5C8A5" w14:textId="2E4C679D" w:rsidR="003901B7" w:rsidRPr="002F7364" w:rsidRDefault="003901B7" w:rsidP="002F7364">
            <w:pPr>
              <w:jc w:val="center"/>
              <w:rPr>
                <w:rFonts w:cs="Calibri"/>
                <w:color w:val="000000"/>
                <w:szCs w:val="22"/>
              </w:rPr>
            </w:pPr>
            <w:r w:rsidRPr="002F7364">
              <w:rPr>
                <w:rFonts w:cs="Calibri"/>
                <w:color w:val="000000"/>
                <w:szCs w:val="22"/>
              </w:rPr>
              <w:t>$20.60</w:t>
            </w:r>
          </w:p>
        </w:tc>
        <w:tc>
          <w:tcPr>
            <w:tcW w:w="1440" w:type="dxa"/>
            <w:tcBorders>
              <w:top w:val="nil"/>
              <w:left w:val="single" w:sz="4" w:space="0" w:color="auto"/>
              <w:bottom w:val="single" w:sz="4" w:space="0" w:color="auto"/>
              <w:right w:val="nil"/>
            </w:tcBorders>
            <w:shd w:val="clear" w:color="auto" w:fill="auto"/>
            <w:noWrap/>
            <w:vAlign w:val="bottom"/>
            <w:hideMark/>
          </w:tcPr>
          <w:p w14:paraId="69416E56" w14:textId="442FCFD8" w:rsidR="003901B7" w:rsidRPr="002F7364" w:rsidRDefault="003901B7" w:rsidP="002F7364">
            <w:pPr>
              <w:jc w:val="center"/>
              <w:rPr>
                <w:rFonts w:cs="Calibri"/>
                <w:color w:val="000000"/>
                <w:szCs w:val="22"/>
              </w:rPr>
            </w:pPr>
            <w:r w:rsidRPr="002F7364">
              <w:rPr>
                <w:rFonts w:cs="Calibri"/>
                <w:color w:val="000000"/>
                <w:szCs w:val="22"/>
              </w:rPr>
              <w:t>$16.27</w:t>
            </w:r>
          </w:p>
        </w:tc>
        <w:tc>
          <w:tcPr>
            <w:tcW w:w="1260" w:type="dxa"/>
            <w:tcBorders>
              <w:top w:val="nil"/>
              <w:left w:val="single" w:sz="4" w:space="0" w:color="auto"/>
              <w:bottom w:val="single" w:sz="4" w:space="0" w:color="auto"/>
              <w:right w:val="nil"/>
            </w:tcBorders>
            <w:shd w:val="clear" w:color="auto" w:fill="auto"/>
            <w:noWrap/>
            <w:vAlign w:val="bottom"/>
            <w:hideMark/>
          </w:tcPr>
          <w:p w14:paraId="0E32CFB5" w14:textId="77777777" w:rsidR="003901B7" w:rsidRPr="002F7364" w:rsidRDefault="003901B7" w:rsidP="002F7364">
            <w:pPr>
              <w:jc w:val="center"/>
              <w:rPr>
                <w:rFonts w:cs="Calibri"/>
                <w:color w:val="000000"/>
                <w:szCs w:val="22"/>
              </w:rPr>
            </w:pPr>
            <w:r w:rsidRPr="002F7364">
              <w:rPr>
                <w:rFonts w:cs="Calibri"/>
                <w:color w:val="000000"/>
                <w:szCs w:val="22"/>
              </w:rPr>
              <w:t>417</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4E570CE6" w14:textId="79457B30" w:rsidR="003901B7" w:rsidRPr="002F7364" w:rsidRDefault="003901B7" w:rsidP="002F7364">
            <w:pPr>
              <w:jc w:val="center"/>
              <w:rPr>
                <w:rFonts w:cs="Calibri"/>
                <w:color w:val="000000"/>
                <w:szCs w:val="22"/>
              </w:rPr>
            </w:pPr>
            <w:r w:rsidRPr="002F7364">
              <w:rPr>
                <w:rFonts w:cs="Calibri"/>
                <w:color w:val="000000"/>
                <w:szCs w:val="22"/>
              </w:rPr>
              <w:t>$2,479,270</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7C96AB98" w14:textId="7993EBF3" w:rsidR="003901B7" w:rsidRPr="002F7364" w:rsidRDefault="003901B7" w:rsidP="002F7364">
            <w:pPr>
              <w:jc w:val="center"/>
              <w:rPr>
                <w:rFonts w:cs="Calibri"/>
                <w:color w:val="000000"/>
                <w:szCs w:val="22"/>
              </w:rPr>
            </w:pPr>
            <w:r w:rsidRPr="002F7364">
              <w:rPr>
                <w:rFonts w:cs="Calibri"/>
                <w:color w:val="000000"/>
                <w:szCs w:val="22"/>
              </w:rPr>
              <w:t>$17,593,660</w:t>
            </w:r>
          </w:p>
        </w:tc>
        <w:tc>
          <w:tcPr>
            <w:tcW w:w="1530" w:type="dxa"/>
            <w:tcBorders>
              <w:top w:val="nil"/>
              <w:left w:val="single" w:sz="4" w:space="0" w:color="auto"/>
              <w:bottom w:val="single" w:sz="4" w:space="0" w:color="auto"/>
              <w:right w:val="nil"/>
            </w:tcBorders>
            <w:shd w:val="clear" w:color="auto" w:fill="auto"/>
            <w:noWrap/>
            <w:vAlign w:val="bottom"/>
            <w:hideMark/>
          </w:tcPr>
          <w:p w14:paraId="3B41D078" w14:textId="77777777" w:rsidR="003901B7" w:rsidRPr="002F7364" w:rsidRDefault="003901B7" w:rsidP="002F7364">
            <w:pPr>
              <w:jc w:val="center"/>
              <w:rPr>
                <w:rFonts w:cs="Calibri"/>
                <w:color w:val="000000"/>
                <w:szCs w:val="22"/>
              </w:rPr>
            </w:pPr>
            <w:r w:rsidRPr="002F7364">
              <w:rPr>
                <w:rFonts w:cs="Calibri"/>
                <w:color w:val="000000"/>
                <w:szCs w:val="22"/>
              </w:rPr>
              <w:t>3,656</w:t>
            </w:r>
          </w:p>
        </w:tc>
        <w:tc>
          <w:tcPr>
            <w:tcW w:w="2160" w:type="dxa"/>
            <w:tcBorders>
              <w:top w:val="nil"/>
              <w:left w:val="single" w:sz="4" w:space="0" w:color="auto"/>
              <w:bottom w:val="single" w:sz="4" w:space="0" w:color="auto"/>
              <w:right w:val="single" w:sz="8" w:space="0" w:color="auto"/>
            </w:tcBorders>
            <w:shd w:val="clear" w:color="000000" w:fill="C6E0B4"/>
            <w:noWrap/>
            <w:vAlign w:val="bottom"/>
            <w:hideMark/>
          </w:tcPr>
          <w:p w14:paraId="66E754F2" w14:textId="77777777" w:rsidR="003901B7" w:rsidRPr="002F7364" w:rsidRDefault="003901B7" w:rsidP="002F7364">
            <w:pPr>
              <w:jc w:val="center"/>
              <w:rPr>
                <w:rFonts w:cs="Calibri"/>
                <w:color w:val="000000"/>
                <w:szCs w:val="22"/>
              </w:rPr>
            </w:pPr>
            <w:r w:rsidRPr="002F7364">
              <w:rPr>
                <w:rFonts w:cs="Calibri"/>
                <w:color w:val="000000"/>
                <w:szCs w:val="22"/>
              </w:rPr>
              <w:t>4,073</w:t>
            </w:r>
          </w:p>
        </w:tc>
      </w:tr>
      <w:tr w:rsidR="003901B7" w:rsidRPr="002F7364" w14:paraId="7AA69853" w14:textId="77777777" w:rsidTr="006317C3">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0BB42415" w14:textId="77777777" w:rsidR="003901B7" w:rsidRPr="002F7364" w:rsidRDefault="003901B7" w:rsidP="002F7364">
            <w:pPr>
              <w:rPr>
                <w:rFonts w:cs="Calibri"/>
                <w:color w:val="000000"/>
                <w:szCs w:val="22"/>
              </w:rPr>
            </w:pPr>
            <w:r w:rsidRPr="002F7364">
              <w:rPr>
                <w:rFonts w:cs="Calibri"/>
                <w:color w:val="000000"/>
                <w:szCs w:val="22"/>
              </w:rPr>
              <w:t>West Central</w:t>
            </w:r>
          </w:p>
        </w:tc>
        <w:tc>
          <w:tcPr>
            <w:tcW w:w="450" w:type="dxa"/>
            <w:tcBorders>
              <w:top w:val="nil"/>
              <w:left w:val="nil"/>
              <w:bottom w:val="single" w:sz="4" w:space="0" w:color="auto"/>
              <w:right w:val="single" w:sz="8" w:space="0" w:color="auto"/>
            </w:tcBorders>
            <w:shd w:val="clear" w:color="auto" w:fill="auto"/>
            <w:noWrap/>
            <w:vAlign w:val="center"/>
            <w:hideMark/>
          </w:tcPr>
          <w:p w14:paraId="18D9022A" w14:textId="77777777" w:rsidR="003901B7" w:rsidRPr="002F7364" w:rsidRDefault="003901B7" w:rsidP="002F7364">
            <w:pPr>
              <w:jc w:val="center"/>
              <w:rPr>
                <w:rFonts w:cs="Calibri"/>
                <w:szCs w:val="22"/>
              </w:rPr>
            </w:pPr>
            <w:r w:rsidRPr="002F7364">
              <w:rPr>
                <w:rFonts w:cs="Calibri"/>
                <w:szCs w:val="22"/>
              </w:rPr>
              <w:t>9</w:t>
            </w:r>
          </w:p>
        </w:tc>
        <w:tc>
          <w:tcPr>
            <w:tcW w:w="1260" w:type="dxa"/>
            <w:tcBorders>
              <w:top w:val="nil"/>
              <w:left w:val="single" w:sz="4" w:space="0" w:color="auto"/>
              <w:bottom w:val="single" w:sz="4" w:space="0" w:color="auto"/>
              <w:right w:val="nil"/>
            </w:tcBorders>
            <w:shd w:val="clear" w:color="auto" w:fill="auto"/>
            <w:noWrap/>
            <w:vAlign w:val="bottom"/>
            <w:hideMark/>
          </w:tcPr>
          <w:p w14:paraId="5834B224" w14:textId="3ACFD1DF" w:rsidR="003901B7" w:rsidRPr="002F7364" w:rsidRDefault="003901B7" w:rsidP="002F7364">
            <w:pPr>
              <w:jc w:val="center"/>
              <w:rPr>
                <w:rFonts w:cs="Calibri"/>
                <w:color w:val="000000"/>
                <w:szCs w:val="22"/>
              </w:rPr>
            </w:pPr>
            <w:r w:rsidRPr="002F7364">
              <w:rPr>
                <w:rFonts w:cs="Calibri"/>
                <w:color w:val="000000"/>
                <w:szCs w:val="22"/>
              </w:rPr>
              <w:t>$1.95</w:t>
            </w:r>
          </w:p>
        </w:tc>
        <w:tc>
          <w:tcPr>
            <w:tcW w:w="1350" w:type="dxa"/>
            <w:tcBorders>
              <w:top w:val="nil"/>
              <w:left w:val="single" w:sz="4" w:space="0" w:color="auto"/>
              <w:bottom w:val="single" w:sz="4" w:space="0" w:color="auto"/>
              <w:right w:val="nil"/>
            </w:tcBorders>
            <w:shd w:val="clear" w:color="auto" w:fill="auto"/>
            <w:noWrap/>
            <w:vAlign w:val="bottom"/>
            <w:hideMark/>
          </w:tcPr>
          <w:p w14:paraId="78A2E159" w14:textId="51B336F2" w:rsidR="003901B7" w:rsidRPr="002F7364" w:rsidRDefault="003901B7" w:rsidP="002F7364">
            <w:pPr>
              <w:jc w:val="center"/>
              <w:rPr>
                <w:rFonts w:cs="Calibri"/>
                <w:color w:val="000000"/>
                <w:szCs w:val="22"/>
              </w:rPr>
            </w:pPr>
            <w:r w:rsidRPr="002F7364">
              <w:rPr>
                <w:rFonts w:cs="Calibri"/>
                <w:color w:val="000000"/>
                <w:szCs w:val="22"/>
              </w:rPr>
              <w:t>$18.78</w:t>
            </w:r>
          </w:p>
        </w:tc>
        <w:tc>
          <w:tcPr>
            <w:tcW w:w="1440" w:type="dxa"/>
            <w:tcBorders>
              <w:top w:val="nil"/>
              <w:left w:val="single" w:sz="4" w:space="0" w:color="auto"/>
              <w:bottom w:val="single" w:sz="4" w:space="0" w:color="auto"/>
              <w:right w:val="nil"/>
            </w:tcBorders>
            <w:shd w:val="clear" w:color="auto" w:fill="auto"/>
            <w:noWrap/>
            <w:vAlign w:val="bottom"/>
            <w:hideMark/>
          </w:tcPr>
          <w:p w14:paraId="27EB9B95" w14:textId="634FC112" w:rsidR="003901B7" w:rsidRPr="002F7364" w:rsidRDefault="003901B7" w:rsidP="002F7364">
            <w:pPr>
              <w:jc w:val="center"/>
              <w:rPr>
                <w:rFonts w:cs="Calibri"/>
                <w:color w:val="000000"/>
                <w:szCs w:val="22"/>
              </w:rPr>
            </w:pPr>
            <w:r w:rsidRPr="002F7364">
              <w:rPr>
                <w:rFonts w:cs="Calibri"/>
                <w:color w:val="000000"/>
                <w:szCs w:val="22"/>
              </w:rPr>
              <w:t>$15.60</w:t>
            </w:r>
          </w:p>
        </w:tc>
        <w:tc>
          <w:tcPr>
            <w:tcW w:w="1260" w:type="dxa"/>
            <w:tcBorders>
              <w:top w:val="nil"/>
              <w:left w:val="single" w:sz="4" w:space="0" w:color="auto"/>
              <w:bottom w:val="single" w:sz="4" w:space="0" w:color="auto"/>
              <w:right w:val="nil"/>
            </w:tcBorders>
            <w:shd w:val="clear" w:color="auto" w:fill="auto"/>
            <w:noWrap/>
            <w:vAlign w:val="bottom"/>
            <w:hideMark/>
          </w:tcPr>
          <w:p w14:paraId="14BC752E" w14:textId="77777777" w:rsidR="003901B7" w:rsidRPr="002F7364" w:rsidRDefault="003901B7" w:rsidP="002F7364">
            <w:pPr>
              <w:jc w:val="center"/>
              <w:rPr>
                <w:rFonts w:cs="Calibri"/>
                <w:color w:val="000000"/>
                <w:szCs w:val="22"/>
              </w:rPr>
            </w:pPr>
            <w:r w:rsidRPr="002F7364">
              <w:rPr>
                <w:rFonts w:cs="Calibri"/>
                <w:color w:val="000000"/>
                <w:szCs w:val="22"/>
              </w:rPr>
              <w:t>86</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1CE81538" w14:textId="05AEC39B" w:rsidR="003901B7" w:rsidRPr="002F7364" w:rsidRDefault="003901B7" w:rsidP="002F7364">
            <w:pPr>
              <w:jc w:val="center"/>
              <w:rPr>
                <w:rFonts w:cs="Calibri"/>
                <w:color w:val="000000"/>
                <w:szCs w:val="22"/>
              </w:rPr>
            </w:pPr>
            <w:r w:rsidRPr="002F7364">
              <w:rPr>
                <w:rFonts w:cs="Calibri"/>
                <w:color w:val="000000"/>
                <w:szCs w:val="22"/>
              </w:rPr>
              <w:t>$466,994</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0E82BEF8" w14:textId="1C92D2A6" w:rsidR="003901B7" w:rsidRPr="002F7364" w:rsidRDefault="003901B7" w:rsidP="002F7364">
            <w:pPr>
              <w:jc w:val="center"/>
              <w:rPr>
                <w:rFonts w:cs="Calibri"/>
                <w:color w:val="000000"/>
                <w:szCs w:val="22"/>
              </w:rPr>
            </w:pPr>
            <w:r w:rsidRPr="002F7364">
              <w:rPr>
                <w:rFonts w:cs="Calibri"/>
                <w:color w:val="000000"/>
                <w:szCs w:val="22"/>
              </w:rPr>
              <w:t>$6,668,357</w:t>
            </w:r>
          </w:p>
        </w:tc>
        <w:tc>
          <w:tcPr>
            <w:tcW w:w="1530" w:type="dxa"/>
            <w:tcBorders>
              <w:top w:val="nil"/>
              <w:left w:val="single" w:sz="4" w:space="0" w:color="auto"/>
              <w:bottom w:val="single" w:sz="4" w:space="0" w:color="auto"/>
              <w:right w:val="nil"/>
            </w:tcBorders>
            <w:shd w:val="clear" w:color="auto" w:fill="auto"/>
            <w:noWrap/>
            <w:vAlign w:val="bottom"/>
            <w:hideMark/>
          </w:tcPr>
          <w:p w14:paraId="48E4D75B" w14:textId="77777777" w:rsidR="003901B7" w:rsidRPr="002F7364" w:rsidRDefault="003901B7" w:rsidP="002F7364">
            <w:pPr>
              <w:jc w:val="center"/>
              <w:rPr>
                <w:rFonts w:cs="Calibri"/>
                <w:color w:val="000000"/>
                <w:szCs w:val="22"/>
              </w:rPr>
            </w:pPr>
            <w:r w:rsidRPr="002F7364">
              <w:rPr>
                <w:rFonts w:cs="Calibri"/>
                <w:color w:val="000000"/>
                <w:szCs w:val="22"/>
              </w:rPr>
              <w:t>1,451</w:t>
            </w:r>
          </w:p>
        </w:tc>
        <w:tc>
          <w:tcPr>
            <w:tcW w:w="2160" w:type="dxa"/>
            <w:tcBorders>
              <w:top w:val="nil"/>
              <w:left w:val="single" w:sz="4" w:space="0" w:color="auto"/>
              <w:bottom w:val="single" w:sz="4" w:space="0" w:color="auto"/>
              <w:right w:val="single" w:sz="8" w:space="0" w:color="auto"/>
            </w:tcBorders>
            <w:shd w:val="clear" w:color="000000" w:fill="C6E0B4"/>
            <w:noWrap/>
            <w:vAlign w:val="bottom"/>
            <w:hideMark/>
          </w:tcPr>
          <w:p w14:paraId="0E269ECB" w14:textId="77777777" w:rsidR="003901B7" w:rsidRPr="002F7364" w:rsidRDefault="003901B7" w:rsidP="002F7364">
            <w:pPr>
              <w:jc w:val="center"/>
              <w:rPr>
                <w:rFonts w:cs="Calibri"/>
                <w:color w:val="000000"/>
                <w:szCs w:val="22"/>
              </w:rPr>
            </w:pPr>
            <w:r w:rsidRPr="002F7364">
              <w:rPr>
                <w:rFonts w:cs="Calibri"/>
                <w:color w:val="000000"/>
                <w:szCs w:val="22"/>
              </w:rPr>
              <w:t>1,537</w:t>
            </w:r>
          </w:p>
        </w:tc>
      </w:tr>
      <w:tr w:rsidR="003901B7" w:rsidRPr="002F7364" w14:paraId="5A782C88" w14:textId="77777777" w:rsidTr="006317C3">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642EAC66" w14:textId="77777777" w:rsidR="003901B7" w:rsidRPr="002F7364" w:rsidRDefault="003901B7" w:rsidP="002F7364">
            <w:pPr>
              <w:rPr>
                <w:rFonts w:cs="Calibri"/>
                <w:color w:val="000000"/>
                <w:szCs w:val="22"/>
              </w:rPr>
            </w:pPr>
            <w:r w:rsidRPr="002F7364">
              <w:rPr>
                <w:rFonts w:cs="Calibri"/>
                <w:color w:val="000000"/>
                <w:szCs w:val="22"/>
              </w:rPr>
              <w:t>Borderplex</w:t>
            </w:r>
          </w:p>
        </w:tc>
        <w:tc>
          <w:tcPr>
            <w:tcW w:w="450" w:type="dxa"/>
            <w:tcBorders>
              <w:top w:val="nil"/>
              <w:left w:val="nil"/>
              <w:bottom w:val="single" w:sz="4" w:space="0" w:color="auto"/>
              <w:right w:val="single" w:sz="8" w:space="0" w:color="auto"/>
            </w:tcBorders>
            <w:shd w:val="clear" w:color="auto" w:fill="auto"/>
            <w:noWrap/>
            <w:vAlign w:val="center"/>
            <w:hideMark/>
          </w:tcPr>
          <w:p w14:paraId="6D98B5D2" w14:textId="77777777" w:rsidR="003901B7" w:rsidRPr="002F7364" w:rsidRDefault="003901B7" w:rsidP="002F7364">
            <w:pPr>
              <w:jc w:val="center"/>
              <w:rPr>
                <w:rFonts w:cs="Calibri"/>
                <w:szCs w:val="22"/>
              </w:rPr>
            </w:pPr>
            <w:r w:rsidRPr="002F7364">
              <w:rPr>
                <w:rFonts w:cs="Calibri"/>
                <w:szCs w:val="22"/>
              </w:rPr>
              <w:t>10</w:t>
            </w:r>
          </w:p>
        </w:tc>
        <w:tc>
          <w:tcPr>
            <w:tcW w:w="1260" w:type="dxa"/>
            <w:tcBorders>
              <w:top w:val="nil"/>
              <w:left w:val="single" w:sz="4" w:space="0" w:color="auto"/>
              <w:bottom w:val="single" w:sz="4" w:space="0" w:color="auto"/>
              <w:right w:val="nil"/>
            </w:tcBorders>
            <w:shd w:val="clear" w:color="auto" w:fill="auto"/>
            <w:noWrap/>
            <w:vAlign w:val="bottom"/>
            <w:hideMark/>
          </w:tcPr>
          <w:p w14:paraId="1684214B" w14:textId="47A7ECC4" w:rsidR="003901B7" w:rsidRPr="002F7364" w:rsidRDefault="003901B7" w:rsidP="002F7364">
            <w:pPr>
              <w:jc w:val="center"/>
              <w:rPr>
                <w:rFonts w:cs="Calibri"/>
                <w:color w:val="000000"/>
                <w:szCs w:val="22"/>
              </w:rPr>
            </w:pPr>
            <w:r w:rsidRPr="002F7364">
              <w:rPr>
                <w:rFonts w:cs="Calibri"/>
                <w:color w:val="000000"/>
                <w:szCs w:val="22"/>
              </w:rPr>
              <w:t>$1.75</w:t>
            </w:r>
          </w:p>
        </w:tc>
        <w:tc>
          <w:tcPr>
            <w:tcW w:w="1350" w:type="dxa"/>
            <w:tcBorders>
              <w:top w:val="nil"/>
              <w:left w:val="single" w:sz="4" w:space="0" w:color="auto"/>
              <w:bottom w:val="single" w:sz="4" w:space="0" w:color="auto"/>
              <w:right w:val="nil"/>
            </w:tcBorders>
            <w:shd w:val="clear" w:color="auto" w:fill="auto"/>
            <w:noWrap/>
            <w:vAlign w:val="bottom"/>
            <w:hideMark/>
          </w:tcPr>
          <w:p w14:paraId="65FDF237" w14:textId="1032F977" w:rsidR="003901B7" w:rsidRPr="002F7364" w:rsidRDefault="003901B7" w:rsidP="002F7364">
            <w:pPr>
              <w:jc w:val="center"/>
              <w:rPr>
                <w:rFonts w:cs="Calibri"/>
                <w:color w:val="000000"/>
                <w:szCs w:val="22"/>
              </w:rPr>
            </w:pPr>
            <w:r w:rsidRPr="002F7364">
              <w:rPr>
                <w:rFonts w:cs="Calibri"/>
                <w:color w:val="000000"/>
                <w:szCs w:val="22"/>
              </w:rPr>
              <w:t>$18.71</w:t>
            </w:r>
          </w:p>
        </w:tc>
        <w:tc>
          <w:tcPr>
            <w:tcW w:w="1440" w:type="dxa"/>
            <w:tcBorders>
              <w:top w:val="nil"/>
              <w:left w:val="single" w:sz="4" w:space="0" w:color="auto"/>
              <w:bottom w:val="single" w:sz="4" w:space="0" w:color="auto"/>
              <w:right w:val="nil"/>
            </w:tcBorders>
            <w:shd w:val="clear" w:color="auto" w:fill="auto"/>
            <w:noWrap/>
            <w:vAlign w:val="bottom"/>
            <w:hideMark/>
          </w:tcPr>
          <w:p w14:paraId="17393462" w14:textId="0E99110B" w:rsidR="003901B7" w:rsidRPr="002F7364" w:rsidRDefault="003901B7" w:rsidP="002F7364">
            <w:pPr>
              <w:jc w:val="center"/>
              <w:rPr>
                <w:rFonts w:cs="Calibri"/>
                <w:color w:val="000000"/>
                <w:szCs w:val="22"/>
              </w:rPr>
            </w:pPr>
            <w:r w:rsidRPr="002F7364">
              <w:rPr>
                <w:rFonts w:cs="Calibri"/>
                <w:color w:val="000000"/>
                <w:szCs w:val="22"/>
              </w:rPr>
              <w:t>$15.04</w:t>
            </w:r>
          </w:p>
        </w:tc>
        <w:tc>
          <w:tcPr>
            <w:tcW w:w="1260" w:type="dxa"/>
            <w:tcBorders>
              <w:top w:val="nil"/>
              <w:left w:val="single" w:sz="4" w:space="0" w:color="auto"/>
              <w:bottom w:val="single" w:sz="4" w:space="0" w:color="auto"/>
              <w:right w:val="nil"/>
            </w:tcBorders>
            <w:shd w:val="clear" w:color="auto" w:fill="auto"/>
            <w:noWrap/>
            <w:vAlign w:val="bottom"/>
            <w:hideMark/>
          </w:tcPr>
          <w:p w14:paraId="089B4BE0" w14:textId="77777777" w:rsidR="003901B7" w:rsidRPr="002F7364" w:rsidRDefault="003901B7" w:rsidP="002F7364">
            <w:pPr>
              <w:jc w:val="center"/>
              <w:rPr>
                <w:rFonts w:cs="Calibri"/>
                <w:color w:val="000000"/>
                <w:szCs w:val="22"/>
              </w:rPr>
            </w:pPr>
            <w:r w:rsidRPr="002F7364">
              <w:rPr>
                <w:rFonts w:cs="Calibri"/>
                <w:color w:val="000000"/>
                <w:szCs w:val="22"/>
              </w:rPr>
              <w:t>427</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48BA93A9" w14:textId="212F7910" w:rsidR="003901B7" w:rsidRPr="002F7364" w:rsidRDefault="003901B7" w:rsidP="002F7364">
            <w:pPr>
              <w:jc w:val="center"/>
              <w:rPr>
                <w:rFonts w:cs="Calibri"/>
                <w:color w:val="000000"/>
                <w:szCs w:val="22"/>
              </w:rPr>
            </w:pPr>
            <w:r w:rsidRPr="002F7364">
              <w:rPr>
                <w:rFonts w:cs="Calibri"/>
                <w:color w:val="000000"/>
                <w:szCs w:val="22"/>
              </w:rPr>
              <w:t>$2,288,517</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38BF9895" w14:textId="354418C7" w:rsidR="003901B7" w:rsidRPr="002F7364" w:rsidRDefault="003901B7" w:rsidP="002F7364">
            <w:pPr>
              <w:jc w:val="center"/>
              <w:rPr>
                <w:rFonts w:cs="Calibri"/>
                <w:color w:val="000000"/>
                <w:szCs w:val="22"/>
              </w:rPr>
            </w:pPr>
            <w:r w:rsidRPr="002F7364">
              <w:rPr>
                <w:rFonts w:cs="Calibri"/>
                <w:color w:val="000000"/>
                <w:szCs w:val="22"/>
              </w:rPr>
              <w:t>$23,580,623</w:t>
            </w:r>
          </w:p>
        </w:tc>
        <w:tc>
          <w:tcPr>
            <w:tcW w:w="1530" w:type="dxa"/>
            <w:tcBorders>
              <w:top w:val="nil"/>
              <w:left w:val="single" w:sz="4" w:space="0" w:color="auto"/>
              <w:bottom w:val="single" w:sz="4" w:space="0" w:color="auto"/>
              <w:right w:val="nil"/>
            </w:tcBorders>
            <w:shd w:val="clear" w:color="auto" w:fill="auto"/>
            <w:noWrap/>
            <w:vAlign w:val="bottom"/>
            <w:hideMark/>
          </w:tcPr>
          <w:p w14:paraId="294D4BF8" w14:textId="77777777" w:rsidR="003901B7" w:rsidRPr="002F7364" w:rsidRDefault="003901B7" w:rsidP="002F7364">
            <w:pPr>
              <w:jc w:val="center"/>
              <w:rPr>
                <w:rFonts w:cs="Calibri"/>
                <w:color w:val="000000"/>
                <w:szCs w:val="22"/>
              </w:rPr>
            </w:pPr>
            <w:r w:rsidRPr="002F7364">
              <w:rPr>
                <w:rFonts w:cs="Calibri"/>
                <w:color w:val="000000"/>
                <w:szCs w:val="22"/>
              </w:rPr>
              <w:t>5,360</w:t>
            </w:r>
          </w:p>
        </w:tc>
        <w:tc>
          <w:tcPr>
            <w:tcW w:w="2160" w:type="dxa"/>
            <w:tcBorders>
              <w:top w:val="nil"/>
              <w:left w:val="single" w:sz="4" w:space="0" w:color="auto"/>
              <w:bottom w:val="single" w:sz="4" w:space="0" w:color="auto"/>
              <w:right w:val="single" w:sz="8" w:space="0" w:color="auto"/>
            </w:tcBorders>
            <w:shd w:val="clear" w:color="000000" w:fill="C6E0B4"/>
            <w:noWrap/>
            <w:vAlign w:val="bottom"/>
            <w:hideMark/>
          </w:tcPr>
          <w:p w14:paraId="156839A5" w14:textId="77777777" w:rsidR="003901B7" w:rsidRPr="002F7364" w:rsidRDefault="003901B7" w:rsidP="002F7364">
            <w:pPr>
              <w:jc w:val="center"/>
              <w:rPr>
                <w:rFonts w:cs="Calibri"/>
                <w:color w:val="000000"/>
                <w:szCs w:val="22"/>
              </w:rPr>
            </w:pPr>
            <w:r w:rsidRPr="002F7364">
              <w:rPr>
                <w:rFonts w:cs="Calibri"/>
                <w:color w:val="000000"/>
                <w:szCs w:val="22"/>
              </w:rPr>
              <w:t>5,787</w:t>
            </w:r>
          </w:p>
        </w:tc>
      </w:tr>
      <w:tr w:rsidR="003901B7" w:rsidRPr="002F7364" w14:paraId="4BBAE977" w14:textId="77777777" w:rsidTr="006317C3">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4F514315" w14:textId="77777777" w:rsidR="003901B7" w:rsidRPr="002F7364" w:rsidRDefault="003901B7" w:rsidP="002F7364">
            <w:pPr>
              <w:rPr>
                <w:rFonts w:cs="Calibri"/>
                <w:color w:val="000000"/>
                <w:szCs w:val="22"/>
              </w:rPr>
            </w:pPr>
            <w:r w:rsidRPr="002F7364">
              <w:rPr>
                <w:rFonts w:cs="Calibri"/>
                <w:color w:val="000000"/>
                <w:szCs w:val="22"/>
              </w:rPr>
              <w:t>Permian Basin</w:t>
            </w:r>
          </w:p>
        </w:tc>
        <w:tc>
          <w:tcPr>
            <w:tcW w:w="450" w:type="dxa"/>
            <w:tcBorders>
              <w:top w:val="nil"/>
              <w:left w:val="nil"/>
              <w:bottom w:val="single" w:sz="4" w:space="0" w:color="auto"/>
              <w:right w:val="single" w:sz="8" w:space="0" w:color="auto"/>
            </w:tcBorders>
            <w:shd w:val="clear" w:color="auto" w:fill="auto"/>
            <w:noWrap/>
            <w:vAlign w:val="center"/>
            <w:hideMark/>
          </w:tcPr>
          <w:p w14:paraId="7B87691F" w14:textId="77777777" w:rsidR="003901B7" w:rsidRPr="002F7364" w:rsidRDefault="003901B7" w:rsidP="002F7364">
            <w:pPr>
              <w:jc w:val="center"/>
              <w:rPr>
                <w:rFonts w:cs="Calibri"/>
                <w:szCs w:val="22"/>
              </w:rPr>
            </w:pPr>
            <w:r w:rsidRPr="002F7364">
              <w:rPr>
                <w:rFonts w:cs="Calibri"/>
                <w:szCs w:val="22"/>
              </w:rPr>
              <w:t>11</w:t>
            </w:r>
          </w:p>
        </w:tc>
        <w:tc>
          <w:tcPr>
            <w:tcW w:w="1260" w:type="dxa"/>
            <w:tcBorders>
              <w:top w:val="nil"/>
              <w:left w:val="single" w:sz="4" w:space="0" w:color="auto"/>
              <w:bottom w:val="single" w:sz="4" w:space="0" w:color="auto"/>
              <w:right w:val="nil"/>
            </w:tcBorders>
            <w:shd w:val="clear" w:color="auto" w:fill="auto"/>
            <w:noWrap/>
            <w:vAlign w:val="bottom"/>
            <w:hideMark/>
          </w:tcPr>
          <w:p w14:paraId="14D8CB11" w14:textId="10776C74" w:rsidR="003901B7" w:rsidRPr="002F7364" w:rsidRDefault="003901B7" w:rsidP="002F7364">
            <w:pPr>
              <w:jc w:val="center"/>
              <w:rPr>
                <w:rFonts w:cs="Calibri"/>
                <w:color w:val="000000"/>
                <w:szCs w:val="22"/>
              </w:rPr>
            </w:pPr>
            <w:r w:rsidRPr="002F7364">
              <w:rPr>
                <w:rFonts w:cs="Calibri"/>
                <w:color w:val="000000"/>
                <w:szCs w:val="22"/>
              </w:rPr>
              <w:t>$2.48</w:t>
            </w:r>
          </w:p>
        </w:tc>
        <w:tc>
          <w:tcPr>
            <w:tcW w:w="1350" w:type="dxa"/>
            <w:tcBorders>
              <w:top w:val="nil"/>
              <w:left w:val="single" w:sz="4" w:space="0" w:color="auto"/>
              <w:bottom w:val="single" w:sz="4" w:space="0" w:color="auto"/>
              <w:right w:val="nil"/>
            </w:tcBorders>
            <w:shd w:val="clear" w:color="auto" w:fill="auto"/>
            <w:noWrap/>
            <w:vAlign w:val="bottom"/>
            <w:hideMark/>
          </w:tcPr>
          <w:p w14:paraId="5BF307F1" w14:textId="50884FAB" w:rsidR="003901B7" w:rsidRPr="002F7364" w:rsidRDefault="003901B7" w:rsidP="002F7364">
            <w:pPr>
              <w:jc w:val="center"/>
              <w:rPr>
                <w:rFonts w:cs="Calibri"/>
                <w:color w:val="000000"/>
                <w:szCs w:val="22"/>
              </w:rPr>
            </w:pPr>
            <w:r w:rsidRPr="002F7364">
              <w:rPr>
                <w:rFonts w:cs="Calibri"/>
                <w:color w:val="000000"/>
                <w:szCs w:val="22"/>
              </w:rPr>
              <w:t>$21.64</w:t>
            </w:r>
          </w:p>
        </w:tc>
        <w:tc>
          <w:tcPr>
            <w:tcW w:w="1440" w:type="dxa"/>
            <w:tcBorders>
              <w:top w:val="nil"/>
              <w:left w:val="single" w:sz="4" w:space="0" w:color="auto"/>
              <w:bottom w:val="single" w:sz="4" w:space="0" w:color="auto"/>
              <w:right w:val="nil"/>
            </w:tcBorders>
            <w:shd w:val="clear" w:color="auto" w:fill="auto"/>
            <w:noWrap/>
            <w:vAlign w:val="bottom"/>
            <w:hideMark/>
          </w:tcPr>
          <w:p w14:paraId="497A8601" w14:textId="18652F6F" w:rsidR="003901B7" w:rsidRPr="002F7364" w:rsidRDefault="003901B7" w:rsidP="002F7364">
            <w:pPr>
              <w:jc w:val="center"/>
              <w:rPr>
                <w:rFonts w:cs="Calibri"/>
                <w:color w:val="000000"/>
                <w:szCs w:val="22"/>
              </w:rPr>
            </w:pPr>
            <w:r w:rsidRPr="002F7364">
              <w:rPr>
                <w:rFonts w:cs="Calibri"/>
                <w:color w:val="000000"/>
                <w:szCs w:val="22"/>
              </w:rPr>
              <w:t>$18.11</w:t>
            </w:r>
          </w:p>
        </w:tc>
        <w:tc>
          <w:tcPr>
            <w:tcW w:w="1260" w:type="dxa"/>
            <w:tcBorders>
              <w:top w:val="nil"/>
              <w:left w:val="single" w:sz="4" w:space="0" w:color="auto"/>
              <w:bottom w:val="single" w:sz="4" w:space="0" w:color="auto"/>
              <w:right w:val="nil"/>
            </w:tcBorders>
            <w:shd w:val="clear" w:color="auto" w:fill="auto"/>
            <w:noWrap/>
            <w:vAlign w:val="bottom"/>
            <w:hideMark/>
          </w:tcPr>
          <w:p w14:paraId="7C73B7CA" w14:textId="77777777" w:rsidR="003901B7" w:rsidRPr="002F7364" w:rsidRDefault="003901B7" w:rsidP="002F7364">
            <w:pPr>
              <w:jc w:val="center"/>
              <w:rPr>
                <w:rFonts w:cs="Calibri"/>
                <w:color w:val="000000"/>
                <w:szCs w:val="22"/>
              </w:rPr>
            </w:pPr>
            <w:r w:rsidRPr="002F7364">
              <w:rPr>
                <w:rFonts w:cs="Calibri"/>
                <w:color w:val="000000"/>
                <w:szCs w:val="22"/>
              </w:rPr>
              <w:t>60</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7E5EC201" w14:textId="7CD986C5" w:rsidR="003901B7" w:rsidRPr="002F7364" w:rsidRDefault="003901B7" w:rsidP="002F7364">
            <w:pPr>
              <w:jc w:val="center"/>
              <w:rPr>
                <w:rFonts w:cs="Calibri"/>
                <w:color w:val="000000"/>
                <w:szCs w:val="22"/>
              </w:rPr>
            </w:pPr>
            <w:r w:rsidRPr="002F7364">
              <w:rPr>
                <w:rFonts w:cs="Calibri"/>
                <w:color w:val="000000"/>
                <w:szCs w:val="22"/>
              </w:rPr>
              <w:t>$379,108</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1445A9DC" w14:textId="40141E6A" w:rsidR="003901B7" w:rsidRPr="002F7364" w:rsidRDefault="003901B7" w:rsidP="002F7364">
            <w:pPr>
              <w:jc w:val="center"/>
              <w:rPr>
                <w:rFonts w:cs="Calibri"/>
                <w:color w:val="000000"/>
                <w:szCs w:val="22"/>
              </w:rPr>
            </w:pPr>
            <w:r w:rsidRPr="002F7364">
              <w:rPr>
                <w:rFonts w:cs="Calibri"/>
                <w:color w:val="000000"/>
                <w:szCs w:val="22"/>
              </w:rPr>
              <w:t>$10,286,632</w:t>
            </w:r>
          </w:p>
        </w:tc>
        <w:tc>
          <w:tcPr>
            <w:tcW w:w="1530" w:type="dxa"/>
            <w:tcBorders>
              <w:top w:val="nil"/>
              <w:left w:val="single" w:sz="4" w:space="0" w:color="auto"/>
              <w:bottom w:val="single" w:sz="4" w:space="0" w:color="auto"/>
              <w:right w:val="nil"/>
            </w:tcBorders>
            <w:shd w:val="clear" w:color="auto" w:fill="auto"/>
            <w:noWrap/>
            <w:vAlign w:val="bottom"/>
            <w:hideMark/>
          </w:tcPr>
          <w:p w14:paraId="4F921C63" w14:textId="77777777" w:rsidR="003901B7" w:rsidRPr="002F7364" w:rsidRDefault="003901B7" w:rsidP="002F7364">
            <w:pPr>
              <w:jc w:val="center"/>
              <w:rPr>
                <w:rFonts w:cs="Calibri"/>
                <w:color w:val="000000"/>
                <w:szCs w:val="22"/>
              </w:rPr>
            </w:pPr>
            <w:r w:rsidRPr="002F7364">
              <w:rPr>
                <w:rFonts w:cs="Calibri"/>
                <w:color w:val="000000"/>
                <w:szCs w:val="22"/>
              </w:rPr>
              <w:t>1,906</w:t>
            </w:r>
          </w:p>
        </w:tc>
        <w:tc>
          <w:tcPr>
            <w:tcW w:w="2160" w:type="dxa"/>
            <w:tcBorders>
              <w:top w:val="nil"/>
              <w:left w:val="single" w:sz="4" w:space="0" w:color="auto"/>
              <w:bottom w:val="single" w:sz="4" w:space="0" w:color="auto"/>
              <w:right w:val="single" w:sz="8" w:space="0" w:color="auto"/>
            </w:tcBorders>
            <w:shd w:val="clear" w:color="000000" w:fill="C6E0B4"/>
            <w:noWrap/>
            <w:vAlign w:val="bottom"/>
            <w:hideMark/>
          </w:tcPr>
          <w:p w14:paraId="3357D609" w14:textId="77777777" w:rsidR="003901B7" w:rsidRPr="002F7364" w:rsidRDefault="003901B7" w:rsidP="002F7364">
            <w:pPr>
              <w:jc w:val="center"/>
              <w:rPr>
                <w:rFonts w:cs="Calibri"/>
                <w:color w:val="000000"/>
                <w:szCs w:val="22"/>
              </w:rPr>
            </w:pPr>
            <w:r w:rsidRPr="002F7364">
              <w:rPr>
                <w:rFonts w:cs="Calibri"/>
                <w:color w:val="000000"/>
                <w:szCs w:val="22"/>
              </w:rPr>
              <w:t>1,966</w:t>
            </w:r>
          </w:p>
        </w:tc>
      </w:tr>
      <w:tr w:rsidR="003901B7" w:rsidRPr="002F7364" w14:paraId="5B3AA967" w14:textId="77777777" w:rsidTr="006317C3">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5C9B5E09" w14:textId="77777777" w:rsidR="003901B7" w:rsidRPr="002F7364" w:rsidRDefault="003901B7" w:rsidP="002F7364">
            <w:pPr>
              <w:rPr>
                <w:rFonts w:cs="Calibri"/>
                <w:color w:val="000000"/>
                <w:szCs w:val="22"/>
              </w:rPr>
            </w:pPr>
            <w:r w:rsidRPr="002F7364">
              <w:rPr>
                <w:rFonts w:cs="Calibri"/>
                <w:color w:val="000000"/>
                <w:szCs w:val="22"/>
              </w:rPr>
              <w:t>Concho Valley</w:t>
            </w:r>
          </w:p>
        </w:tc>
        <w:tc>
          <w:tcPr>
            <w:tcW w:w="450" w:type="dxa"/>
            <w:tcBorders>
              <w:top w:val="nil"/>
              <w:left w:val="nil"/>
              <w:bottom w:val="single" w:sz="4" w:space="0" w:color="auto"/>
              <w:right w:val="single" w:sz="8" w:space="0" w:color="auto"/>
            </w:tcBorders>
            <w:shd w:val="clear" w:color="auto" w:fill="auto"/>
            <w:noWrap/>
            <w:vAlign w:val="center"/>
            <w:hideMark/>
          </w:tcPr>
          <w:p w14:paraId="4F735703" w14:textId="77777777" w:rsidR="003901B7" w:rsidRPr="002F7364" w:rsidRDefault="003901B7" w:rsidP="002F7364">
            <w:pPr>
              <w:jc w:val="center"/>
              <w:rPr>
                <w:rFonts w:cs="Calibri"/>
                <w:szCs w:val="22"/>
              </w:rPr>
            </w:pPr>
            <w:r w:rsidRPr="002F7364">
              <w:rPr>
                <w:rFonts w:cs="Calibri"/>
                <w:szCs w:val="22"/>
              </w:rPr>
              <w:t>12</w:t>
            </w:r>
          </w:p>
        </w:tc>
        <w:tc>
          <w:tcPr>
            <w:tcW w:w="1260" w:type="dxa"/>
            <w:tcBorders>
              <w:top w:val="nil"/>
              <w:left w:val="single" w:sz="4" w:space="0" w:color="auto"/>
              <w:bottom w:val="single" w:sz="4" w:space="0" w:color="auto"/>
              <w:right w:val="nil"/>
            </w:tcBorders>
            <w:shd w:val="clear" w:color="auto" w:fill="auto"/>
            <w:noWrap/>
            <w:vAlign w:val="bottom"/>
            <w:hideMark/>
          </w:tcPr>
          <w:p w14:paraId="16DDDC78" w14:textId="5EDFA33F" w:rsidR="003901B7" w:rsidRPr="002F7364" w:rsidRDefault="003901B7" w:rsidP="002F7364">
            <w:pPr>
              <w:jc w:val="center"/>
              <w:rPr>
                <w:rFonts w:cs="Calibri"/>
                <w:color w:val="000000"/>
                <w:szCs w:val="22"/>
              </w:rPr>
            </w:pPr>
            <w:r w:rsidRPr="002F7364">
              <w:rPr>
                <w:rFonts w:cs="Calibri"/>
                <w:color w:val="000000"/>
                <w:szCs w:val="22"/>
              </w:rPr>
              <w:t>$2.28</w:t>
            </w:r>
          </w:p>
        </w:tc>
        <w:tc>
          <w:tcPr>
            <w:tcW w:w="1350" w:type="dxa"/>
            <w:tcBorders>
              <w:top w:val="nil"/>
              <w:left w:val="single" w:sz="4" w:space="0" w:color="auto"/>
              <w:bottom w:val="single" w:sz="4" w:space="0" w:color="auto"/>
              <w:right w:val="nil"/>
            </w:tcBorders>
            <w:shd w:val="clear" w:color="auto" w:fill="auto"/>
            <w:noWrap/>
            <w:vAlign w:val="bottom"/>
            <w:hideMark/>
          </w:tcPr>
          <w:p w14:paraId="585F9AEB" w14:textId="44868074" w:rsidR="003901B7" w:rsidRPr="002F7364" w:rsidRDefault="003901B7" w:rsidP="002F7364">
            <w:pPr>
              <w:jc w:val="center"/>
              <w:rPr>
                <w:rFonts w:cs="Calibri"/>
                <w:color w:val="000000"/>
                <w:szCs w:val="22"/>
              </w:rPr>
            </w:pPr>
            <w:r w:rsidRPr="002F7364">
              <w:rPr>
                <w:rFonts w:cs="Calibri"/>
                <w:color w:val="000000"/>
                <w:szCs w:val="22"/>
              </w:rPr>
              <w:t>$18.68</w:t>
            </w:r>
          </w:p>
        </w:tc>
        <w:tc>
          <w:tcPr>
            <w:tcW w:w="1440" w:type="dxa"/>
            <w:tcBorders>
              <w:top w:val="nil"/>
              <w:left w:val="single" w:sz="4" w:space="0" w:color="auto"/>
              <w:bottom w:val="single" w:sz="4" w:space="0" w:color="auto"/>
              <w:right w:val="nil"/>
            </w:tcBorders>
            <w:shd w:val="clear" w:color="auto" w:fill="auto"/>
            <w:noWrap/>
            <w:vAlign w:val="bottom"/>
            <w:hideMark/>
          </w:tcPr>
          <w:p w14:paraId="626EB28B" w14:textId="76FAB070" w:rsidR="003901B7" w:rsidRPr="002F7364" w:rsidRDefault="003901B7" w:rsidP="002F7364">
            <w:pPr>
              <w:jc w:val="center"/>
              <w:rPr>
                <w:rFonts w:cs="Calibri"/>
                <w:color w:val="000000"/>
                <w:szCs w:val="22"/>
              </w:rPr>
            </w:pPr>
            <w:r w:rsidRPr="002F7364">
              <w:rPr>
                <w:rFonts w:cs="Calibri"/>
                <w:color w:val="000000"/>
                <w:szCs w:val="22"/>
              </w:rPr>
              <w:t>$14.66</w:t>
            </w:r>
          </w:p>
        </w:tc>
        <w:tc>
          <w:tcPr>
            <w:tcW w:w="1260" w:type="dxa"/>
            <w:tcBorders>
              <w:top w:val="nil"/>
              <w:left w:val="single" w:sz="4" w:space="0" w:color="auto"/>
              <w:bottom w:val="single" w:sz="4" w:space="0" w:color="auto"/>
              <w:right w:val="nil"/>
            </w:tcBorders>
            <w:shd w:val="clear" w:color="auto" w:fill="auto"/>
            <w:noWrap/>
            <w:vAlign w:val="bottom"/>
            <w:hideMark/>
          </w:tcPr>
          <w:p w14:paraId="4BC477CE" w14:textId="77777777" w:rsidR="003901B7" w:rsidRPr="002F7364" w:rsidRDefault="003901B7" w:rsidP="002F7364">
            <w:pPr>
              <w:jc w:val="center"/>
              <w:rPr>
                <w:rFonts w:cs="Calibri"/>
                <w:color w:val="000000"/>
                <w:szCs w:val="22"/>
              </w:rPr>
            </w:pPr>
            <w:r w:rsidRPr="002F7364">
              <w:rPr>
                <w:rFonts w:cs="Calibri"/>
                <w:color w:val="000000"/>
                <w:szCs w:val="22"/>
              </w:rPr>
              <w:t>102</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4B34F699" w14:textId="0A4FB1C6" w:rsidR="003901B7" w:rsidRPr="002F7364" w:rsidRDefault="003901B7" w:rsidP="002F7364">
            <w:pPr>
              <w:jc w:val="center"/>
              <w:rPr>
                <w:rFonts w:cs="Calibri"/>
                <w:color w:val="000000"/>
                <w:szCs w:val="22"/>
              </w:rPr>
            </w:pPr>
            <w:r w:rsidRPr="002F7364">
              <w:rPr>
                <w:rFonts w:cs="Calibri"/>
                <w:color w:val="000000"/>
                <w:szCs w:val="22"/>
              </w:rPr>
              <w:t>$560,170</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49E5207A" w14:textId="2E63C0CA" w:rsidR="003901B7" w:rsidRPr="002F7364" w:rsidRDefault="003901B7" w:rsidP="002F7364">
            <w:pPr>
              <w:jc w:val="center"/>
              <w:rPr>
                <w:rFonts w:cs="Calibri"/>
                <w:color w:val="000000"/>
                <w:szCs w:val="22"/>
              </w:rPr>
            </w:pPr>
            <w:r w:rsidRPr="002F7364">
              <w:rPr>
                <w:rFonts w:cs="Calibri"/>
                <w:color w:val="000000"/>
                <w:szCs w:val="22"/>
              </w:rPr>
              <w:t>$2,448,118</w:t>
            </w:r>
          </w:p>
        </w:tc>
        <w:tc>
          <w:tcPr>
            <w:tcW w:w="1530" w:type="dxa"/>
            <w:tcBorders>
              <w:top w:val="nil"/>
              <w:left w:val="single" w:sz="4" w:space="0" w:color="auto"/>
              <w:bottom w:val="single" w:sz="4" w:space="0" w:color="auto"/>
              <w:right w:val="nil"/>
            </w:tcBorders>
            <w:shd w:val="clear" w:color="auto" w:fill="auto"/>
            <w:noWrap/>
            <w:vAlign w:val="bottom"/>
            <w:hideMark/>
          </w:tcPr>
          <w:p w14:paraId="761BBA70" w14:textId="77777777" w:rsidR="003901B7" w:rsidRPr="002F7364" w:rsidRDefault="003901B7" w:rsidP="002F7364">
            <w:pPr>
              <w:jc w:val="center"/>
              <w:rPr>
                <w:rFonts w:cs="Calibri"/>
                <w:color w:val="000000"/>
                <w:szCs w:val="22"/>
              </w:rPr>
            </w:pPr>
            <w:r w:rsidRPr="002F7364">
              <w:rPr>
                <w:rFonts w:cs="Calibri"/>
                <w:color w:val="000000"/>
                <w:szCs w:val="22"/>
              </w:rPr>
              <w:t>552</w:t>
            </w:r>
          </w:p>
        </w:tc>
        <w:tc>
          <w:tcPr>
            <w:tcW w:w="2160" w:type="dxa"/>
            <w:tcBorders>
              <w:top w:val="nil"/>
              <w:left w:val="single" w:sz="4" w:space="0" w:color="auto"/>
              <w:bottom w:val="single" w:sz="4" w:space="0" w:color="auto"/>
              <w:right w:val="single" w:sz="8" w:space="0" w:color="auto"/>
            </w:tcBorders>
            <w:shd w:val="clear" w:color="000000" w:fill="C6E0B4"/>
            <w:noWrap/>
            <w:vAlign w:val="bottom"/>
            <w:hideMark/>
          </w:tcPr>
          <w:p w14:paraId="20CC5DE4" w14:textId="77777777" w:rsidR="003901B7" w:rsidRPr="002F7364" w:rsidRDefault="003901B7" w:rsidP="002F7364">
            <w:pPr>
              <w:jc w:val="center"/>
              <w:rPr>
                <w:rFonts w:cs="Calibri"/>
                <w:color w:val="000000"/>
                <w:szCs w:val="22"/>
              </w:rPr>
            </w:pPr>
            <w:r w:rsidRPr="002F7364">
              <w:rPr>
                <w:rFonts w:cs="Calibri"/>
                <w:color w:val="000000"/>
                <w:szCs w:val="22"/>
              </w:rPr>
              <w:t>654</w:t>
            </w:r>
          </w:p>
        </w:tc>
      </w:tr>
      <w:tr w:rsidR="003901B7" w:rsidRPr="002F7364" w14:paraId="5E0CBEBD" w14:textId="77777777" w:rsidTr="006317C3">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7481A962" w14:textId="77777777" w:rsidR="003901B7" w:rsidRPr="002F7364" w:rsidRDefault="003901B7" w:rsidP="002F7364">
            <w:pPr>
              <w:rPr>
                <w:rFonts w:cs="Calibri"/>
                <w:color w:val="000000"/>
                <w:szCs w:val="22"/>
              </w:rPr>
            </w:pPr>
            <w:r w:rsidRPr="002F7364">
              <w:rPr>
                <w:rFonts w:cs="Calibri"/>
                <w:color w:val="000000"/>
                <w:szCs w:val="22"/>
              </w:rPr>
              <w:t>Heart of Texas</w:t>
            </w:r>
          </w:p>
        </w:tc>
        <w:tc>
          <w:tcPr>
            <w:tcW w:w="450" w:type="dxa"/>
            <w:tcBorders>
              <w:top w:val="nil"/>
              <w:left w:val="nil"/>
              <w:bottom w:val="single" w:sz="4" w:space="0" w:color="auto"/>
              <w:right w:val="single" w:sz="8" w:space="0" w:color="auto"/>
            </w:tcBorders>
            <w:shd w:val="clear" w:color="auto" w:fill="auto"/>
            <w:noWrap/>
            <w:vAlign w:val="center"/>
            <w:hideMark/>
          </w:tcPr>
          <w:p w14:paraId="2D4C140E" w14:textId="77777777" w:rsidR="003901B7" w:rsidRPr="002F7364" w:rsidRDefault="003901B7" w:rsidP="002F7364">
            <w:pPr>
              <w:jc w:val="center"/>
              <w:rPr>
                <w:rFonts w:cs="Calibri"/>
                <w:szCs w:val="22"/>
              </w:rPr>
            </w:pPr>
            <w:r w:rsidRPr="002F7364">
              <w:rPr>
                <w:rFonts w:cs="Calibri"/>
                <w:szCs w:val="22"/>
              </w:rPr>
              <w:t>13</w:t>
            </w:r>
          </w:p>
        </w:tc>
        <w:tc>
          <w:tcPr>
            <w:tcW w:w="1260" w:type="dxa"/>
            <w:tcBorders>
              <w:top w:val="nil"/>
              <w:left w:val="single" w:sz="4" w:space="0" w:color="auto"/>
              <w:bottom w:val="single" w:sz="4" w:space="0" w:color="auto"/>
              <w:right w:val="nil"/>
            </w:tcBorders>
            <w:shd w:val="clear" w:color="auto" w:fill="auto"/>
            <w:noWrap/>
            <w:vAlign w:val="bottom"/>
            <w:hideMark/>
          </w:tcPr>
          <w:p w14:paraId="5AAA35E0" w14:textId="43E7C047" w:rsidR="003901B7" w:rsidRPr="002F7364" w:rsidRDefault="003901B7" w:rsidP="002F7364">
            <w:pPr>
              <w:jc w:val="center"/>
              <w:rPr>
                <w:rFonts w:cs="Calibri"/>
                <w:color w:val="000000"/>
                <w:szCs w:val="22"/>
              </w:rPr>
            </w:pPr>
            <w:r w:rsidRPr="002F7364">
              <w:rPr>
                <w:rFonts w:cs="Calibri"/>
                <w:color w:val="000000"/>
                <w:szCs w:val="22"/>
              </w:rPr>
              <w:t>$1.69</w:t>
            </w:r>
          </w:p>
        </w:tc>
        <w:tc>
          <w:tcPr>
            <w:tcW w:w="1350" w:type="dxa"/>
            <w:tcBorders>
              <w:top w:val="nil"/>
              <w:left w:val="single" w:sz="4" w:space="0" w:color="auto"/>
              <w:bottom w:val="single" w:sz="4" w:space="0" w:color="auto"/>
              <w:right w:val="nil"/>
            </w:tcBorders>
            <w:shd w:val="clear" w:color="auto" w:fill="auto"/>
            <w:noWrap/>
            <w:vAlign w:val="bottom"/>
            <w:hideMark/>
          </w:tcPr>
          <w:p w14:paraId="4EE1B594" w14:textId="2CC834CB" w:rsidR="003901B7" w:rsidRPr="002F7364" w:rsidRDefault="003901B7" w:rsidP="002F7364">
            <w:pPr>
              <w:jc w:val="center"/>
              <w:rPr>
                <w:rFonts w:cs="Calibri"/>
                <w:color w:val="000000"/>
                <w:szCs w:val="22"/>
              </w:rPr>
            </w:pPr>
            <w:r w:rsidRPr="002F7364">
              <w:rPr>
                <w:rFonts w:cs="Calibri"/>
                <w:color w:val="000000"/>
                <w:szCs w:val="22"/>
              </w:rPr>
              <w:t>$19.40</w:t>
            </w:r>
          </w:p>
        </w:tc>
        <w:tc>
          <w:tcPr>
            <w:tcW w:w="1440" w:type="dxa"/>
            <w:tcBorders>
              <w:top w:val="nil"/>
              <w:left w:val="single" w:sz="4" w:space="0" w:color="auto"/>
              <w:bottom w:val="single" w:sz="4" w:space="0" w:color="auto"/>
              <w:right w:val="nil"/>
            </w:tcBorders>
            <w:shd w:val="clear" w:color="auto" w:fill="auto"/>
            <w:noWrap/>
            <w:vAlign w:val="bottom"/>
            <w:hideMark/>
          </w:tcPr>
          <w:p w14:paraId="50B8BA05" w14:textId="179E10C9" w:rsidR="003901B7" w:rsidRPr="002F7364" w:rsidRDefault="003901B7" w:rsidP="002F7364">
            <w:pPr>
              <w:jc w:val="center"/>
              <w:rPr>
                <w:rFonts w:cs="Calibri"/>
                <w:color w:val="000000"/>
                <w:szCs w:val="22"/>
              </w:rPr>
            </w:pPr>
            <w:r w:rsidRPr="002F7364">
              <w:rPr>
                <w:rFonts w:cs="Calibri"/>
                <w:color w:val="000000"/>
                <w:szCs w:val="22"/>
              </w:rPr>
              <w:t>$15.29</w:t>
            </w:r>
          </w:p>
        </w:tc>
        <w:tc>
          <w:tcPr>
            <w:tcW w:w="1260" w:type="dxa"/>
            <w:tcBorders>
              <w:top w:val="nil"/>
              <w:left w:val="single" w:sz="4" w:space="0" w:color="auto"/>
              <w:bottom w:val="single" w:sz="4" w:space="0" w:color="auto"/>
              <w:right w:val="nil"/>
            </w:tcBorders>
            <w:shd w:val="clear" w:color="auto" w:fill="auto"/>
            <w:noWrap/>
            <w:vAlign w:val="bottom"/>
            <w:hideMark/>
          </w:tcPr>
          <w:p w14:paraId="59C531B9" w14:textId="77777777" w:rsidR="003901B7" w:rsidRPr="002F7364" w:rsidRDefault="003901B7" w:rsidP="002F7364">
            <w:pPr>
              <w:jc w:val="center"/>
              <w:rPr>
                <w:rFonts w:cs="Calibri"/>
                <w:color w:val="000000"/>
                <w:szCs w:val="22"/>
              </w:rPr>
            </w:pPr>
            <w:r w:rsidRPr="002F7364">
              <w:rPr>
                <w:rFonts w:cs="Calibri"/>
                <w:color w:val="000000"/>
                <w:szCs w:val="22"/>
              </w:rPr>
              <w:t>238</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7D117339" w14:textId="25F6BBF9" w:rsidR="003901B7" w:rsidRPr="002F7364" w:rsidRDefault="003901B7" w:rsidP="002F7364">
            <w:pPr>
              <w:jc w:val="center"/>
              <w:rPr>
                <w:rFonts w:cs="Calibri"/>
                <w:color w:val="000000"/>
                <w:szCs w:val="22"/>
              </w:rPr>
            </w:pPr>
            <w:r w:rsidRPr="002F7364">
              <w:rPr>
                <w:rFonts w:cs="Calibri"/>
                <w:color w:val="000000"/>
                <w:szCs w:val="22"/>
              </w:rPr>
              <w:t>$1,315,114</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217E5CED" w14:textId="059607D7" w:rsidR="003901B7" w:rsidRPr="002F7364" w:rsidRDefault="003901B7" w:rsidP="002F7364">
            <w:pPr>
              <w:jc w:val="center"/>
              <w:rPr>
                <w:rFonts w:cs="Calibri"/>
                <w:color w:val="000000"/>
                <w:szCs w:val="22"/>
              </w:rPr>
            </w:pPr>
            <w:r w:rsidRPr="002F7364">
              <w:rPr>
                <w:rFonts w:cs="Calibri"/>
                <w:color w:val="000000"/>
                <w:szCs w:val="22"/>
              </w:rPr>
              <w:t>$7,800,731</w:t>
            </w:r>
          </w:p>
        </w:tc>
        <w:tc>
          <w:tcPr>
            <w:tcW w:w="1530" w:type="dxa"/>
            <w:tcBorders>
              <w:top w:val="nil"/>
              <w:left w:val="single" w:sz="4" w:space="0" w:color="auto"/>
              <w:bottom w:val="single" w:sz="4" w:space="0" w:color="auto"/>
              <w:right w:val="nil"/>
            </w:tcBorders>
            <w:shd w:val="clear" w:color="auto" w:fill="auto"/>
            <w:noWrap/>
            <w:vAlign w:val="bottom"/>
            <w:hideMark/>
          </w:tcPr>
          <w:p w14:paraId="07BFB676" w14:textId="77777777" w:rsidR="003901B7" w:rsidRPr="002F7364" w:rsidRDefault="003901B7" w:rsidP="002F7364">
            <w:pPr>
              <w:jc w:val="center"/>
              <w:rPr>
                <w:rFonts w:cs="Calibri"/>
                <w:color w:val="000000"/>
                <w:szCs w:val="22"/>
              </w:rPr>
            </w:pPr>
            <w:r w:rsidRPr="002F7364">
              <w:rPr>
                <w:rFonts w:cs="Calibri"/>
                <w:color w:val="000000"/>
                <w:szCs w:val="22"/>
              </w:rPr>
              <w:t>1,753</w:t>
            </w:r>
          </w:p>
        </w:tc>
        <w:tc>
          <w:tcPr>
            <w:tcW w:w="2160" w:type="dxa"/>
            <w:tcBorders>
              <w:top w:val="nil"/>
              <w:left w:val="single" w:sz="4" w:space="0" w:color="auto"/>
              <w:bottom w:val="single" w:sz="4" w:space="0" w:color="auto"/>
              <w:right w:val="single" w:sz="8" w:space="0" w:color="auto"/>
            </w:tcBorders>
            <w:shd w:val="clear" w:color="000000" w:fill="C6E0B4"/>
            <w:noWrap/>
            <w:vAlign w:val="bottom"/>
            <w:hideMark/>
          </w:tcPr>
          <w:p w14:paraId="60C76F7B" w14:textId="77777777" w:rsidR="003901B7" w:rsidRPr="002F7364" w:rsidRDefault="003901B7" w:rsidP="002F7364">
            <w:pPr>
              <w:jc w:val="center"/>
              <w:rPr>
                <w:rFonts w:cs="Calibri"/>
                <w:color w:val="000000"/>
                <w:szCs w:val="22"/>
              </w:rPr>
            </w:pPr>
            <w:r w:rsidRPr="002F7364">
              <w:rPr>
                <w:rFonts w:cs="Calibri"/>
                <w:color w:val="000000"/>
                <w:szCs w:val="22"/>
              </w:rPr>
              <w:t>1,991</w:t>
            </w:r>
          </w:p>
        </w:tc>
      </w:tr>
      <w:tr w:rsidR="003901B7" w:rsidRPr="002F7364" w14:paraId="6BD8C285" w14:textId="77777777" w:rsidTr="006317C3">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29FE3892" w14:textId="77777777" w:rsidR="003901B7" w:rsidRPr="002F7364" w:rsidRDefault="003901B7" w:rsidP="002F7364">
            <w:pPr>
              <w:rPr>
                <w:rFonts w:cs="Calibri"/>
                <w:color w:val="000000"/>
                <w:szCs w:val="22"/>
              </w:rPr>
            </w:pPr>
            <w:r w:rsidRPr="002F7364">
              <w:rPr>
                <w:rFonts w:cs="Calibri"/>
                <w:color w:val="000000"/>
                <w:szCs w:val="22"/>
              </w:rPr>
              <w:t>Capital Area</w:t>
            </w:r>
          </w:p>
        </w:tc>
        <w:tc>
          <w:tcPr>
            <w:tcW w:w="450" w:type="dxa"/>
            <w:tcBorders>
              <w:top w:val="nil"/>
              <w:left w:val="nil"/>
              <w:bottom w:val="single" w:sz="4" w:space="0" w:color="auto"/>
              <w:right w:val="single" w:sz="8" w:space="0" w:color="auto"/>
            </w:tcBorders>
            <w:shd w:val="clear" w:color="auto" w:fill="auto"/>
            <w:noWrap/>
            <w:vAlign w:val="center"/>
            <w:hideMark/>
          </w:tcPr>
          <w:p w14:paraId="18CCFFB3" w14:textId="77777777" w:rsidR="003901B7" w:rsidRPr="002F7364" w:rsidRDefault="003901B7" w:rsidP="002F7364">
            <w:pPr>
              <w:jc w:val="center"/>
              <w:rPr>
                <w:rFonts w:cs="Calibri"/>
                <w:szCs w:val="22"/>
              </w:rPr>
            </w:pPr>
            <w:r w:rsidRPr="002F7364">
              <w:rPr>
                <w:rFonts w:cs="Calibri"/>
                <w:szCs w:val="22"/>
              </w:rPr>
              <w:t>14</w:t>
            </w:r>
          </w:p>
        </w:tc>
        <w:tc>
          <w:tcPr>
            <w:tcW w:w="1260" w:type="dxa"/>
            <w:tcBorders>
              <w:top w:val="nil"/>
              <w:left w:val="single" w:sz="4" w:space="0" w:color="auto"/>
              <w:bottom w:val="single" w:sz="4" w:space="0" w:color="auto"/>
              <w:right w:val="nil"/>
            </w:tcBorders>
            <w:shd w:val="clear" w:color="auto" w:fill="auto"/>
            <w:noWrap/>
            <w:vAlign w:val="bottom"/>
            <w:hideMark/>
          </w:tcPr>
          <w:p w14:paraId="0B7A3485" w14:textId="67B78869" w:rsidR="003901B7" w:rsidRPr="002F7364" w:rsidRDefault="003901B7" w:rsidP="002F7364">
            <w:pPr>
              <w:jc w:val="center"/>
              <w:rPr>
                <w:rFonts w:cs="Calibri"/>
                <w:color w:val="000000"/>
                <w:szCs w:val="22"/>
              </w:rPr>
            </w:pPr>
            <w:r w:rsidRPr="002F7364">
              <w:rPr>
                <w:rFonts w:cs="Calibri"/>
                <w:color w:val="000000"/>
                <w:szCs w:val="22"/>
              </w:rPr>
              <w:t>$3.23</w:t>
            </w:r>
          </w:p>
        </w:tc>
        <w:tc>
          <w:tcPr>
            <w:tcW w:w="1350" w:type="dxa"/>
            <w:tcBorders>
              <w:top w:val="nil"/>
              <w:left w:val="single" w:sz="4" w:space="0" w:color="auto"/>
              <w:bottom w:val="single" w:sz="4" w:space="0" w:color="auto"/>
              <w:right w:val="nil"/>
            </w:tcBorders>
            <w:shd w:val="clear" w:color="auto" w:fill="auto"/>
            <w:noWrap/>
            <w:vAlign w:val="bottom"/>
            <w:hideMark/>
          </w:tcPr>
          <w:p w14:paraId="6A3D9886" w14:textId="06F92506" w:rsidR="003901B7" w:rsidRPr="002F7364" w:rsidRDefault="003901B7" w:rsidP="002F7364">
            <w:pPr>
              <w:jc w:val="center"/>
              <w:rPr>
                <w:rFonts w:cs="Calibri"/>
                <w:color w:val="000000"/>
                <w:szCs w:val="22"/>
              </w:rPr>
            </w:pPr>
            <w:r w:rsidRPr="002F7364">
              <w:rPr>
                <w:rFonts w:cs="Calibri"/>
                <w:color w:val="000000"/>
                <w:szCs w:val="22"/>
              </w:rPr>
              <w:t>$32.87</w:t>
            </w:r>
          </w:p>
        </w:tc>
        <w:tc>
          <w:tcPr>
            <w:tcW w:w="1440" w:type="dxa"/>
            <w:tcBorders>
              <w:top w:val="nil"/>
              <w:left w:val="single" w:sz="4" w:space="0" w:color="auto"/>
              <w:bottom w:val="single" w:sz="4" w:space="0" w:color="auto"/>
              <w:right w:val="nil"/>
            </w:tcBorders>
            <w:shd w:val="clear" w:color="auto" w:fill="auto"/>
            <w:noWrap/>
            <w:vAlign w:val="bottom"/>
            <w:hideMark/>
          </w:tcPr>
          <w:p w14:paraId="7CBEC341" w14:textId="1F0E1AD8" w:rsidR="003901B7" w:rsidRPr="002F7364" w:rsidRDefault="003901B7" w:rsidP="002F7364">
            <w:pPr>
              <w:jc w:val="center"/>
              <w:rPr>
                <w:rFonts w:cs="Calibri"/>
                <w:color w:val="000000"/>
                <w:szCs w:val="22"/>
              </w:rPr>
            </w:pPr>
            <w:r w:rsidRPr="002F7364">
              <w:rPr>
                <w:rFonts w:cs="Calibri"/>
                <w:color w:val="000000"/>
                <w:szCs w:val="22"/>
              </w:rPr>
              <w:t>$26.49</w:t>
            </w:r>
          </w:p>
        </w:tc>
        <w:tc>
          <w:tcPr>
            <w:tcW w:w="1260" w:type="dxa"/>
            <w:tcBorders>
              <w:top w:val="nil"/>
              <w:left w:val="single" w:sz="4" w:space="0" w:color="auto"/>
              <w:bottom w:val="single" w:sz="4" w:space="0" w:color="auto"/>
              <w:right w:val="nil"/>
            </w:tcBorders>
            <w:shd w:val="clear" w:color="auto" w:fill="auto"/>
            <w:noWrap/>
            <w:vAlign w:val="bottom"/>
            <w:hideMark/>
          </w:tcPr>
          <w:p w14:paraId="3D5588AD" w14:textId="77777777" w:rsidR="003901B7" w:rsidRPr="002F7364" w:rsidRDefault="003901B7" w:rsidP="002F7364">
            <w:pPr>
              <w:jc w:val="center"/>
              <w:rPr>
                <w:rFonts w:cs="Calibri"/>
                <w:color w:val="000000"/>
                <w:szCs w:val="22"/>
              </w:rPr>
            </w:pPr>
            <w:r w:rsidRPr="002F7364">
              <w:rPr>
                <w:rFonts w:cs="Calibri"/>
                <w:color w:val="000000"/>
                <w:szCs w:val="22"/>
              </w:rPr>
              <w:t>356</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15693CA0" w14:textId="7B2884C4" w:rsidR="003901B7" w:rsidRPr="002F7364" w:rsidRDefault="003901B7" w:rsidP="002F7364">
            <w:pPr>
              <w:jc w:val="center"/>
              <w:rPr>
                <w:rFonts w:cs="Calibri"/>
                <w:color w:val="000000"/>
                <w:szCs w:val="22"/>
              </w:rPr>
            </w:pPr>
            <w:r w:rsidRPr="002F7364">
              <w:rPr>
                <w:rFonts w:cs="Calibri"/>
                <w:color w:val="000000"/>
                <w:szCs w:val="22"/>
              </w:rPr>
              <w:t>$3,366,759</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01478F8F" w14:textId="5C7A4B29" w:rsidR="003901B7" w:rsidRPr="002F7364" w:rsidRDefault="003901B7" w:rsidP="002F7364">
            <w:pPr>
              <w:jc w:val="center"/>
              <w:rPr>
                <w:rFonts w:cs="Calibri"/>
                <w:color w:val="000000"/>
                <w:szCs w:val="22"/>
              </w:rPr>
            </w:pPr>
            <w:r w:rsidRPr="002F7364">
              <w:rPr>
                <w:rFonts w:cs="Calibri"/>
                <w:color w:val="000000"/>
                <w:szCs w:val="22"/>
              </w:rPr>
              <w:t>$19,377,449</w:t>
            </w:r>
          </w:p>
        </w:tc>
        <w:tc>
          <w:tcPr>
            <w:tcW w:w="1530" w:type="dxa"/>
            <w:tcBorders>
              <w:top w:val="nil"/>
              <w:left w:val="single" w:sz="4" w:space="0" w:color="auto"/>
              <w:bottom w:val="single" w:sz="4" w:space="0" w:color="auto"/>
              <w:right w:val="nil"/>
            </w:tcBorders>
            <w:shd w:val="clear" w:color="auto" w:fill="auto"/>
            <w:noWrap/>
            <w:vAlign w:val="bottom"/>
            <w:hideMark/>
          </w:tcPr>
          <w:p w14:paraId="315B14BA" w14:textId="77777777" w:rsidR="003901B7" w:rsidRPr="002F7364" w:rsidRDefault="003901B7" w:rsidP="002F7364">
            <w:pPr>
              <w:jc w:val="center"/>
              <w:rPr>
                <w:rFonts w:cs="Calibri"/>
                <w:color w:val="000000"/>
                <w:szCs w:val="22"/>
              </w:rPr>
            </w:pPr>
            <w:r w:rsidRPr="002F7364">
              <w:rPr>
                <w:rFonts w:cs="Calibri"/>
                <w:color w:val="000000"/>
                <w:szCs w:val="22"/>
              </w:rPr>
              <w:t>2,489</w:t>
            </w:r>
          </w:p>
        </w:tc>
        <w:tc>
          <w:tcPr>
            <w:tcW w:w="2160" w:type="dxa"/>
            <w:tcBorders>
              <w:top w:val="nil"/>
              <w:left w:val="single" w:sz="4" w:space="0" w:color="auto"/>
              <w:bottom w:val="single" w:sz="4" w:space="0" w:color="auto"/>
              <w:right w:val="single" w:sz="8" w:space="0" w:color="auto"/>
            </w:tcBorders>
            <w:shd w:val="clear" w:color="000000" w:fill="C6E0B4"/>
            <w:noWrap/>
            <w:vAlign w:val="bottom"/>
            <w:hideMark/>
          </w:tcPr>
          <w:p w14:paraId="0E36EAC2" w14:textId="77777777" w:rsidR="003901B7" w:rsidRPr="002F7364" w:rsidRDefault="003901B7" w:rsidP="002F7364">
            <w:pPr>
              <w:jc w:val="center"/>
              <w:rPr>
                <w:rFonts w:cs="Calibri"/>
                <w:color w:val="000000"/>
                <w:szCs w:val="22"/>
              </w:rPr>
            </w:pPr>
            <w:r w:rsidRPr="002F7364">
              <w:rPr>
                <w:rFonts w:cs="Calibri"/>
                <w:color w:val="000000"/>
                <w:szCs w:val="22"/>
              </w:rPr>
              <w:t>2,845</w:t>
            </w:r>
          </w:p>
        </w:tc>
      </w:tr>
      <w:tr w:rsidR="003901B7" w:rsidRPr="002F7364" w14:paraId="175ADC7B" w14:textId="77777777" w:rsidTr="006317C3">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75AB46B0" w14:textId="77777777" w:rsidR="003901B7" w:rsidRPr="002F7364" w:rsidRDefault="003901B7" w:rsidP="002F7364">
            <w:pPr>
              <w:rPr>
                <w:rFonts w:cs="Calibri"/>
                <w:color w:val="000000"/>
                <w:szCs w:val="22"/>
              </w:rPr>
            </w:pPr>
            <w:r w:rsidRPr="002F7364">
              <w:rPr>
                <w:rFonts w:cs="Calibri"/>
                <w:color w:val="000000"/>
                <w:szCs w:val="22"/>
              </w:rPr>
              <w:t>Rural Capital</w:t>
            </w:r>
          </w:p>
        </w:tc>
        <w:tc>
          <w:tcPr>
            <w:tcW w:w="450" w:type="dxa"/>
            <w:tcBorders>
              <w:top w:val="nil"/>
              <w:left w:val="nil"/>
              <w:bottom w:val="single" w:sz="4" w:space="0" w:color="auto"/>
              <w:right w:val="single" w:sz="8" w:space="0" w:color="auto"/>
            </w:tcBorders>
            <w:shd w:val="clear" w:color="auto" w:fill="auto"/>
            <w:noWrap/>
            <w:vAlign w:val="center"/>
            <w:hideMark/>
          </w:tcPr>
          <w:p w14:paraId="46C3B26B" w14:textId="77777777" w:rsidR="003901B7" w:rsidRPr="002F7364" w:rsidRDefault="003901B7" w:rsidP="002F7364">
            <w:pPr>
              <w:jc w:val="center"/>
              <w:rPr>
                <w:rFonts w:cs="Calibri"/>
                <w:szCs w:val="22"/>
              </w:rPr>
            </w:pPr>
            <w:r w:rsidRPr="002F7364">
              <w:rPr>
                <w:rFonts w:cs="Calibri"/>
                <w:szCs w:val="22"/>
              </w:rPr>
              <w:t>15</w:t>
            </w:r>
          </w:p>
        </w:tc>
        <w:tc>
          <w:tcPr>
            <w:tcW w:w="1260" w:type="dxa"/>
            <w:tcBorders>
              <w:top w:val="nil"/>
              <w:left w:val="single" w:sz="4" w:space="0" w:color="auto"/>
              <w:bottom w:val="single" w:sz="4" w:space="0" w:color="auto"/>
              <w:right w:val="nil"/>
            </w:tcBorders>
            <w:shd w:val="clear" w:color="auto" w:fill="auto"/>
            <w:noWrap/>
            <w:vAlign w:val="bottom"/>
            <w:hideMark/>
          </w:tcPr>
          <w:p w14:paraId="5CA07CAD" w14:textId="5AA25CC1" w:rsidR="003901B7" w:rsidRPr="002F7364" w:rsidRDefault="003901B7" w:rsidP="002F7364">
            <w:pPr>
              <w:jc w:val="center"/>
              <w:rPr>
                <w:rFonts w:cs="Calibri"/>
                <w:color w:val="000000"/>
                <w:szCs w:val="22"/>
              </w:rPr>
            </w:pPr>
            <w:r w:rsidRPr="002F7364">
              <w:rPr>
                <w:rFonts w:cs="Calibri"/>
                <w:color w:val="000000"/>
                <w:szCs w:val="22"/>
              </w:rPr>
              <w:t>$2.34</w:t>
            </w:r>
          </w:p>
        </w:tc>
        <w:tc>
          <w:tcPr>
            <w:tcW w:w="1350" w:type="dxa"/>
            <w:tcBorders>
              <w:top w:val="nil"/>
              <w:left w:val="single" w:sz="4" w:space="0" w:color="auto"/>
              <w:bottom w:val="single" w:sz="4" w:space="0" w:color="auto"/>
              <w:right w:val="nil"/>
            </w:tcBorders>
            <w:shd w:val="clear" w:color="auto" w:fill="auto"/>
            <w:noWrap/>
            <w:vAlign w:val="bottom"/>
            <w:hideMark/>
          </w:tcPr>
          <w:p w14:paraId="13DBCF78" w14:textId="21CD316E" w:rsidR="003901B7" w:rsidRPr="002F7364" w:rsidRDefault="003901B7" w:rsidP="002F7364">
            <w:pPr>
              <w:jc w:val="center"/>
              <w:rPr>
                <w:rFonts w:cs="Calibri"/>
                <w:color w:val="000000"/>
                <w:szCs w:val="22"/>
              </w:rPr>
            </w:pPr>
            <w:r w:rsidRPr="002F7364">
              <w:rPr>
                <w:rFonts w:cs="Calibri"/>
                <w:color w:val="000000"/>
                <w:szCs w:val="22"/>
              </w:rPr>
              <w:t>$28.18</w:t>
            </w:r>
          </w:p>
        </w:tc>
        <w:tc>
          <w:tcPr>
            <w:tcW w:w="1440" w:type="dxa"/>
            <w:tcBorders>
              <w:top w:val="nil"/>
              <w:left w:val="single" w:sz="4" w:space="0" w:color="auto"/>
              <w:bottom w:val="single" w:sz="4" w:space="0" w:color="auto"/>
              <w:right w:val="nil"/>
            </w:tcBorders>
            <w:shd w:val="clear" w:color="auto" w:fill="auto"/>
            <w:noWrap/>
            <w:vAlign w:val="bottom"/>
            <w:hideMark/>
          </w:tcPr>
          <w:p w14:paraId="4F506078" w14:textId="57EE1037" w:rsidR="003901B7" w:rsidRPr="002F7364" w:rsidRDefault="003901B7" w:rsidP="002F7364">
            <w:pPr>
              <w:jc w:val="center"/>
              <w:rPr>
                <w:rFonts w:cs="Calibri"/>
                <w:color w:val="000000"/>
                <w:szCs w:val="22"/>
              </w:rPr>
            </w:pPr>
            <w:r w:rsidRPr="002F7364">
              <w:rPr>
                <w:rFonts w:cs="Calibri"/>
                <w:color w:val="000000"/>
                <w:szCs w:val="22"/>
              </w:rPr>
              <w:t>$21.71</w:t>
            </w:r>
          </w:p>
        </w:tc>
        <w:tc>
          <w:tcPr>
            <w:tcW w:w="1260" w:type="dxa"/>
            <w:tcBorders>
              <w:top w:val="nil"/>
              <w:left w:val="single" w:sz="4" w:space="0" w:color="auto"/>
              <w:bottom w:val="single" w:sz="4" w:space="0" w:color="auto"/>
              <w:right w:val="nil"/>
            </w:tcBorders>
            <w:shd w:val="clear" w:color="auto" w:fill="auto"/>
            <w:noWrap/>
            <w:vAlign w:val="bottom"/>
            <w:hideMark/>
          </w:tcPr>
          <w:p w14:paraId="5991B342" w14:textId="77777777" w:rsidR="003901B7" w:rsidRPr="002F7364" w:rsidRDefault="003901B7" w:rsidP="002F7364">
            <w:pPr>
              <w:jc w:val="center"/>
              <w:rPr>
                <w:rFonts w:cs="Calibri"/>
                <w:color w:val="000000"/>
                <w:szCs w:val="22"/>
              </w:rPr>
            </w:pPr>
            <w:r w:rsidRPr="002F7364">
              <w:rPr>
                <w:rFonts w:cs="Calibri"/>
                <w:color w:val="000000"/>
                <w:szCs w:val="22"/>
              </w:rPr>
              <w:t>337</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4596D8BF" w14:textId="62F10437" w:rsidR="003901B7" w:rsidRPr="002F7364" w:rsidRDefault="003901B7" w:rsidP="002F7364">
            <w:pPr>
              <w:jc w:val="center"/>
              <w:rPr>
                <w:rFonts w:cs="Calibri"/>
                <w:color w:val="000000"/>
                <w:szCs w:val="22"/>
              </w:rPr>
            </w:pPr>
            <w:r w:rsidRPr="002F7364">
              <w:rPr>
                <w:rFonts w:cs="Calibri"/>
                <w:color w:val="000000"/>
                <w:szCs w:val="22"/>
              </w:rPr>
              <w:t>$2,694,665</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4705F532" w14:textId="533BA3F2" w:rsidR="003901B7" w:rsidRPr="002F7364" w:rsidRDefault="003901B7" w:rsidP="002F7364">
            <w:pPr>
              <w:jc w:val="center"/>
              <w:rPr>
                <w:rFonts w:cs="Calibri"/>
                <w:color w:val="000000"/>
                <w:szCs w:val="22"/>
              </w:rPr>
            </w:pPr>
            <w:r w:rsidRPr="002F7364">
              <w:rPr>
                <w:rFonts w:cs="Calibri"/>
                <w:color w:val="000000"/>
                <w:szCs w:val="22"/>
              </w:rPr>
              <w:t>$13,420,723</w:t>
            </w:r>
          </w:p>
        </w:tc>
        <w:tc>
          <w:tcPr>
            <w:tcW w:w="1530" w:type="dxa"/>
            <w:tcBorders>
              <w:top w:val="nil"/>
              <w:left w:val="single" w:sz="4" w:space="0" w:color="auto"/>
              <w:bottom w:val="single" w:sz="4" w:space="0" w:color="auto"/>
              <w:right w:val="nil"/>
            </w:tcBorders>
            <w:shd w:val="clear" w:color="auto" w:fill="auto"/>
            <w:noWrap/>
            <w:vAlign w:val="bottom"/>
            <w:hideMark/>
          </w:tcPr>
          <w:p w14:paraId="4A9C68E3" w14:textId="77777777" w:rsidR="003901B7" w:rsidRPr="002F7364" w:rsidRDefault="003901B7" w:rsidP="002F7364">
            <w:pPr>
              <w:jc w:val="center"/>
              <w:rPr>
                <w:rFonts w:cs="Calibri"/>
                <w:color w:val="000000"/>
                <w:szCs w:val="22"/>
              </w:rPr>
            </w:pPr>
            <w:r w:rsidRPr="002F7364">
              <w:rPr>
                <w:rFonts w:cs="Calibri"/>
                <w:color w:val="000000"/>
                <w:szCs w:val="22"/>
              </w:rPr>
              <w:t>2,130</w:t>
            </w:r>
          </w:p>
        </w:tc>
        <w:tc>
          <w:tcPr>
            <w:tcW w:w="2160" w:type="dxa"/>
            <w:tcBorders>
              <w:top w:val="nil"/>
              <w:left w:val="single" w:sz="4" w:space="0" w:color="auto"/>
              <w:bottom w:val="single" w:sz="4" w:space="0" w:color="auto"/>
              <w:right w:val="single" w:sz="8" w:space="0" w:color="auto"/>
            </w:tcBorders>
            <w:shd w:val="clear" w:color="000000" w:fill="C6E0B4"/>
            <w:noWrap/>
            <w:vAlign w:val="bottom"/>
            <w:hideMark/>
          </w:tcPr>
          <w:p w14:paraId="6D70B19E" w14:textId="77777777" w:rsidR="003901B7" w:rsidRPr="002F7364" w:rsidRDefault="003901B7" w:rsidP="002F7364">
            <w:pPr>
              <w:jc w:val="center"/>
              <w:rPr>
                <w:rFonts w:cs="Calibri"/>
                <w:color w:val="000000"/>
                <w:szCs w:val="22"/>
              </w:rPr>
            </w:pPr>
            <w:r w:rsidRPr="002F7364">
              <w:rPr>
                <w:rFonts w:cs="Calibri"/>
                <w:color w:val="000000"/>
                <w:szCs w:val="22"/>
              </w:rPr>
              <w:t>2,467</w:t>
            </w:r>
          </w:p>
        </w:tc>
      </w:tr>
      <w:tr w:rsidR="003901B7" w:rsidRPr="002F7364" w14:paraId="1B467AF3" w14:textId="77777777" w:rsidTr="006317C3">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13C92BAF" w14:textId="77777777" w:rsidR="003901B7" w:rsidRPr="002F7364" w:rsidRDefault="003901B7" w:rsidP="002F7364">
            <w:pPr>
              <w:rPr>
                <w:rFonts w:cs="Calibri"/>
                <w:color w:val="000000"/>
                <w:szCs w:val="22"/>
              </w:rPr>
            </w:pPr>
            <w:r w:rsidRPr="002F7364">
              <w:rPr>
                <w:rFonts w:cs="Calibri"/>
                <w:color w:val="000000"/>
                <w:szCs w:val="22"/>
              </w:rPr>
              <w:t>Brazos Valley</w:t>
            </w:r>
          </w:p>
        </w:tc>
        <w:tc>
          <w:tcPr>
            <w:tcW w:w="450" w:type="dxa"/>
            <w:tcBorders>
              <w:top w:val="nil"/>
              <w:left w:val="nil"/>
              <w:bottom w:val="single" w:sz="4" w:space="0" w:color="auto"/>
              <w:right w:val="single" w:sz="8" w:space="0" w:color="auto"/>
            </w:tcBorders>
            <w:shd w:val="clear" w:color="auto" w:fill="auto"/>
            <w:noWrap/>
            <w:vAlign w:val="center"/>
            <w:hideMark/>
          </w:tcPr>
          <w:p w14:paraId="279D999D" w14:textId="77777777" w:rsidR="003901B7" w:rsidRPr="002F7364" w:rsidRDefault="003901B7" w:rsidP="002F7364">
            <w:pPr>
              <w:jc w:val="center"/>
              <w:rPr>
                <w:rFonts w:cs="Calibri"/>
                <w:szCs w:val="22"/>
              </w:rPr>
            </w:pPr>
            <w:r w:rsidRPr="002F7364">
              <w:rPr>
                <w:rFonts w:cs="Calibri"/>
                <w:szCs w:val="22"/>
              </w:rPr>
              <w:t>16</w:t>
            </w:r>
          </w:p>
        </w:tc>
        <w:tc>
          <w:tcPr>
            <w:tcW w:w="1260" w:type="dxa"/>
            <w:tcBorders>
              <w:top w:val="nil"/>
              <w:left w:val="single" w:sz="4" w:space="0" w:color="auto"/>
              <w:bottom w:val="single" w:sz="4" w:space="0" w:color="auto"/>
              <w:right w:val="nil"/>
            </w:tcBorders>
            <w:shd w:val="clear" w:color="auto" w:fill="auto"/>
            <w:noWrap/>
            <w:vAlign w:val="bottom"/>
            <w:hideMark/>
          </w:tcPr>
          <w:p w14:paraId="641AE8FC" w14:textId="320D5F52" w:rsidR="003901B7" w:rsidRPr="002F7364" w:rsidRDefault="003901B7" w:rsidP="002F7364">
            <w:pPr>
              <w:jc w:val="center"/>
              <w:rPr>
                <w:rFonts w:cs="Calibri"/>
                <w:color w:val="000000"/>
                <w:szCs w:val="22"/>
              </w:rPr>
            </w:pPr>
            <w:r w:rsidRPr="002F7364">
              <w:rPr>
                <w:rFonts w:cs="Calibri"/>
                <w:color w:val="000000"/>
                <w:szCs w:val="22"/>
              </w:rPr>
              <w:t>$3.06</w:t>
            </w:r>
          </w:p>
        </w:tc>
        <w:tc>
          <w:tcPr>
            <w:tcW w:w="1350" w:type="dxa"/>
            <w:tcBorders>
              <w:top w:val="nil"/>
              <w:left w:val="single" w:sz="4" w:space="0" w:color="auto"/>
              <w:bottom w:val="single" w:sz="4" w:space="0" w:color="auto"/>
              <w:right w:val="nil"/>
            </w:tcBorders>
            <w:shd w:val="clear" w:color="auto" w:fill="auto"/>
            <w:noWrap/>
            <w:vAlign w:val="bottom"/>
            <w:hideMark/>
          </w:tcPr>
          <w:p w14:paraId="7768FA4A" w14:textId="460E8F8D" w:rsidR="003901B7" w:rsidRPr="002F7364" w:rsidRDefault="003901B7" w:rsidP="002F7364">
            <w:pPr>
              <w:jc w:val="center"/>
              <w:rPr>
                <w:rFonts w:cs="Calibri"/>
                <w:color w:val="000000"/>
                <w:szCs w:val="22"/>
              </w:rPr>
            </w:pPr>
            <w:r w:rsidRPr="002F7364">
              <w:rPr>
                <w:rFonts w:cs="Calibri"/>
                <w:color w:val="000000"/>
                <w:szCs w:val="22"/>
              </w:rPr>
              <w:t>$24.45</w:t>
            </w:r>
          </w:p>
        </w:tc>
        <w:tc>
          <w:tcPr>
            <w:tcW w:w="1440" w:type="dxa"/>
            <w:tcBorders>
              <w:top w:val="nil"/>
              <w:left w:val="single" w:sz="4" w:space="0" w:color="auto"/>
              <w:bottom w:val="single" w:sz="4" w:space="0" w:color="auto"/>
              <w:right w:val="nil"/>
            </w:tcBorders>
            <w:shd w:val="clear" w:color="auto" w:fill="auto"/>
            <w:noWrap/>
            <w:vAlign w:val="bottom"/>
            <w:hideMark/>
          </w:tcPr>
          <w:p w14:paraId="6B3656F9" w14:textId="37A5E7FE" w:rsidR="003901B7" w:rsidRPr="002F7364" w:rsidRDefault="003901B7" w:rsidP="002F7364">
            <w:pPr>
              <w:jc w:val="center"/>
              <w:rPr>
                <w:rFonts w:cs="Calibri"/>
                <w:color w:val="000000"/>
                <w:szCs w:val="22"/>
              </w:rPr>
            </w:pPr>
            <w:r w:rsidRPr="002F7364">
              <w:rPr>
                <w:rFonts w:cs="Calibri"/>
                <w:color w:val="000000"/>
                <w:szCs w:val="22"/>
              </w:rPr>
              <w:t>$20.76</w:t>
            </w:r>
          </w:p>
        </w:tc>
        <w:tc>
          <w:tcPr>
            <w:tcW w:w="1260" w:type="dxa"/>
            <w:tcBorders>
              <w:top w:val="nil"/>
              <w:left w:val="single" w:sz="4" w:space="0" w:color="auto"/>
              <w:bottom w:val="single" w:sz="4" w:space="0" w:color="auto"/>
              <w:right w:val="nil"/>
            </w:tcBorders>
            <w:shd w:val="clear" w:color="auto" w:fill="auto"/>
            <w:noWrap/>
            <w:vAlign w:val="bottom"/>
            <w:hideMark/>
          </w:tcPr>
          <w:p w14:paraId="1EB38B5D" w14:textId="77777777" w:rsidR="003901B7" w:rsidRPr="002F7364" w:rsidRDefault="003901B7" w:rsidP="002F7364">
            <w:pPr>
              <w:jc w:val="center"/>
              <w:rPr>
                <w:rFonts w:cs="Calibri"/>
                <w:color w:val="000000"/>
                <w:szCs w:val="22"/>
              </w:rPr>
            </w:pPr>
            <w:r w:rsidRPr="002F7364">
              <w:rPr>
                <w:rFonts w:cs="Calibri"/>
                <w:color w:val="000000"/>
                <w:szCs w:val="22"/>
              </w:rPr>
              <w:t>136</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68F640D4" w14:textId="72C1D7F5" w:rsidR="003901B7" w:rsidRPr="002F7364" w:rsidRDefault="003901B7" w:rsidP="002F7364">
            <w:pPr>
              <w:jc w:val="center"/>
              <w:rPr>
                <w:rFonts w:cs="Calibri"/>
                <w:color w:val="000000"/>
                <w:szCs w:val="22"/>
              </w:rPr>
            </w:pPr>
            <w:r w:rsidRPr="002F7364">
              <w:rPr>
                <w:rFonts w:cs="Calibri"/>
                <w:color w:val="000000"/>
                <w:szCs w:val="22"/>
              </w:rPr>
              <w:t>$980,004</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4A22013F" w14:textId="1186C64C" w:rsidR="003901B7" w:rsidRPr="002F7364" w:rsidRDefault="003901B7" w:rsidP="002F7364">
            <w:pPr>
              <w:jc w:val="center"/>
              <w:rPr>
                <w:rFonts w:cs="Calibri"/>
                <w:color w:val="000000"/>
                <w:szCs w:val="22"/>
              </w:rPr>
            </w:pPr>
            <w:r w:rsidRPr="002F7364">
              <w:rPr>
                <w:rFonts w:cs="Calibri"/>
                <w:color w:val="000000"/>
                <w:szCs w:val="22"/>
              </w:rPr>
              <w:t>$6,568,779</w:t>
            </w:r>
          </w:p>
        </w:tc>
        <w:tc>
          <w:tcPr>
            <w:tcW w:w="1530" w:type="dxa"/>
            <w:tcBorders>
              <w:top w:val="nil"/>
              <w:left w:val="single" w:sz="4" w:space="0" w:color="auto"/>
              <w:bottom w:val="single" w:sz="4" w:space="0" w:color="auto"/>
              <w:right w:val="nil"/>
            </w:tcBorders>
            <w:shd w:val="clear" w:color="auto" w:fill="auto"/>
            <w:noWrap/>
            <w:vAlign w:val="bottom"/>
            <w:hideMark/>
          </w:tcPr>
          <w:p w14:paraId="1596ADDF" w14:textId="77777777" w:rsidR="003901B7" w:rsidRPr="002F7364" w:rsidRDefault="003901B7" w:rsidP="002F7364">
            <w:pPr>
              <w:jc w:val="center"/>
              <w:rPr>
                <w:rFonts w:cs="Calibri"/>
                <w:color w:val="000000"/>
                <w:szCs w:val="22"/>
              </w:rPr>
            </w:pPr>
            <w:r w:rsidRPr="002F7364">
              <w:rPr>
                <w:rFonts w:cs="Calibri"/>
                <w:color w:val="000000"/>
                <w:szCs w:val="22"/>
              </w:rPr>
              <w:t>1,053</w:t>
            </w:r>
          </w:p>
        </w:tc>
        <w:tc>
          <w:tcPr>
            <w:tcW w:w="2160" w:type="dxa"/>
            <w:tcBorders>
              <w:top w:val="nil"/>
              <w:left w:val="single" w:sz="4" w:space="0" w:color="auto"/>
              <w:bottom w:val="single" w:sz="4" w:space="0" w:color="auto"/>
              <w:right w:val="single" w:sz="8" w:space="0" w:color="auto"/>
            </w:tcBorders>
            <w:shd w:val="clear" w:color="000000" w:fill="C6E0B4"/>
            <w:noWrap/>
            <w:vAlign w:val="bottom"/>
            <w:hideMark/>
          </w:tcPr>
          <w:p w14:paraId="509911A3" w14:textId="77777777" w:rsidR="003901B7" w:rsidRPr="002F7364" w:rsidRDefault="003901B7" w:rsidP="002F7364">
            <w:pPr>
              <w:jc w:val="center"/>
              <w:rPr>
                <w:rFonts w:cs="Calibri"/>
                <w:color w:val="000000"/>
                <w:szCs w:val="22"/>
              </w:rPr>
            </w:pPr>
            <w:r w:rsidRPr="002F7364">
              <w:rPr>
                <w:rFonts w:cs="Calibri"/>
                <w:color w:val="000000"/>
                <w:szCs w:val="22"/>
              </w:rPr>
              <w:t>1,189</w:t>
            </w:r>
          </w:p>
        </w:tc>
      </w:tr>
      <w:tr w:rsidR="003901B7" w:rsidRPr="002F7364" w14:paraId="1E997C99" w14:textId="77777777" w:rsidTr="006317C3">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79E782DB" w14:textId="77777777" w:rsidR="003901B7" w:rsidRPr="002F7364" w:rsidRDefault="003901B7" w:rsidP="002F7364">
            <w:pPr>
              <w:rPr>
                <w:rFonts w:cs="Calibri"/>
                <w:color w:val="000000"/>
                <w:szCs w:val="22"/>
              </w:rPr>
            </w:pPr>
            <w:r w:rsidRPr="002F7364">
              <w:rPr>
                <w:rFonts w:cs="Calibri"/>
                <w:color w:val="000000"/>
                <w:szCs w:val="22"/>
              </w:rPr>
              <w:t>Deep East</w:t>
            </w:r>
          </w:p>
        </w:tc>
        <w:tc>
          <w:tcPr>
            <w:tcW w:w="450" w:type="dxa"/>
            <w:tcBorders>
              <w:top w:val="nil"/>
              <w:left w:val="nil"/>
              <w:bottom w:val="single" w:sz="4" w:space="0" w:color="auto"/>
              <w:right w:val="single" w:sz="8" w:space="0" w:color="auto"/>
            </w:tcBorders>
            <w:shd w:val="clear" w:color="auto" w:fill="auto"/>
            <w:noWrap/>
            <w:vAlign w:val="center"/>
            <w:hideMark/>
          </w:tcPr>
          <w:p w14:paraId="41940FCF" w14:textId="77777777" w:rsidR="003901B7" w:rsidRPr="002F7364" w:rsidRDefault="003901B7" w:rsidP="002F7364">
            <w:pPr>
              <w:jc w:val="center"/>
              <w:rPr>
                <w:rFonts w:cs="Calibri"/>
                <w:szCs w:val="22"/>
              </w:rPr>
            </w:pPr>
            <w:r w:rsidRPr="002F7364">
              <w:rPr>
                <w:rFonts w:cs="Calibri"/>
                <w:szCs w:val="22"/>
              </w:rPr>
              <w:t>17</w:t>
            </w:r>
          </w:p>
        </w:tc>
        <w:tc>
          <w:tcPr>
            <w:tcW w:w="1260" w:type="dxa"/>
            <w:tcBorders>
              <w:top w:val="nil"/>
              <w:left w:val="single" w:sz="4" w:space="0" w:color="auto"/>
              <w:bottom w:val="single" w:sz="4" w:space="0" w:color="auto"/>
              <w:right w:val="nil"/>
            </w:tcBorders>
            <w:shd w:val="clear" w:color="auto" w:fill="auto"/>
            <w:noWrap/>
            <w:vAlign w:val="bottom"/>
            <w:hideMark/>
          </w:tcPr>
          <w:p w14:paraId="682F429A" w14:textId="7A72017C" w:rsidR="003901B7" w:rsidRPr="002F7364" w:rsidRDefault="003901B7" w:rsidP="002F7364">
            <w:pPr>
              <w:jc w:val="center"/>
              <w:rPr>
                <w:rFonts w:cs="Calibri"/>
                <w:color w:val="000000"/>
                <w:szCs w:val="22"/>
              </w:rPr>
            </w:pPr>
            <w:r w:rsidRPr="002F7364">
              <w:rPr>
                <w:rFonts w:cs="Calibri"/>
                <w:color w:val="000000"/>
                <w:szCs w:val="22"/>
              </w:rPr>
              <w:t>$1.87</w:t>
            </w:r>
          </w:p>
        </w:tc>
        <w:tc>
          <w:tcPr>
            <w:tcW w:w="1350" w:type="dxa"/>
            <w:tcBorders>
              <w:top w:val="nil"/>
              <w:left w:val="single" w:sz="4" w:space="0" w:color="auto"/>
              <w:bottom w:val="single" w:sz="4" w:space="0" w:color="auto"/>
              <w:right w:val="nil"/>
            </w:tcBorders>
            <w:shd w:val="clear" w:color="auto" w:fill="auto"/>
            <w:noWrap/>
            <w:vAlign w:val="bottom"/>
            <w:hideMark/>
          </w:tcPr>
          <w:p w14:paraId="781AF5F1" w14:textId="02AFF4E0" w:rsidR="003901B7" w:rsidRPr="002F7364" w:rsidRDefault="003901B7" w:rsidP="002F7364">
            <w:pPr>
              <w:jc w:val="center"/>
              <w:rPr>
                <w:rFonts w:cs="Calibri"/>
                <w:color w:val="000000"/>
                <w:szCs w:val="22"/>
              </w:rPr>
            </w:pPr>
            <w:r w:rsidRPr="002F7364">
              <w:rPr>
                <w:rFonts w:cs="Calibri"/>
                <w:color w:val="000000"/>
                <w:szCs w:val="22"/>
              </w:rPr>
              <w:t>$19.89</w:t>
            </w:r>
          </w:p>
        </w:tc>
        <w:tc>
          <w:tcPr>
            <w:tcW w:w="1440" w:type="dxa"/>
            <w:tcBorders>
              <w:top w:val="nil"/>
              <w:left w:val="single" w:sz="4" w:space="0" w:color="auto"/>
              <w:bottom w:val="single" w:sz="4" w:space="0" w:color="auto"/>
              <w:right w:val="nil"/>
            </w:tcBorders>
            <w:shd w:val="clear" w:color="auto" w:fill="auto"/>
            <w:noWrap/>
            <w:vAlign w:val="bottom"/>
            <w:hideMark/>
          </w:tcPr>
          <w:p w14:paraId="19CDE0B9" w14:textId="3351EE8C" w:rsidR="003901B7" w:rsidRPr="002F7364" w:rsidRDefault="003901B7" w:rsidP="002F7364">
            <w:pPr>
              <w:jc w:val="center"/>
              <w:rPr>
                <w:rFonts w:cs="Calibri"/>
                <w:color w:val="000000"/>
                <w:szCs w:val="22"/>
              </w:rPr>
            </w:pPr>
            <w:r w:rsidRPr="002F7364">
              <w:rPr>
                <w:rFonts w:cs="Calibri"/>
                <w:color w:val="000000"/>
                <w:szCs w:val="22"/>
              </w:rPr>
              <w:t>$15.43</w:t>
            </w:r>
          </w:p>
        </w:tc>
        <w:tc>
          <w:tcPr>
            <w:tcW w:w="1260" w:type="dxa"/>
            <w:tcBorders>
              <w:top w:val="nil"/>
              <w:left w:val="single" w:sz="4" w:space="0" w:color="auto"/>
              <w:bottom w:val="single" w:sz="4" w:space="0" w:color="auto"/>
              <w:right w:val="nil"/>
            </w:tcBorders>
            <w:shd w:val="clear" w:color="auto" w:fill="auto"/>
            <w:noWrap/>
            <w:vAlign w:val="bottom"/>
            <w:hideMark/>
          </w:tcPr>
          <w:p w14:paraId="0A32D36E" w14:textId="77777777" w:rsidR="003901B7" w:rsidRPr="002F7364" w:rsidRDefault="003901B7" w:rsidP="002F7364">
            <w:pPr>
              <w:jc w:val="center"/>
              <w:rPr>
                <w:rFonts w:cs="Calibri"/>
                <w:color w:val="000000"/>
                <w:szCs w:val="22"/>
              </w:rPr>
            </w:pPr>
            <w:r w:rsidRPr="002F7364">
              <w:rPr>
                <w:rFonts w:cs="Calibri"/>
                <w:color w:val="000000"/>
                <w:szCs w:val="22"/>
              </w:rPr>
              <w:t>151</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5AE5DB9B" w14:textId="69393B0A" w:rsidR="003901B7" w:rsidRPr="002F7364" w:rsidRDefault="003901B7" w:rsidP="002F7364">
            <w:pPr>
              <w:jc w:val="center"/>
              <w:rPr>
                <w:rFonts w:cs="Calibri"/>
                <w:color w:val="000000"/>
                <w:szCs w:val="22"/>
              </w:rPr>
            </w:pPr>
            <w:r w:rsidRPr="002F7364">
              <w:rPr>
                <w:rFonts w:cs="Calibri"/>
                <w:color w:val="000000"/>
                <w:szCs w:val="22"/>
              </w:rPr>
              <w:t>$860,634</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3F26AF70" w14:textId="539AD8BB" w:rsidR="003901B7" w:rsidRPr="002F7364" w:rsidRDefault="003901B7" w:rsidP="002F7364">
            <w:pPr>
              <w:jc w:val="center"/>
              <w:rPr>
                <w:rFonts w:cs="Calibri"/>
                <w:color w:val="000000"/>
                <w:szCs w:val="22"/>
              </w:rPr>
            </w:pPr>
            <w:r w:rsidRPr="002F7364">
              <w:rPr>
                <w:rFonts w:cs="Calibri"/>
                <w:color w:val="000000"/>
                <w:szCs w:val="22"/>
              </w:rPr>
              <w:t>$8,661,919</w:t>
            </w:r>
          </w:p>
        </w:tc>
        <w:tc>
          <w:tcPr>
            <w:tcW w:w="1530" w:type="dxa"/>
            <w:tcBorders>
              <w:top w:val="nil"/>
              <w:left w:val="single" w:sz="4" w:space="0" w:color="auto"/>
              <w:bottom w:val="single" w:sz="4" w:space="0" w:color="auto"/>
              <w:right w:val="nil"/>
            </w:tcBorders>
            <w:shd w:val="clear" w:color="auto" w:fill="auto"/>
            <w:noWrap/>
            <w:vAlign w:val="bottom"/>
            <w:hideMark/>
          </w:tcPr>
          <w:p w14:paraId="4A252544" w14:textId="77777777" w:rsidR="003901B7" w:rsidRPr="002F7364" w:rsidRDefault="003901B7" w:rsidP="002F7364">
            <w:pPr>
              <w:jc w:val="center"/>
              <w:rPr>
                <w:rFonts w:cs="Calibri"/>
                <w:color w:val="000000"/>
                <w:szCs w:val="22"/>
              </w:rPr>
            </w:pPr>
            <w:r w:rsidRPr="002F7364">
              <w:rPr>
                <w:rFonts w:cs="Calibri"/>
                <w:color w:val="000000"/>
                <w:szCs w:val="22"/>
              </w:rPr>
              <w:t>1,912</w:t>
            </w:r>
          </w:p>
        </w:tc>
        <w:tc>
          <w:tcPr>
            <w:tcW w:w="2160" w:type="dxa"/>
            <w:tcBorders>
              <w:top w:val="nil"/>
              <w:left w:val="single" w:sz="4" w:space="0" w:color="auto"/>
              <w:bottom w:val="single" w:sz="4" w:space="0" w:color="auto"/>
              <w:right w:val="single" w:sz="8" w:space="0" w:color="auto"/>
            </w:tcBorders>
            <w:shd w:val="clear" w:color="000000" w:fill="C6E0B4"/>
            <w:noWrap/>
            <w:vAlign w:val="bottom"/>
            <w:hideMark/>
          </w:tcPr>
          <w:p w14:paraId="0E1389C8" w14:textId="77777777" w:rsidR="003901B7" w:rsidRPr="002F7364" w:rsidRDefault="003901B7" w:rsidP="002F7364">
            <w:pPr>
              <w:jc w:val="center"/>
              <w:rPr>
                <w:rFonts w:cs="Calibri"/>
                <w:color w:val="000000"/>
                <w:szCs w:val="22"/>
              </w:rPr>
            </w:pPr>
            <w:r w:rsidRPr="002F7364">
              <w:rPr>
                <w:rFonts w:cs="Calibri"/>
                <w:color w:val="000000"/>
                <w:szCs w:val="22"/>
              </w:rPr>
              <w:t>2,063</w:t>
            </w:r>
          </w:p>
        </w:tc>
      </w:tr>
      <w:tr w:rsidR="003901B7" w:rsidRPr="002F7364" w14:paraId="48A9BB12" w14:textId="77777777" w:rsidTr="006317C3">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014DC33E" w14:textId="77777777" w:rsidR="003901B7" w:rsidRPr="002F7364" w:rsidRDefault="003901B7" w:rsidP="002F7364">
            <w:pPr>
              <w:rPr>
                <w:rFonts w:cs="Calibri"/>
                <w:color w:val="000000"/>
                <w:szCs w:val="22"/>
              </w:rPr>
            </w:pPr>
            <w:r w:rsidRPr="002F7364">
              <w:rPr>
                <w:rFonts w:cs="Calibri"/>
                <w:color w:val="000000"/>
                <w:szCs w:val="22"/>
              </w:rPr>
              <w:t>Southeast</w:t>
            </w:r>
          </w:p>
        </w:tc>
        <w:tc>
          <w:tcPr>
            <w:tcW w:w="450" w:type="dxa"/>
            <w:tcBorders>
              <w:top w:val="nil"/>
              <w:left w:val="nil"/>
              <w:bottom w:val="single" w:sz="4" w:space="0" w:color="auto"/>
              <w:right w:val="single" w:sz="8" w:space="0" w:color="auto"/>
            </w:tcBorders>
            <w:shd w:val="clear" w:color="auto" w:fill="auto"/>
            <w:noWrap/>
            <w:vAlign w:val="center"/>
            <w:hideMark/>
          </w:tcPr>
          <w:p w14:paraId="1F47C3D8" w14:textId="77777777" w:rsidR="003901B7" w:rsidRPr="002F7364" w:rsidRDefault="003901B7" w:rsidP="002F7364">
            <w:pPr>
              <w:jc w:val="center"/>
              <w:rPr>
                <w:rFonts w:cs="Calibri"/>
                <w:szCs w:val="22"/>
              </w:rPr>
            </w:pPr>
            <w:r w:rsidRPr="002F7364">
              <w:rPr>
                <w:rFonts w:cs="Calibri"/>
                <w:szCs w:val="22"/>
              </w:rPr>
              <w:t>18</w:t>
            </w:r>
          </w:p>
        </w:tc>
        <w:tc>
          <w:tcPr>
            <w:tcW w:w="1260" w:type="dxa"/>
            <w:tcBorders>
              <w:top w:val="nil"/>
              <w:left w:val="single" w:sz="4" w:space="0" w:color="auto"/>
              <w:bottom w:val="single" w:sz="4" w:space="0" w:color="auto"/>
              <w:right w:val="nil"/>
            </w:tcBorders>
            <w:shd w:val="clear" w:color="auto" w:fill="auto"/>
            <w:noWrap/>
            <w:vAlign w:val="bottom"/>
            <w:hideMark/>
          </w:tcPr>
          <w:p w14:paraId="1F30F04A" w14:textId="76795F90" w:rsidR="003901B7" w:rsidRPr="002F7364" w:rsidRDefault="003901B7" w:rsidP="002F7364">
            <w:pPr>
              <w:jc w:val="center"/>
              <w:rPr>
                <w:rFonts w:cs="Calibri"/>
                <w:color w:val="000000"/>
                <w:szCs w:val="22"/>
              </w:rPr>
            </w:pPr>
            <w:r w:rsidRPr="002F7364">
              <w:rPr>
                <w:rFonts w:cs="Calibri"/>
                <w:color w:val="000000"/>
                <w:szCs w:val="22"/>
              </w:rPr>
              <w:t>$1.63</w:t>
            </w:r>
          </w:p>
        </w:tc>
        <w:tc>
          <w:tcPr>
            <w:tcW w:w="1350" w:type="dxa"/>
            <w:tcBorders>
              <w:top w:val="nil"/>
              <w:left w:val="single" w:sz="4" w:space="0" w:color="auto"/>
              <w:bottom w:val="single" w:sz="4" w:space="0" w:color="auto"/>
              <w:right w:val="nil"/>
            </w:tcBorders>
            <w:shd w:val="clear" w:color="auto" w:fill="auto"/>
            <w:noWrap/>
            <w:vAlign w:val="bottom"/>
            <w:hideMark/>
          </w:tcPr>
          <w:p w14:paraId="337F1C6A" w14:textId="29540B27" w:rsidR="003901B7" w:rsidRPr="002F7364" w:rsidRDefault="003901B7" w:rsidP="002F7364">
            <w:pPr>
              <w:jc w:val="center"/>
              <w:rPr>
                <w:rFonts w:cs="Calibri"/>
                <w:color w:val="000000"/>
                <w:szCs w:val="22"/>
              </w:rPr>
            </w:pPr>
            <w:r w:rsidRPr="002F7364">
              <w:rPr>
                <w:rFonts w:cs="Calibri"/>
                <w:color w:val="000000"/>
                <w:szCs w:val="22"/>
              </w:rPr>
              <w:t>$19.58</w:t>
            </w:r>
          </w:p>
        </w:tc>
        <w:tc>
          <w:tcPr>
            <w:tcW w:w="1440" w:type="dxa"/>
            <w:tcBorders>
              <w:top w:val="nil"/>
              <w:left w:val="single" w:sz="4" w:space="0" w:color="auto"/>
              <w:bottom w:val="single" w:sz="4" w:space="0" w:color="auto"/>
              <w:right w:val="nil"/>
            </w:tcBorders>
            <w:shd w:val="clear" w:color="auto" w:fill="auto"/>
            <w:noWrap/>
            <w:vAlign w:val="bottom"/>
            <w:hideMark/>
          </w:tcPr>
          <w:p w14:paraId="5010638E" w14:textId="183CAA1E" w:rsidR="003901B7" w:rsidRPr="002F7364" w:rsidRDefault="003901B7" w:rsidP="002F7364">
            <w:pPr>
              <w:jc w:val="center"/>
              <w:rPr>
                <w:rFonts w:cs="Calibri"/>
                <w:color w:val="000000"/>
                <w:szCs w:val="22"/>
              </w:rPr>
            </w:pPr>
            <w:r w:rsidRPr="002F7364">
              <w:rPr>
                <w:rFonts w:cs="Calibri"/>
                <w:color w:val="000000"/>
                <w:szCs w:val="22"/>
              </w:rPr>
              <w:t>$16.66</w:t>
            </w:r>
          </w:p>
        </w:tc>
        <w:tc>
          <w:tcPr>
            <w:tcW w:w="1260" w:type="dxa"/>
            <w:tcBorders>
              <w:top w:val="nil"/>
              <w:left w:val="single" w:sz="4" w:space="0" w:color="auto"/>
              <w:bottom w:val="single" w:sz="4" w:space="0" w:color="auto"/>
              <w:right w:val="nil"/>
            </w:tcBorders>
            <w:shd w:val="clear" w:color="auto" w:fill="auto"/>
            <w:noWrap/>
            <w:vAlign w:val="bottom"/>
            <w:hideMark/>
          </w:tcPr>
          <w:p w14:paraId="1FC8150E" w14:textId="77777777" w:rsidR="003901B7" w:rsidRPr="002F7364" w:rsidRDefault="003901B7" w:rsidP="002F7364">
            <w:pPr>
              <w:jc w:val="center"/>
              <w:rPr>
                <w:rFonts w:cs="Calibri"/>
                <w:color w:val="000000"/>
                <w:szCs w:val="22"/>
              </w:rPr>
            </w:pPr>
            <w:r w:rsidRPr="002F7364">
              <w:rPr>
                <w:rFonts w:cs="Calibri"/>
                <w:color w:val="000000"/>
                <w:szCs w:val="22"/>
              </w:rPr>
              <w:t>147</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59DC8517" w14:textId="6A56F74B" w:rsidR="003901B7" w:rsidRPr="002F7364" w:rsidRDefault="003901B7" w:rsidP="002F7364">
            <w:pPr>
              <w:jc w:val="center"/>
              <w:rPr>
                <w:rFonts w:cs="Calibri"/>
                <w:color w:val="000000"/>
                <w:szCs w:val="22"/>
              </w:rPr>
            </w:pPr>
            <w:r w:rsidRPr="002F7364">
              <w:rPr>
                <w:rFonts w:cs="Calibri"/>
                <w:color w:val="000000"/>
                <w:szCs w:val="22"/>
              </w:rPr>
              <w:t>$816,846</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7BEA965F" w14:textId="2559F381" w:rsidR="003901B7" w:rsidRPr="002F7364" w:rsidRDefault="003901B7" w:rsidP="002F7364">
            <w:pPr>
              <w:jc w:val="center"/>
              <w:rPr>
                <w:rFonts w:cs="Calibri"/>
                <w:color w:val="000000"/>
                <w:szCs w:val="22"/>
              </w:rPr>
            </w:pPr>
            <w:r w:rsidRPr="002F7364">
              <w:rPr>
                <w:rFonts w:cs="Calibri"/>
                <w:color w:val="000000"/>
                <w:szCs w:val="22"/>
              </w:rPr>
              <w:t>$8,644,633</w:t>
            </w:r>
          </w:p>
        </w:tc>
        <w:tc>
          <w:tcPr>
            <w:tcW w:w="1530" w:type="dxa"/>
            <w:tcBorders>
              <w:top w:val="nil"/>
              <w:left w:val="single" w:sz="4" w:space="0" w:color="auto"/>
              <w:bottom w:val="single" w:sz="4" w:space="0" w:color="auto"/>
              <w:right w:val="nil"/>
            </w:tcBorders>
            <w:shd w:val="clear" w:color="auto" w:fill="auto"/>
            <w:noWrap/>
            <w:vAlign w:val="bottom"/>
            <w:hideMark/>
          </w:tcPr>
          <w:p w14:paraId="7197C49A" w14:textId="77777777" w:rsidR="003901B7" w:rsidRPr="002F7364" w:rsidRDefault="003901B7" w:rsidP="002F7364">
            <w:pPr>
              <w:jc w:val="center"/>
              <w:rPr>
                <w:rFonts w:cs="Calibri"/>
                <w:color w:val="000000"/>
                <w:szCs w:val="22"/>
              </w:rPr>
            </w:pPr>
            <w:r w:rsidRPr="002F7364">
              <w:rPr>
                <w:rFonts w:cs="Calibri"/>
                <w:color w:val="000000"/>
                <w:szCs w:val="22"/>
              </w:rPr>
              <w:t>1,803</w:t>
            </w:r>
          </w:p>
        </w:tc>
        <w:tc>
          <w:tcPr>
            <w:tcW w:w="2160" w:type="dxa"/>
            <w:tcBorders>
              <w:top w:val="nil"/>
              <w:left w:val="single" w:sz="4" w:space="0" w:color="auto"/>
              <w:bottom w:val="single" w:sz="4" w:space="0" w:color="auto"/>
              <w:right w:val="single" w:sz="8" w:space="0" w:color="auto"/>
            </w:tcBorders>
            <w:shd w:val="clear" w:color="000000" w:fill="C6E0B4"/>
            <w:noWrap/>
            <w:vAlign w:val="bottom"/>
            <w:hideMark/>
          </w:tcPr>
          <w:p w14:paraId="665E3F27" w14:textId="77777777" w:rsidR="003901B7" w:rsidRPr="002F7364" w:rsidRDefault="003901B7" w:rsidP="002F7364">
            <w:pPr>
              <w:jc w:val="center"/>
              <w:rPr>
                <w:rFonts w:cs="Calibri"/>
                <w:color w:val="000000"/>
                <w:szCs w:val="22"/>
              </w:rPr>
            </w:pPr>
            <w:r w:rsidRPr="002F7364">
              <w:rPr>
                <w:rFonts w:cs="Calibri"/>
                <w:color w:val="000000"/>
                <w:szCs w:val="22"/>
              </w:rPr>
              <w:t>1,950</w:t>
            </w:r>
          </w:p>
        </w:tc>
      </w:tr>
      <w:tr w:rsidR="003901B7" w:rsidRPr="002F7364" w14:paraId="169CE7B4" w14:textId="77777777" w:rsidTr="006317C3">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327A7DB4" w14:textId="77777777" w:rsidR="003901B7" w:rsidRPr="002F7364" w:rsidRDefault="003901B7" w:rsidP="002F7364">
            <w:pPr>
              <w:rPr>
                <w:rFonts w:cs="Calibri"/>
                <w:color w:val="000000"/>
                <w:szCs w:val="22"/>
              </w:rPr>
            </w:pPr>
            <w:r w:rsidRPr="002F7364">
              <w:rPr>
                <w:rFonts w:cs="Calibri"/>
                <w:color w:val="000000"/>
                <w:szCs w:val="22"/>
              </w:rPr>
              <w:t>Golden Crescent</w:t>
            </w:r>
          </w:p>
        </w:tc>
        <w:tc>
          <w:tcPr>
            <w:tcW w:w="450" w:type="dxa"/>
            <w:tcBorders>
              <w:top w:val="nil"/>
              <w:left w:val="nil"/>
              <w:bottom w:val="single" w:sz="4" w:space="0" w:color="auto"/>
              <w:right w:val="single" w:sz="8" w:space="0" w:color="auto"/>
            </w:tcBorders>
            <w:shd w:val="clear" w:color="auto" w:fill="auto"/>
            <w:noWrap/>
            <w:vAlign w:val="center"/>
            <w:hideMark/>
          </w:tcPr>
          <w:p w14:paraId="203525E7" w14:textId="77777777" w:rsidR="003901B7" w:rsidRPr="002F7364" w:rsidRDefault="003901B7" w:rsidP="002F7364">
            <w:pPr>
              <w:jc w:val="center"/>
              <w:rPr>
                <w:rFonts w:cs="Calibri"/>
                <w:szCs w:val="22"/>
              </w:rPr>
            </w:pPr>
            <w:r w:rsidRPr="002F7364">
              <w:rPr>
                <w:rFonts w:cs="Calibri"/>
                <w:szCs w:val="22"/>
              </w:rPr>
              <w:t>19</w:t>
            </w:r>
          </w:p>
        </w:tc>
        <w:tc>
          <w:tcPr>
            <w:tcW w:w="1260" w:type="dxa"/>
            <w:tcBorders>
              <w:top w:val="nil"/>
              <w:left w:val="single" w:sz="4" w:space="0" w:color="auto"/>
              <w:bottom w:val="single" w:sz="4" w:space="0" w:color="auto"/>
              <w:right w:val="nil"/>
            </w:tcBorders>
            <w:shd w:val="clear" w:color="auto" w:fill="auto"/>
            <w:noWrap/>
            <w:vAlign w:val="bottom"/>
            <w:hideMark/>
          </w:tcPr>
          <w:p w14:paraId="31FBDBA5" w14:textId="06DF6DFD" w:rsidR="003901B7" w:rsidRPr="002F7364" w:rsidRDefault="003901B7" w:rsidP="002F7364">
            <w:pPr>
              <w:jc w:val="center"/>
              <w:rPr>
                <w:rFonts w:cs="Calibri"/>
                <w:color w:val="000000"/>
                <w:szCs w:val="22"/>
              </w:rPr>
            </w:pPr>
            <w:r w:rsidRPr="002F7364">
              <w:rPr>
                <w:rFonts w:cs="Calibri"/>
                <w:color w:val="000000"/>
                <w:szCs w:val="22"/>
              </w:rPr>
              <w:t>$2.44</w:t>
            </w:r>
          </w:p>
        </w:tc>
        <w:tc>
          <w:tcPr>
            <w:tcW w:w="1350" w:type="dxa"/>
            <w:tcBorders>
              <w:top w:val="nil"/>
              <w:left w:val="single" w:sz="4" w:space="0" w:color="auto"/>
              <w:bottom w:val="single" w:sz="4" w:space="0" w:color="auto"/>
              <w:right w:val="nil"/>
            </w:tcBorders>
            <w:shd w:val="clear" w:color="auto" w:fill="auto"/>
            <w:noWrap/>
            <w:vAlign w:val="bottom"/>
            <w:hideMark/>
          </w:tcPr>
          <w:p w14:paraId="262622C8" w14:textId="448B3962" w:rsidR="003901B7" w:rsidRPr="002F7364" w:rsidRDefault="003901B7" w:rsidP="002F7364">
            <w:pPr>
              <w:jc w:val="center"/>
              <w:rPr>
                <w:rFonts w:cs="Calibri"/>
                <w:color w:val="000000"/>
                <w:szCs w:val="22"/>
              </w:rPr>
            </w:pPr>
            <w:r w:rsidRPr="002F7364">
              <w:rPr>
                <w:rFonts w:cs="Calibri"/>
                <w:color w:val="000000"/>
                <w:szCs w:val="22"/>
              </w:rPr>
              <w:t>$20.78</w:t>
            </w:r>
          </w:p>
        </w:tc>
        <w:tc>
          <w:tcPr>
            <w:tcW w:w="1440" w:type="dxa"/>
            <w:tcBorders>
              <w:top w:val="nil"/>
              <w:left w:val="single" w:sz="4" w:space="0" w:color="auto"/>
              <w:bottom w:val="single" w:sz="4" w:space="0" w:color="auto"/>
              <w:right w:val="nil"/>
            </w:tcBorders>
            <w:shd w:val="clear" w:color="auto" w:fill="auto"/>
            <w:noWrap/>
            <w:vAlign w:val="bottom"/>
            <w:hideMark/>
          </w:tcPr>
          <w:p w14:paraId="6AF02981" w14:textId="2C254077" w:rsidR="003901B7" w:rsidRPr="002F7364" w:rsidRDefault="003901B7" w:rsidP="002F7364">
            <w:pPr>
              <w:jc w:val="center"/>
              <w:rPr>
                <w:rFonts w:cs="Calibri"/>
                <w:color w:val="000000"/>
                <w:szCs w:val="22"/>
              </w:rPr>
            </w:pPr>
            <w:r w:rsidRPr="002F7364">
              <w:rPr>
                <w:rFonts w:cs="Calibri"/>
                <w:color w:val="000000"/>
                <w:szCs w:val="22"/>
              </w:rPr>
              <w:t>$16.19</w:t>
            </w:r>
          </w:p>
        </w:tc>
        <w:tc>
          <w:tcPr>
            <w:tcW w:w="1260" w:type="dxa"/>
            <w:tcBorders>
              <w:top w:val="nil"/>
              <w:left w:val="single" w:sz="4" w:space="0" w:color="auto"/>
              <w:bottom w:val="single" w:sz="4" w:space="0" w:color="auto"/>
              <w:right w:val="nil"/>
            </w:tcBorders>
            <w:shd w:val="clear" w:color="auto" w:fill="auto"/>
            <w:noWrap/>
            <w:vAlign w:val="bottom"/>
            <w:hideMark/>
          </w:tcPr>
          <w:p w14:paraId="1A752BFB" w14:textId="77777777" w:rsidR="003901B7" w:rsidRPr="002F7364" w:rsidRDefault="003901B7" w:rsidP="002F7364">
            <w:pPr>
              <w:jc w:val="center"/>
              <w:rPr>
                <w:rFonts w:cs="Calibri"/>
                <w:color w:val="000000"/>
                <w:szCs w:val="22"/>
              </w:rPr>
            </w:pPr>
            <w:r w:rsidRPr="002F7364">
              <w:rPr>
                <w:rFonts w:cs="Calibri"/>
                <w:color w:val="000000"/>
                <w:szCs w:val="22"/>
              </w:rPr>
              <w:t>83</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1C25083D" w14:textId="2C26E33B" w:rsidR="003901B7" w:rsidRPr="002F7364" w:rsidRDefault="003901B7" w:rsidP="002F7364">
            <w:pPr>
              <w:jc w:val="center"/>
              <w:rPr>
                <w:rFonts w:cs="Calibri"/>
                <w:color w:val="000000"/>
                <w:szCs w:val="22"/>
              </w:rPr>
            </w:pPr>
            <w:r w:rsidRPr="002F7364">
              <w:rPr>
                <w:rFonts w:cs="Calibri"/>
                <w:color w:val="000000"/>
                <w:szCs w:val="22"/>
              </w:rPr>
              <w:t>$504,949</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53B9CDA6" w14:textId="6AE82BA4" w:rsidR="003901B7" w:rsidRPr="002F7364" w:rsidRDefault="003901B7" w:rsidP="002F7364">
            <w:pPr>
              <w:jc w:val="center"/>
              <w:rPr>
                <w:rFonts w:cs="Calibri"/>
                <w:color w:val="000000"/>
                <w:szCs w:val="22"/>
              </w:rPr>
            </w:pPr>
            <w:r w:rsidRPr="002F7364">
              <w:rPr>
                <w:rFonts w:cs="Calibri"/>
                <w:color w:val="000000"/>
                <w:szCs w:val="22"/>
              </w:rPr>
              <w:t>$4,019,042</w:t>
            </w:r>
          </w:p>
        </w:tc>
        <w:tc>
          <w:tcPr>
            <w:tcW w:w="1530" w:type="dxa"/>
            <w:tcBorders>
              <w:top w:val="nil"/>
              <w:left w:val="single" w:sz="4" w:space="0" w:color="auto"/>
              <w:bottom w:val="single" w:sz="4" w:space="0" w:color="auto"/>
              <w:right w:val="nil"/>
            </w:tcBorders>
            <w:shd w:val="clear" w:color="auto" w:fill="auto"/>
            <w:noWrap/>
            <w:vAlign w:val="bottom"/>
            <w:hideMark/>
          </w:tcPr>
          <w:p w14:paraId="1A1329B5" w14:textId="77777777" w:rsidR="003901B7" w:rsidRPr="002F7364" w:rsidRDefault="003901B7" w:rsidP="002F7364">
            <w:pPr>
              <w:jc w:val="center"/>
              <w:rPr>
                <w:rFonts w:cs="Calibri"/>
                <w:color w:val="000000"/>
                <w:szCs w:val="22"/>
              </w:rPr>
            </w:pPr>
            <w:r w:rsidRPr="002F7364">
              <w:rPr>
                <w:rFonts w:cs="Calibri"/>
                <w:color w:val="000000"/>
                <w:szCs w:val="22"/>
              </w:rPr>
              <w:t>824</w:t>
            </w:r>
          </w:p>
        </w:tc>
        <w:tc>
          <w:tcPr>
            <w:tcW w:w="2160" w:type="dxa"/>
            <w:tcBorders>
              <w:top w:val="nil"/>
              <w:left w:val="single" w:sz="4" w:space="0" w:color="auto"/>
              <w:bottom w:val="single" w:sz="4" w:space="0" w:color="auto"/>
              <w:right w:val="single" w:sz="8" w:space="0" w:color="auto"/>
            </w:tcBorders>
            <w:shd w:val="clear" w:color="000000" w:fill="C6E0B4"/>
            <w:noWrap/>
            <w:vAlign w:val="bottom"/>
            <w:hideMark/>
          </w:tcPr>
          <w:p w14:paraId="6C33B468" w14:textId="77777777" w:rsidR="003901B7" w:rsidRPr="002F7364" w:rsidRDefault="003901B7" w:rsidP="002F7364">
            <w:pPr>
              <w:jc w:val="center"/>
              <w:rPr>
                <w:rFonts w:cs="Calibri"/>
                <w:color w:val="000000"/>
                <w:szCs w:val="22"/>
              </w:rPr>
            </w:pPr>
            <w:r w:rsidRPr="002F7364">
              <w:rPr>
                <w:rFonts w:cs="Calibri"/>
                <w:color w:val="000000"/>
                <w:szCs w:val="22"/>
              </w:rPr>
              <w:t>907</w:t>
            </w:r>
          </w:p>
        </w:tc>
      </w:tr>
      <w:tr w:rsidR="003901B7" w:rsidRPr="002F7364" w14:paraId="7E0BFF1F" w14:textId="77777777" w:rsidTr="006317C3">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1C71A9DA" w14:textId="77777777" w:rsidR="003901B7" w:rsidRPr="002F7364" w:rsidRDefault="003901B7" w:rsidP="002F7364">
            <w:pPr>
              <w:rPr>
                <w:rFonts w:cs="Calibri"/>
                <w:color w:val="000000"/>
                <w:szCs w:val="22"/>
              </w:rPr>
            </w:pPr>
            <w:r w:rsidRPr="002F7364">
              <w:rPr>
                <w:rFonts w:cs="Calibri"/>
                <w:color w:val="000000"/>
                <w:szCs w:val="22"/>
              </w:rPr>
              <w:t>Alamo</w:t>
            </w:r>
          </w:p>
        </w:tc>
        <w:tc>
          <w:tcPr>
            <w:tcW w:w="450" w:type="dxa"/>
            <w:tcBorders>
              <w:top w:val="nil"/>
              <w:left w:val="nil"/>
              <w:bottom w:val="single" w:sz="4" w:space="0" w:color="auto"/>
              <w:right w:val="single" w:sz="8" w:space="0" w:color="auto"/>
            </w:tcBorders>
            <w:shd w:val="clear" w:color="auto" w:fill="auto"/>
            <w:noWrap/>
            <w:vAlign w:val="center"/>
            <w:hideMark/>
          </w:tcPr>
          <w:p w14:paraId="4F8DD248" w14:textId="77777777" w:rsidR="003901B7" w:rsidRPr="002F7364" w:rsidRDefault="003901B7" w:rsidP="002F7364">
            <w:pPr>
              <w:jc w:val="center"/>
              <w:rPr>
                <w:rFonts w:cs="Calibri"/>
                <w:szCs w:val="22"/>
              </w:rPr>
            </w:pPr>
            <w:r w:rsidRPr="002F7364">
              <w:rPr>
                <w:rFonts w:cs="Calibri"/>
                <w:szCs w:val="22"/>
              </w:rPr>
              <w:t>20</w:t>
            </w:r>
          </w:p>
        </w:tc>
        <w:tc>
          <w:tcPr>
            <w:tcW w:w="1260" w:type="dxa"/>
            <w:tcBorders>
              <w:top w:val="nil"/>
              <w:left w:val="single" w:sz="4" w:space="0" w:color="auto"/>
              <w:bottom w:val="single" w:sz="4" w:space="0" w:color="auto"/>
              <w:right w:val="nil"/>
            </w:tcBorders>
            <w:shd w:val="clear" w:color="auto" w:fill="auto"/>
            <w:noWrap/>
            <w:vAlign w:val="bottom"/>
            <w:hideMark/>
          </w:tcPr>
          <w:p w14:paraId="0EC8F5F1" w14:textId="67DF3148" w:rsidR="003901B7" w:rsidRPr="002F7364" w:rsidRDefault="003901B7" w:rsidP="002F7364">
            <w:pPr>
              <w:jc w:val="center"/>
              <w:rPr>
                <w:rFonts w:cs="Calibri"/>
                <w:color w:val="000000"/>
                <w:szCs w:val="22"/>
              </w:rPr>
            </w:pPr>
            <w:r w:rsidRPr="002F7364">
              <w:rPr>
                <w:rFonts w:cs="Calibri"/>
                <w:color w:val="000000"/>
                <w:szCs w:val="22"/>
              </w:rPr>
              <w:t>$1.40</w:t>
            </w:r>
          </w:p>
        </w:tc>
        <w:tc>
          <w:tcPr>
            <w:tcW w:w="1350" w:type="dxa"/>
            <w:tcBorders>
              <w:top w:val="nil"/>
              <w:left w:val="single" w:sz="4" w:space="0" w:color="auto"/>
              <w:bottom w:val="single" w:sz="4" w:space="0" w:color="auto"/>
              <w:right w:val="nil"/>
            </w:tcBorders>
            <w:shd w:val="clear" w:color="auto" w:fill="auto"/>
            <w:noWrap/>
            <w:vAlign w:val="bottom"/>
            <w:hideMark/>
          </w:tcPr>
          <w:p w14:paraId="4E8FD399" w14:textId="787276FD" w:rsidR="003901B7" w:rsidRPr="002F7364" w:rsidRDefault="003901B7" w:rsidP="002F7364">
            <w:pPr>
              <w:jc w:val="center"/>
              <w:rPr>
                <w:rFonts w:cs="Calibri"/>
                <w:color w:val="000000"/>
                <w:szCs w:val="22"/>
              </w:rPr>
            </w:pPr>
            <w:r w:rsidRPr="002F7364">
              <w:rPr>
                <w:rFonts w:cs="Calibri"/>
                <w:color w:val="000000"/>
                <w:szCs w:val="22"/>
              </w:rPr>
              <w:t>$26.11</w:t>
            </w:r>
          </w:p>
        </w:tc>
        <w:tc>
          <w:tcPr>
            <w:tcW w:w="1440" w:type="dxa"/>
            <w:tcBorders>
              <w:top w:val="nil"/>
              <w:left w:val="single" w:sz="4" w:space="0" w:color="auto"/>
              <w:bottom w:val="single" w:sz="4" w:space="0" w:color="auto"/>
              <w:right w:val="nil"/>
            </w:tcBorders>
            <w:shd w:val="clear" w:color="auto" w:fill="auto"/>
            <w:noWrap/>
            <w:vAlign w:val="bottom"/>
            <w:hideMark/>
          </w:tcPr>
          <w:p w14:paraId="70196224" w14:textId="5A4BADF6" w:rsidR="003901B7" w:rsidRPr="002F7364" w:rsidRDefault="003901B7" w:rsidP="002F7364">
            <w:pPr>
              <w:jc w:val="center"/>
              <w:rPr>
                <w:rFonts w:cs="Calibri"/>
                <w:color w:val="000000"/>
                <w:szCs w:val="22"/>
              </w:rPr>
            </w:pPr>
            <w:r w:rsidRPr="002F7364">
              <w:rPr>
                <w:rFonts w:cs="Calibri"/>
                <w:color w:val="000000"/>
                <w:szCs w:val="22"/>
              </w:rPr>
              <w:t>$21.67</w:t>
            </w:r>
          </w:p>
        </w:tc>
        <w:tc>
          <w:tcPr>
            <w:tcW w:w="1260" w:type="dxa"/>
            <w:tcBorders>
              <w:top w:val="nil"/>
              <w:left w:val="single" w:sz="4" w:space="0" w:color="auto"/>
              <w:bottom w:val="single" w:sz="4" w:space="0" w:color="auto"/>
              <w:right w:val="nil"/>
            </w:tcBorders>
            <w:shd w:val="clear" w:color="auto" w:fill="auto"/>
            <w:noWrap/>
            <w:vAlign w:val="bottom"/>
            <w:hideMark/>
          </w:tcPr>
          <w:p w14:paraId="18D701E8" w14:textId="77777777" w:rsidR="003901B7" w:rsidRPr="002F7364" w:rsidRDefault="003901B7" w:rsidP="002F7364">
            <w:pPr>
              <w:jc w:val="center"/>
              <w:rPr>
                <w:rFonts w:cs="Calibri"/>
                <w:color w:val="000000"/>
                <w:szCs w:val="22"/>
              </w:rPr>
            </w:pPr>
            <w:r w:rsidRPr="002F7364">
              <w:rPr>
                <w:rFonts w:cs="Calibri"/>
                <w:color w:val="000000"/>
                <w:szCs w:val="22"/>
              </w:rPr>
              <w:t>1,923</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0B70DA74" w14:textId="245D9F7E" w:rsidR="003901B7" w:rsidRPr="002F7364" w:rsidRDefault="003901B7" w:rsidP="002F7364">
            <w:pPr>
              <w:jc w:val="center"/>
              <w:rPr>
                <w:rFonts w:cs="Calibri"/>
                <w:color w:val="000000"/>
                <w:szCs w:val="22"/>
              </w:rPr>
            </w:pPr>
            <w:r w:rsidRPr="002F7364">
              <w:rPr>
                <w:rFonts w:cs="Calibri"/>
                <w:color w:val="000000"/>
                <w:szCs w:val="22"/>
              </w:rPr>
              <w:t>$13,856,918</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03795E53" w14:textId="36BC788B" w:rsidR="003901B7" w:rsidRPr="002F7364" w:rsidRDefault="003901B7" w:rsidP="002F7364">
            <w:pPr>
              <w:jc w:val="center"/>
              <w:rPr>
                <w:rFonts w:cs="Calibri"/>
                <w:color w:val="000000"/>
                <w:szCs w:val="22"/>
              </w:rPr>
            </w:pPr>
            <w:r w:rsidRPr="002F7364">
              <w:rPr>
                <w:rFonts w:cs="Calibri"/>
                <w:color w:val="000000"/>
                <w:szCs w:val="22"/>
              </w:rPr>
              <w:t>$45,988,205</w:t>
            </w:r>
          </w:p>
        </w:tc>
        <w:tc>
          <w:tcPr>
            <w:tcW w:w="1530" w:type="dxa"/>
            <w:tcBorders>
              <w:top w:val="nil"/>
              <w:left w:val="single" w:sz="4" w:space="0" w:color="auto"/>
              <w:bottom w:val="single" w:sz="4" w:space="0" w:color="auto"/>
              <w:right w:val="nil"/>
            </w:tcBorders>
            <w:shd w:val="clear" w:color="auto" w:fill="auto"/>
            <w:noWrap/>
            <w:vAlign w:val="bottom"/>
            <w:hideMark/>
          </w:tcPr>
          <w:p w14:paraId="622442E2" w14:textId="77777777" w:rsidR="003901B7" w:rsidRPr="002F7364" w:rsidRDefault="003901B7" w:rsidP="002F7364">
            <w:pPr>
              <w:jc w:val="center"/>
              <w:rPr>
                <w:rFonts w:cs="Calibri"/>
                <w:color w:val="000000"/>
                <w:szCs w:val="22"/>
              </w:rPr>
            </w:pPr>
            <w:r w:rsidRPr="002F7364">
              <w:rPr>
                <w:rFonts w:cs="Calibri"/>
                <w:color w:val="000000"/>
                <w:szCs w:val="22"/>
              </w:rPr>
              <w:t>7,609</w:t>
            </w:r>
          </w:p>
        </w:tc>
        <w:tc>
          <w:tcPr>
            <w:tcW w:w="2160" w:type="dxa"/>
            <w:tcBorders>
              <w:top w:val="nil"/>
              <w:left w:val="single" w:sz="4" w:space="0" w:color="auto"/>
              <w:bottom w:val="single" w:sz="4" w:space="0" w:color="auto"/>
              <w:right w:val="single" w:sz="8" w:space="0" w:color="auto"/>
            </w:tcBorders>
            <w:shd w:val="clear" w:color="000000" w:fill="C6E0B4"/>
            <w:noWrap/>
            <w:vAlign w:val="bottom"/>
            <w:hideMark/>
          </w:tcPr>
          <w:p w14:paraId="2426C2CD" w14:textId="77777777" w:rsidR="003901B7" w:rsidRPr="002F7364" w:rsidRDefault="003901B7" w:rsidP="002F7364">
            <w:pPr>
              <w:jc w:val="center"/>
              <w:rPr>
                <w:rFonts w:cs="Calibri"/>
                <w:color w:val="000000"/>
                <w:szCs w:val="22"/>
              </w:rPr>
            </w:pPr>
            <w:r w:rsidRPr="002F7364">
              <w:rPr>
                <w:rFonts w:cs="Calibri"/>
                <w:color w:val="000000"/>
                <w:szCs w:val="22"/>
              </w:rPr>
              <w:t>9,532</w:t>
            </w:r>
          </w:p>
        </w:tc>
      </w:tr>
      <w:tr w:rsidR="003901B7" w:rsidRPr="002F7364" w14:paraId="5F2496FC" w14:textId="77777777" w:rsidTr="006317C3">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2D47417F" w14:textId="77777777" w:rsidR="003901B7" w:rsidRPr="002F7364" w:rsidRDefault="003901B7" w:rsidP="002F7364">
            <w:pPr>
              <w:rPr>
                <w:rFonts w:cs="Calibri"/>
                <w:color w:val="000000"/>
                <w:szCs w:val="22"/>
              </w:rPr>
            </w:pPr>
            <w:r w:rsidRPr="002F7364">
              <w:rPr>
                <w:rFonts w:cs="Calibri"/>
                <w:color w:val="000000"/>
                <w:szCs w:val="22"/>
              </w:rPr>
              <w:t>South Texas</w:t>
            </w:r>
          </w:p>
        </w:tc>
        <w:tc>
          <w:tcPr>
            <w:tcW w:w="450" w:type="dxa"/>
            <w:tcBorders>
              <w:top w:val="nil"/>
              <w:left w:val="nil"/>
              <w:bottom w:val="single" w:sz="4" w:space="0" w:color="auto"/>
              <w:right w:val="single" w:sz="8" w:space="0" w:color="auto"/>
            </w:tcBorders>
            <w:shd w:val="clear" w:color="auto" w:fill="auto"/>
            <w:noWrap/>
            <w:vAlign w:val="center"/>
            <w:hideMark/>
          </w:tcPr>
          <w:p w14:paraId="21A87B15" w14:textId="77777777" w:rsidR="003901B7" w:rsidRPr="002F7364" w:rsidRDefault="003901B7" w:rsidP="002F7364">
            <w:pPr>
              <w:jc w:val="center"/>
              <w:rPr>
                <w:rFonts w:cs="Calibri"/>
                <w:szCs w:val="22"/>
              </w:rPr>
            </w:pPr>
            <w:r w:rsidRPr="002F7364">
              <w:rPr>
                <w:rFonts w:cs="Calibri"/>
                <w:szCs w:val="22"/>
              </w:rPr>
              <w:t>21</w:t>
            </w:r>
          </w:p>
        </w:tc>
        <w:tc>
          <w:tcPr>
            <w:tcW w:w="1260" w:type="dxa"/>
            <w:tcBorders>
              <w:top w:val="nil"/>
              <w:left w:val="single" w:sz="4" w:space="0" w:color="auto"/>
              <w:bottom w:val="single" w:sz="4" w:space="0" w:color="auto"/>
              <w:right w:val="nil"/>
            </w:tcBorders>
            <w:shd w:val="clear" w:color="auto" w:fill="auto"/>
            <w:noWrap/>
            <w:vAlign w:val="bottom"/>
            <w:hideMark/>
          </w:tcPr>
          <w:p w14:paraId="57869537" w14:textId="7769492E" w:rsidR="003901B7" w:rsidRPr="002F7364" w:rsidRDefault="003901B7" w:rsidP="002F7364">
            <w:pPr>
              <w:jc w:val="center"/>
              <w:rPr>
                <w:rFonts w:cs="Calibri"/>
                <w:color w:val="000000"/>
                <w:szCs w:val="22"/>
              </w:rPr>
            </w:pPr>
            <w:r w:rsidRPr="002F7364">
              <w:rPr>
                <w:rFonts w:cs="Calibri"/>
                <w:color w:val="000000"/>
                <w:szCs w:val="22"/>
              </w:rPr>
              <w:t>$1.28</w:t>
            </w:r>
          </w:p>
        </w:tc>
        <w:tc>
          <w:tcPr>
            <w:tcW w:w="1350" w:type="dxa"/>
            <w:tcBorders>
              <w:top w:val="nil"/>
              <w:left w:val="single" w:sz="4" w:space="0" w:color="auto"/>
              <w:bottom w:val="single" w:sz="4" w:space="0" w:color="auto"/>
              <w:right w:val="nil"/>
            </w:tcBorders>
            <w:shd w:val="clear" w:color="auto" w:fill="auto"/>
            <w:noWrap/>
            <w:vAlign w:val="bottom"/>
            <w:hideMark/>
          </w:tcPr>
          <w:p w14:paraId="61174ED9" w14:textId="1D295E01" w:rsidR="003901B7" w:rsidRPr="002F7364" w:rsidRDefault="003901B7" w:rsidP="002F7364">
            <w:pPr>
              <w:jc w:val="center"/>
              <w:rPr>
                <w:rFonts w:cs="Calibri"/>
                <w:color w:val="000000"/>
                <w:szCs w:val="22"/>
              </w:rPr>
            </w:pPr>
            <w:r w:rsidRPr="002F7364">
              <w:rPr>
                <w:rFonts w:cs="Calibri"/>
                <w:color w:val="000000"/>
                <w:szCs w:val="22"/>
              </w:rPr>
              <w:t>$20.11</w:t>
            </w:r>
          </w:p>
        </w:tc>
        <w:tc>
          <w:tcPr>
            <w:tcW w:w="1440" w:type="dxa"/>
            <w:tcBorders>
              <w:top w:val="nil"/>
              <w:left w:val="single" w:sz="4" w:space="0" w:color="auto"/>
              <w:bottom w:val="single" w:sz="4" w:space="0" w:color="auto"/>
              <w:right w:val="nil"/>
            </w:tcBorders>
            <w:shd w:val="clear" w:color="auto" w:fill="auto"/>
            <w:noWrap/>
            <w:vAlign w:val="bottom"/>
            <w:hideMark/>
          </w:tcPr>
          <w:p w14:paraId="56BF8350" w14:textId="5707FC3E" w:rsidR="003901B7" w:rsidRPr="002F7364" w:rsidRDefault="003901B7" w:rsidP="002F7364">
            <w:pPr>
              <w:jc w:val="center"/>
              <w:rPr>
                <w:rFonts w:cs="Calibri"/>
                <w:color w:val="000000"/>
                <w:szCs w:val="22"/>
              </w:rPr>
            </w:pPr>
            <w:r w:rsidRPr="002F7364">
              <w:rPr>
                <w:rFonts w:cs="Calibri"/>
                <w:color w:val="000000"/>
                <w:szCs w:val="22"/>
              </w:rPr>
              <w:t>$15.74</w:t>
            </w:r>
          </w:p>
        </w:tc>
        <w:tc>
          <w:tcPr>
            <w:tcW w:w="1260" w:type="dxa"/>
            <w:tcBorders>
              <w:top w:val="nil"/>
              <w:left w:val="single" w:sz="4" w:space="0" w:color="auto"/>
              <w:bottom w:val="single" w:sz="4" w:space="0" w:color="auto"/>
              <w:right w:val="nil"/>
            </w:tcBorders>
            <w:shd w:val="clear" w:color="auto" w:fill="auto"/>
            <w:noWrap/>
            <w:vAlign w:val="bottom"/>
            <w:hideMark/>
          </w:tcPr>
          <w:p w14:paraId="0C1D86A2" w14:textId="77777777" w:rsidR="003901B7" w:rsidRPr="002F7364" w:rsidRDefault="003901B7" w:rsidP="002F7364">
            <w:pPr>
              <w:jc w:val="center"/>
              <w:rPr>
                <w:rFonts w:cs="Calibri"/>
                <w:color w:val="000000"/>
                <w:szCs w:val="22"/>
              </w:rPr>
            </w:pPr>
            <w:r w:rsidRPr="002F7364">
              <w:rPr>
                <w:rFonts w:cs="Calibri"/>
                <w:color w:val="000000"/>
                <w:szCs w:val="22"/>
              </w:rPr>
              <w:t>132</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63C29DE9" w14:textId="6864B2FC" w:rsidR="003901B7" w:rsidRPr="002F7364" w:rsidRDefault="003901B7" w:rsidP="002F7364">
            <w:pPr>
              <w:jc w:val="center"/>
              <w:rPr>
                <w:rFonts w:cs="Calibri"/>
                <w:color w:val="000000"/>
                <w:szCs w:val="22"/>
              </w:rPr>
            </w:pPr>
            <w:r w:rsidRPr="002F7364">
              <w:rPr>
                <w:rFonts w:cs="Calibri"/>
                <w:color w:val="000000"/>
                <w:szCs w:val="22"/>
              </w:rPr>
              <w:t>$739,621</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3C30E22A" w14:textId="7A334CED" w:rsidR="003901B7" w:rsidRPr="002F7364" w:rsidRDefault="003901B7" w:rsidP="002F7364">
            <w:pPr>
              <w:jc w:val="center"/>
              <w:rPr>
                <w:rFonts w:cs="Calibri"/>
                <w:color w:val="000000"/>
                <w:szCs w:val="22"/>
              </w:rPr>
            </w:pPr>
            <w:r w:rsidRPr="002F7364">
              <w:rPr>
                <w:rFonts w:cs="Calibri"/>
                <w:color w:val="000000"/>
                <w:szCs w:val="22"/>
              </w:rPr>
              <w:t>$11,938,446</w:t>
            </w:r>
          </w:p>
        </w:tc>
        <w:tc>
          <w:tcPr>
            <w:tcW w:w="1530" w:type="dxa"/>
            <w:tcBorders>
              <w:top w:val="nil"/>
              <w:left w:val="single" w:sz="4" w:space="0" w:color="auto"/>
              <w:bottom w:val="single" w:sz="4" w:space="0" w:color="auto"/>
              <w:right w:val="nil"/>
            </w:tcBorders>
            <w:shd w:val="clear" w:color="auto" w:fill="auto"/>
            <w:noWrap/>
            <w:vAlign w:val="bottom"/>
            <w:hideMark/>
          </w:tcPr>
          <w:p w14:paraId="3A613C07" w14:textId="77777777" w:rsidR="003901B7" w:rsidRPr="002F7364" w:rsidRDefault="003901B7" w:rsidP="002F7364">
            <w:pPr>
              <w:jc w:val="center"/>
              <w:rPr>
                <w:rFonts w:cs="Calibri"/>
                <w:color w:val="000000"/>
                <w:szCs w:val="22"/>
              </w:rPr>
            </w:pPr>
            <w:r w:rsidRPr="002F7364">
              <w:rPr>
                <w:rFonts w:cs="Calibri"/>
                <w:color w:val="000000"/>
                <w:szCs w:val="22"/>
              </w:rPr>
              <w:t>2,677</w:t>
            </w:r>
          </w:p>
        </w:tc>
        <w:tc>
          <w:tcPr>
            <w:tcW w:w="2160" w:type="dxa"/>
            <w:tcBorders>
              <w:top w:val="nil"/>
              <w:left w:val="single" w:sz="4" w:space="0" w:color="auto"/>
              <w:bottom w:val="single" w:sz="4" w:space="0" w:color="auto"/>
              <w:right w:val="single" w:sz="8" w:space="0" w:color="auto"/>
            </w:tcBorders>
            <w:shd w:val="clear" w:color="000000" w:fill="C6E0B4"/>
            <w:noWrap/>
            <w:vAlign w:val="bottom"/>
            <w:hideMark/>
          </w:tcPr>
          <w:p w14:paraId="3F48990E" w14:textId="77777777" w:rsidR="003901B7" w:rsidRPr="002F7364" w:rsidRDefault="003901B7" w:rsidP="002F7364">
            <w:pPr>
              <w:jc w:val="center"/>
              <w:rPr>
                <w:rFonts w:cs="Calibri"/>
                <w:color w:val="000000"/>
                <w:szCs w:val="22"/>
              </w:rPr>
            </w:pPr>
            <w:r w:rsidRPr="002F7364">
              <w:rPr>
                <w:rFonts w:cs="Calibri"/>
                <w:color w:val="000000"/>
                <w:szCs w:val="22"/>
              </w:rPr>
              <w:t>2,809</w:t>
            </w:r>
          </w:p>
        </w:tc>
      </w:tr>
      <w:tr w:rsidR="003901B7" w:rsidRPr="002F7364" w14:paraId="352E591A" w14:textId="77777777" w:rsidTr="006317C3">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19C126C7" w14:textId="77777777" w:rsidR="003901B7" w:rsidRPr="002F7364" w:rsidRDefault="003901B7" w:rsidP="002F7364">
            <w:pPr>
              <w:rPr>
                <w:rFonts w:cs="Calibri"/>
                <w:color w:val="000000"/>
                <w:szCs w:val="22"/>
              </w:rPr>
            </w:pPr>
            <w:r w:rsidRPr="002F7364">
              <w:rPr>
                <w:rFonts w:cs="Calibri"/>
                <w:color w:val="000000"/>
                <w:szCs w:val="22"/>
              </w:rPr>
              <w:t>Coastal Bend</w:t>
            </w:r>
          </w:p>
        </w:tc>
        <w:tc>
          <w:tcPr>
            <w:tcW w:w="450" w:type="dxa"/>
            <w:tcBorders>
              <w:top w:val="nil"/>
              <w:left w:val="nil"/>
              <w:bottom w:val="single" w:sz="4" w:space="0" w:color="auto"/>
              <w:right w:val="single" w:sz="8" w:space="0" w:color="auto"/>
            </w:tcBorders>
            <w:shd w:val="clear" w:color="auto" w:fill="auto"/>
            <w:noWrap/>
            <w:vAlign w:val="center"/>
            <w:hideMark/>
          </w:tcPr>
          <w:p w14:paraId="21F962FB" w14:textId="77777777" w:rsidR="003901B7" w:rsidRPr="002F7364" w:rsidRDefault="003901B7" w:rsidP="002F7364">
            <w:pPr>
              <w:jc w:val="center"/>
              <w:rPr>
                <w:rFonts w:cs="Calibri"/>
                <w:szCs w:val="22"/>
              </w:rPr>
            </w:pPr>
            <w:r w:rsidRPr="002F7364">
              <w:rPr>
                <w:rFonts w:cs="Calibri"/>
                <w:szCs w:val="22"/>
              </w:rPr>
              <w:t>22</w:t>
            </w:r>
          </w:p>
        </w:tc>
        <w:tc>
          <w:tcPr>
            <w:tcW w:w="1260" w:type="dxa"/>
            <w:tcBorders>
              <w:top w:val="nil"/>
              <w:left w:val="single" w:sz="4" w:space="0" w:color="auto"/>
              <w:bottom w:val="single" w:sz="4" w:space="0" w:color="auto"/>
              <w:right w:val="nil"/>
            </w:tcBorders>
            <w:shd w:val="clear" w:color="auto" w:fill="auto"/>
            <w:noWrap/>
            <w:vAlign w:val="bottom"/>
            <w:hideMark/>
          </w:tcPr>
          <w:p w14:paraId="775703FB" w14:textId="1D1B2912" w:rsidR="003901B7" w:rsidRPr="002F7364" w:rsidRDefault="003901B7" w:rsidP="002F7364">
            <w:pPr>
              <w:jc w:val="center"/>
              <w:rPr>
                <w:rFonts w:cs="Calibri"/>
                <w:color w:val="000000"/>
                <w:szCs w:val="22"/>
              </w:rPr>
            </w:pPr>
            <w:r w:rsidRPr="002F7364">
              <w:rPr>
                <w:rFonts w:cs="Calibri"/>
                <w:color w:val="000000"/>
                <w:szCs w:val="22"/>
              </w:rPr>
              <w:t>$2.22</w:t>
            </w:r>
          </w:p>
        </w:tc>
        <w:tc>
          <w:tcPr>
            <w:tcW w:w="1350" w:type="dxa"/>
            <w:tcBorders>
              <w:top w:val="nil"/>
              <w:left w:val="single" w:sz="4" w:space="0" w:color="auto"/>
              <w:bottom w:val="single" w:sz="4" w:space="0" w:color="auto"/>
              <w:right w:val="nil"/>
            </w:tcBorders>
            <w:shd w:val="clear" w:color="auto" w:fill="auto"/>
            <w:noWrap/>
            <w:vAlign w:val="bottom"/>
            <w:hideMark/>
          </w:tcPr>
          <w:p w14:paraId="6040BB5A" w14:textId="36034C84" w:rsidR="003901B7" w:rsidRPr="002F7364" w:rsidRDefault="003901B7" w:rsidP="002F7364">
            <w:pPr>
              <w:jc w:val="center"/>
              <w:rPr>
                <w:rFonts w:cs="Calibri"/>
                <w:color w:val="000000"/>
                <w:szCs w:val="22"/>
              </w:rPr>
            </w:pPr>
            <w:r w:rsidRPr="002F7364">
              <w:rPr>
                <w:rFonts w:cs="Calibri"/>
                <w:color w:val="000000"/>
                <w:szCs w:val="22"/>
              </w:rPr>
              <w:t>$23.56</w:t>
            </w:r>
          </w:p>
        </w:tc>
        <w:tc>
          <w:tcPr>
            <w:tcW w:w="1440" w:type="dxa"/>
            <w:tcBorders>
              <w:top w:val="nil"/>
              <w:left w:val="single" w:sz="4" w:space="0" w:color="auto"/>
              <w:bottom w:val="single" w:sz="4" w:space="0" w:color="auto"/>
              <w:right w:val="nil"/>
            </w:tcBorders>
            <w:shd w:val="clear" w:color="auto" w:fill="auto"/>
            <w:noWrap/>
            <w:vAlign w:val="bottom"/>
            <w:hideMark/>
          </w:tcPr>
          <w:p w14:paraId="48B03C64" w14:textId="379B278A" w:rsidR="003901B7" w:rsidRPr="002F7364" w:rsidRDefault="003901B7" w:rsidP="002F7364">
            <w:pPr>
              <w:jc w:val="center"/>
              <w:rPr>
                <w:rFonts w:cs="Calibri"/>
                <w:color w:val="000000"/>
                <w:szCs w:val="22"/>
              </w:rPr>
            </w:pPr>
            <w:r w:rsidRPr="002F7364">
              <w:rPr>
                <w:rFonts w:cs="Calibri"/>
                <w:color w:val="000000"/>
                <w:szCs w:val="22"/>
              </w:rPr>
              <w:t>$18.58</w:t>
            </w:r>
          </w:p>
        </w:tc>
        <w:tc>
          <w:tcPr>
            <w:tcW w:w="1260" w:type="dxa"/>
            <w:tcBorders>
              <w:top w:val="nil"/>
              <w:left w:val="single" w:sz="4" w:space="0" w:color="auto"/>
              <w:bottom w:val="single" w:sz="4" w:space="0" w:color="auto"/>
              <w:right w:val="nil"/>
            </w:tcBorders>
            <w:shd w:val="clear" w:color="auto" w:fill="auto"/>
            <w:noWrap/>
            <w:vAlign w:val="bottom"/>
            <w:hideMark/>
          </w:tcPr>
          <w:p w14:paraId="2C09A5D7" w14:textId="77777777" w:rsidR="003901B7" w:rsidRPr="002F7364" w:rsidRDefault="003901B7" w:rsidP="002F7364">
            <w:pPr>
              <w:jc w:val="center"/>
              <w:rPr>
                <w:rFonts w:cs="Calibri"/>
                <w:color w:val="000000"/>
                <w:szCs w:val="22"/>
              </w:rPr>
            </w:pPr>
            <w:r w:rsidRPr="002F7364">
              <w:rPr>
                <w:rFonts w:cs="Calibri"/>
                <w:color w:val="000000"/>
                <w:szCs w:val="22"/>
              </w:rPr>
              <w:t>261</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092BF6F6" w14:textId="5648ACD4" w:rsidR="003901B7" w:rsidRPr="002F7364" w:rsidRDefault="003901B7" w:rsidP="002F7364">
            <w:pPr>
              <w:jc w:val="center"/>
              <w:rPr>
                <w:rFonts w:cs="Calibri"/>
                <w:color w:val="000000"/>
                <w:szCs w:val="22"/>
              </w:rPr>
            </w:pPr>
            <w:r w:rsidRPr="002F7364">
              <w:rPr>
                <w:rFonts w:cs="Calibri"/>
                <w:color w:val="000000"/>
                <w:szCs w:val="22"/>
              </w:rPr>
              <w:t>$1,762,776</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76ADE446" w14:textId="3D1B16BC" w:rsidR="003901B7" w:rsidRPr="002F7364" w:rsidRDefault="003901B7" w:rsidP="002F7364">
            <w:pPr>
              <w:jc w:val="center"/>
              <w:rPr>
                <w:rFonts w:cs="Calibri"/>
                <w:color w:val="000000"/>
                <w:szCs w:val="22"/>
              </w:rPr>
            </w:pPr>
            <w:r w:rsidRPr="002F7364">
              <w:rPr>
                <w:rFonts w:cs="Calibri"/>
                <w:color w:val="000000"/>
                <w:szCs w:val="22"/>
              </w:rPr>
              <w:t>$12,972,902</w:t>
            </w:r>
          </w:p>
        </w:tc>
        <w:tc>
          <w:tcPr>
            <w:tcW w:w="1530" w:type="dxa"/>
            <w:tcBorders>
              <w:top w:val="nil"/>
              <w:left w:val="single" w:sz="4" w:space="0" w:color="auto"/>
              <w:bottom w:val="single" w:sz="4" w:space="0" w:color="auto"/>
              <w:right w:val="nil"/>
            </w:tcBorders>
            <w:shd w:val="clear" w:color="auto" w:fill="auto"/>
            <w:noWrap/>
            <w:vAlign w:val="bottom"/>
            <w:hideMark/>
          </w:tcPr>
          <w:p w14:paraId="081B5861" w14:textId="77777777" w:rsidR="003901B7" w:rsidRPr="002F7364" w:rsidRDefault="003901B7" w:rsidP="002F7364">
            <w:pPr>
              <w:jc w:val="center"/>
              <w:rPr>
                <w:rFonts w:cs="Calibri"/>
                <w:color w:val="000000"/>
                <w:szCs w:val="22"/>
              </w:rPr>
            </w:pPr>
            <w:r w:rsidRPr="002F7364">
              <w:rPr>
                <w:rFonts w:cs="Calibri"/>
                <w:color w:val="000000"/>
                <w:szCs w:val="22"/>
              </w:rPr>
              <w:t>2,380</w:t>
            </w:r>
          </w:p>
        </w:tc>
        <w:tc>
          <w:tcPr>
            <w:tcW w:w="2160" w:type="dxa"/>
            <w:tcBorders>
              <w:top w:val="nil"/>
              <w:left w:val="single" w:sz="4" w:space="0" w:color="auto"/>
              <w:bottom w:val="single" w:sz="4" w:space="0" w:color="auto"/>
              <w:right w:val="single" w:sz="8" w:space="0" w:color="auto"/>
            </w:tcBorders>
            <w:shd w:val="clear" w:color="000000" w:fill="C6E0B4"/>
            <w:noWrap/>
            <w:vAlign w:val="bottom"/>
            <w:hideMark/>
          </w:tcPr>
          <w:p w14:paraId="1C1A39F6" w14:textId="77777777" w:rsidR="003901B7" w:rsidRPr="002F7364" w:rsidRDefault="003901B7" w:rsidP="002F7364">
            <w:pPr>
              <w:jc w:val="center"/>
              <w:rPr>
                <w:rFonts w:cs="Calibri"/>
                <w:color w:val="000000"/>
                <w:szCs w:val="22"/>
              </w:rPr>
            </w:pPr>
            <w:r w:rsidRPr="002F7364">
              <w:rPr>
                <w:rFonts w:cs="Calibri"/>
                <w:color w:val="000000"/>
                <w:szCs w:val="22"/>
              </w:rPr>
              <w:t>2,641</w:t>
            </w:r>
          </w:p>
        </w:tc>
      </w:tr>
      <w:tr w:rsidR="003901B7" w:rsidRPr="002F7364" w14:paraId="43F8EB2A" w14:textId="77777777" w:rsidTr="006317C3">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4E1CFFE7" w14:textId="77777777" w:rsidR="003901B7" w:rsidRPr="002F7364" w:rsidRDefault="003901B7" w:rsidP="002F7364">
            <w:pPr>
              <w:rPr>
                <w:rFonts w:cs="Calibri"/>
                <w:color w:val="000000"/>
                <w:szCs w:val="22"/>
              </w:rPr>
            </w:pPr>
            <w:r w:rsidRPr="002F7364">
              <w:rPr>
                <w:rFonts w:cs="Calibri"/>
                <w:color w:val="000000"/>
                <w:szCs w:val="22"/>
              </w:rPr>
              <w:t>Lower Rio</w:t>
            </w:r>
          </w:p>
        </w:tc>
        <w:tc>
          <w:tcPr>
            <w:tcW w:w="450" w:type="dxa"/>
            <w:tcBorders>
              <w:top w:val="nil"/>
              <w:left w:val="nil"/>
              <w:bottom w:val="single" w:sz="4" w:space="0" w:color="auto"/>
              <w:right w:val="single" w:sz="8" w:space="0" w:color="auto"/>
            </w:tcBorders>
            <w:shd w:val="clear" w:color="auto" w:fill="auto"/>
            <w:noWrap/>
            <w:vAlign w:val="center"/>
            <w:hideMark/>
          </w:tcPr>
          <w:p w14:paraId="4992295E" w14:textId="77777777" w:rsidR="003901B7" w:rsidRPr="002F7364" w:rsidRDefault="003901B7" w:rsidP="002F7364">
            <w:pPr>
              <w:jc w:val="center"/>
              <w:rPr>
                <w:rFonts w:cs="Calibri"/>
                <w:szCs w:val="22"/>
              </w:rPr>
            </w:pPr>
            <w:r w:rsidRPr="002F7364">
              <w:rPr>
                <w:rFonts w:cs="Calibri"/>
                <w:szCs w:val="22"/>
              </w:rPr>
              <w:t>23</w:t>
            </w:r>
          </w:p>
        </w:tc>
        <w:tc>
          <w:tcPr>
            <w:tcW w:w="1260" w:type="dxa"/>
            <w:tcBorders>
              <w:top w:val="nil"/>
              <w:left w:val="single" w:sz="4" w:space="0" w:color="auto"/>
              <w:bottom w:val="single" w:sz="4" w:space="0" w:color="auto"/>
              <w:right w:val="nil"/>
            </w:tcBorders>
            <w:shd w:val="clear" w:color="auto" w:fill="auto"/>
            <w:noWrap/>
            <w:vAlign w:val="bottom"/>
            <w:hideMark/>
          </w:tcPr>
          <w:p w14:paraId="0749DCEF" w14:textId="5343FC58" w:rsidR="003901B7" w:rsidRPr="002F7364" w:rsidRDefault="003901B7" w:rsidP="002F7364">
            <w:pPr>
              <w:jc w:val="center"/>
              <w:rPr>
                <w:rFonts w:cs="Calibri"/>
                <w:color w:val="000000"/>
                <w:szCs w:val="22"/>
              </w:rPr>
            </w:pPr>
            <w:r w:rsidRPr="002F7364">
              <w:rPr>
                <w:rFonts w:cs="Calibri"/>
                <w:color w:val="000000"/>
                <w:szCs w:val="22"/>
              </w:rPr>
              <w:t>$1.34</w:t>
            </w:r>
          </w:p>
        </w:tc>
        <w:tc>
          <w:tcPr>
            <w:tcW w:w="1350" w:type="dxa"/>
            <w:tcBorders>
              <w:top w:val="nil"/>
              <w:left w:val="single" w:sz="4" w:space="0" w:color="auto"/>
              <w:bottom w:val="single" w:sz="4" w:space="0" w:color="auto"/>
              <w:right w:val="nil"/>
            </w:tcBorders>
            <w:shd w:val="clear" w:color="auto" w:fill="auto"/>
            <w:noWrap/>
            <w:vAlign w:val="bottom"/>
            <w:hideMark/>
          </w:tcPr>
          <w:p w14:paraId="37AD71E0" w14:textId="723491D5" w:rsidR="003901B7" w:rsidRPr="002F7364" w:rsidRDefault="003901B7" w:rsidP="002F7364">
            <w:pPr>
              <w:jc w:val="center"/>
              <w:rPr>
                <w:rFonts w:cs="Calibri"/>
                <w:color w:val="000000"/>
                <w:szCs w:val="22"/>
              </w:rPr>
            </w:pPr>
            <w:r w:rsidRPr="002F7364">
              <w:rPr>
                <w:rFonts w:cs="Calibri"/>
                <w:color w:val="000000"/>
                <w:szCs w:val="22"/>
              </w:rPr>
              <w:t>$18.22</w:t>
            </w:r>
          </w:p>
        </w:tc>
        <w:tc>
          <w:tcPr>
            <w:tcW w:w="1440" w:type="dxa"/>
            <w:tcBorders>
              <w:top w:val="nil"/>
              <w:left w:val="single" w:sz="4" w:space="0" w:color="auto"/>
              <w:bottom w:val="single" w:sz="4" w:space="0" w:color="auto"/>
              <w:right w:val="nil"/>
            </w:tcBorders>
            <w:shd w:val="clear" w:color="auto" w:fill="auto"/>
            <w:noWrap/>
            <w:vAlign w:val="bottom"/>
            <w:hideMark/>
          </w:tcPr>
          <w:p w14:paraId="5D06295C" w14:textId="65CB9EB9" w:rsidR="003901B7" w:rsidRPr="002F7364" w:rsidRDefault="003901B7" w:rsidP="002F7364">
            <w:pPr>
              <w:jc w:val="center"/>
              <w:rPr>
                <w:rFonts w:cs="Calibri"/>
                <w:color w:val="000000"/>
                <w:szCs w:val="22"/>
              </w:rPr>
            </w:pPr>
            <w:r w:rsidRPr="002F7364">
              <w:rPr>
                <w:rFonts w:cs="Calibri"/>
                <w:color w:val="000000"/>
                <w:szCs w:val="22"/>
              </w:rPr>
              <w:t>$14.04</w:t>
            </w:r>
          </w:p>
        </w:tc>
        <w:tc>
          <w:tcPr>
            <w:tcW w:w="1260" w:type="dxa"/>
            <w:tcBorders>
              <w:top w:val="nil"/>
              <w:left w:val="single" w:sz="4" w:space="0" w:color="auto"/>
              <w:bottom w:val="single" w:sz="4" w:space="0" w:color="auto"/>
              <w:right w:val="nil"/>
            </w:tcBorders>
            <w:shd w:val="clear" w:color="auto" w:fill="auto"/>
            <w:noWrap/>
            <w:vAlign w:val="bottom"/>
            <w:hideMark/>
          </w:tcPr>
          <w:p w14:paraId="506DA362" w14:textId="77777777" w:rsidR="003901B7" w:rsidRPr="002F7364" w:rsidRDefault="003901B7" w:rsidP="002F7364">
            <w:pPr>
              <w:jc w:val="center"/>
              <w:rPr>
                <w:rFonts w:cs="Calibri"/>
                <w:color w:val="000000"/>
                <w:szCs w:val="22"/>
              </w:rPr>
            </w:pPr>
            <w:r w:rsidRPr="002F7364">
              <w:rPr>
                <w:rFonts w:cs="Calibri"/>
                <w:color w:val="000000"/>
                <w:szCs w:val="22"/>
              </w:rPr>
              <w:t>468</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1921D533" w14:textId="4F951345" w:rsidR="003901B7" w:rsidRPr="002F7364" w:rsidRDefault="003901B7" w:rsidP="002F7364">
            <w:pPr>
              <w:jc w:val="center"/>
              <w:rPr>
                <w:rFonts w:cs="Calibri"/>
                <w:color w:val="000000"/>
                <w:szCs w:val="22"/>
              </w:rPr>
            </w:pPr>
            <w:r w:rsidRPr="002F7364">
              <w:rPr>
                <w:rFonts w:cs="Calibri"/>
                <w:color w:val="000000"/>
                <w:szCs w:val="22"/>
              </w:rPr>
              <w:t>$2,398,176</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41FCBCE6" w14:textId="251125C5" w:rsidR="003901B7" w:rsidRPr="002F7364" w:rsidRDefault="003901B7" w:rsidP="002F7364">
            <w:pPr>
              <w:jc w:val="center"/>
              <w:rPr>
                <w:rFonts w:cs="Calibri"/>
                <w:color w:val="000000"/>
                <w:szCs w:val="22"/>
              </w:rPr>
            </w:pPr>
            <w:r w:rsidRPr="002F7364">
              <w:rPr>
                <w:rFonts w:cs="Calibri"/>
                <w:color w:val="000000"/>
                <w:szCs w:val="22"/>
              </w:rPr>
              <w:t>$38,279,573</w:t>
            </w:r>
          </w:p>
        </w:tc>
        <w:tc>
          <w:tcPr>
            <w:tcW w:w="1530" w:type="dxa"/>
            <w:tcBorders>
              <w:top w:val="nil"/>
              <w:left w:val="single" w:sz="4" w:space="0" w:color="auto"/>
              <w:bottom w:val="single" w:sz="4" w:space="0" w:color="auto"/>
              <w:right w:val="nil"/>
            </w:tcBorders>
            <w:shd w:val="clear" w:color="auto" w:fill="auto"/>
            <w:noWrap/>
            <w:vAlign w:val="bottom"/>
            <w:hideMark/>
          </w:tcPr>
          <w:p w14:paraId="17E7A650" w14:textId="77777777" w:rsidR="003901B7" w:rsidRPr="002F7364" w:rsidRDefault="003901B7" w:rsidP="002F7364">
            <w:pPr>
              <w:jc w:val="center"/>
              <w:rPr>
                <w:rFonts w:cs="Calibri"/>
                <w:color w:val="000000"/>
                <w:szCs w:val="22"/>
              </w:rPr>
            </w:pPr>
            <w:r w:rsidRPr="002F7364">
              <w:rPr>
                <w:rFonts w:cs="Calibri"/>
                <w:color w:val="000000"/>
                <w:szCs w:val="22"/>
              </w:rPr>
              <w:t>9,502</w:t>
            </w:r>
          </w:p>
        </w:tc>
        <w:tc>
          <w:tcPr>
            <w:tcW w:w="2160" w:type="dxa"/>
            <w:tcBorders>
              <w:top w:val="nil"/>
              <w:left w:val="single" w:sz="4" w:space="0" w:color="auto"/>
              <w:bottom w:val="single" w:sz="4" w:space="0" w:color="auto"/>
              <w:right w:val="single" w:sz="8" w:space="0" w:color="auto"/>
            </w:tcBorders>
            <w:shd w:val="clear" w:color="000000" w:fill="C6E0B4"/>
            <w:noWrap/>
            <w:vAlign w:val="bottom"/>
            <w:hideMark/>
          </w:tcPr>
          <w:p w14:paraId="2CE40DFA" w14:textId="77777777" w:rsidR="003901B7" w:rsidRPr="002F7364" w:rsidRDefault="003901B7" w:rsidP="002F7364">
            <w:pPr>
              <w:jc w:val="center"/>
              <w:rPr>
                <w:rFonts w:cs="Calibri"/>
                <w:color w:val="000000"/>
                <w:szCs w:val="22"/>
              </w:rPr>
            </w:pPr>
            <w:r w:rsidRPr="002F7364">
              <w:rPr>
                <w:rFonts w:cs="Calibri"/>
                <w:color w:val="000000"/>
                <w:szCs w:val="22"/>
              </w:rPr>
              <w:t>9,970</w:t>
            </w:r>
          </w:p>
        </w:tc>
      </w:tr>
      <w:tr w:rsidR="003901B7" w:rsidRPr="002F7364" w14:paraId="41FC159B" w14:textId="77777777" w:rsidTr="006317C3">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3F627EB4" w14:textId="77777777" w:rsidR="003901B7" w:rsidRPr="002F7364" w:rsidRDefault="003901B7" w:rsidP="002F7364">
            <w:pPr>
              <w:rPr>
                <w:rFonts w:cs="Calibri"/>
                <w:color w:val="000000"/>
                <w:szCs w:val="22"/>
              </w:rPr>
            </w:pPr>
            <w:r w:rsidRPr="002F7364">
              <w:rPr>
                <w:rFonts w:cs="Calibri"/>
                <w:color w:val="000000"/>
                <w:szCs w:val="22"/>
              </w:rPr>
              <w:t>Cameron</w:t>
            </w:r>
          </w:p>
        </w:tc>
        <w:tc>
          <w:tcPr>
            <w:tcW w:w="450" w:type="dxa"/>
            <w:tcBorders>
              <w:top w:val="nil"/>
              <w:left w:val="nil"/>
              <w:bottom w:val="single" w:sz="4" w:space="0" w:color="auto"/>
              <w:right w:val="single" w:sz="8" w:space="0" w:color="auto"/>
            </w:tcBorders>
            <w:shd w:val="clear" w:color="auto" w:fill="auto"/>
            <w:noWrap/>
            <w:vAlign w:val="center"/>
            <w:hideMark/>
          </w:tcPr>
          <w:p w14:paraId="40A38E11" w14:textId="77777777" w:rsidR="003901B7" w:rsidRPr="002F7364" w:rsidRDefault="003901B7" w:rsidP="002F7364">
            <w:pPr>
              <w:jc w:val="center"/>
              <w:rPr>
                <w:rFonts w:cs="Calibri"/>
                <w:szCs w:val="22"/>
              </w:rPr>
            </w:pPr>
            <w:r w:rsidRPr="002F7364">
              <w:rPr>
                <w:rFonts w:cs="Calibri"/>
                <w:szCs w:val="22"/>
              </w:rPr>
              <w:t>24</w:t>
            </w:r>
          </w:p>
        </w:tc>
        <w:tc>
          <w:tcPr>
            <w:tcW w:w="1260" w:type="dxa"/>
            <w:tcBorders>
              <w:top w:val="nil"/>
              <w:left w:val="single" w:sz="4" w:space="0" w:color="auto"/>
              <w:bottom w:val="single" w:sz="4" w:space="0" w:color="auto"/>
              <w:right w:val="nil"/>
            </w:tcBorders>
            <w:shd w:val="clear" w:color="auto" w:fill="auto"/>
            <w:noWrap/>
            <w:vAlign w:val="bottom"/>
            <w:hideMark/>
          </w:tcPr>
          <w:p w14:paraId="5D8DF160" w14:textId="1DE2B908" w:rsidR="003901B7" w:rsidRPr="002F7364" w:rsidRDefault="003901B7" w:rsidP="002F7364">
            <w:pPr>
              <w:jc w:val="center"/>
              <w:rPr>
                <w:rFonts w:cs="Calibri"/>
                <w:color w:val="000000"/>
                <w:szCs w:val="22"/>
              </w:rPr>
            </w:pPr>
            <w:r w:rsidRPr="002F7364">
              <w:rPr>
                <w:rFonts w:cs="Calibri"/>
                <w:color w:val="000000"/>
                <w:szCs w:val="22"/>
              </w:rPr>
              <w:t>$1.10</w:t>
            </w:r>
          </w:p>
        </w:tc>
        <w:tc>
          <w:tcPr>
            <w:tcW w:w="1350" w:type="dxa"/>
            <w:tcBorders>
              <w:top w:val="nil"/>
              <w:left w:val="single" w:sz="4" w:space="0" w:color="auto"/>
              <w:bottom w:val="single" w:sz="4" w:space="0" w:color="auto"/>
              <w:right w:val="nil"/>
            </w:tcBorders>
            <w:shd w:val="clear" w:color="auto" w:fill="auto"/>
            <w:noWrap/>
            <w:vAlign w:val="bottom"/>
            <w:hideMark/>
          </w:tcPr>
          <w:p w14:paraId="2971C97E" w14:textId="1DE11FCE" w:rsidR="003901B7" w:rsidRPr="002F7364" w:rsidRDefault="003901B7" w:rsidP="002F7364">
            <w:pPr>
              <w:jc w:val="center"/>
              <w:rPr>
                <w:rFonts w:cs="Calibri"/>
                <w:color w:val="000000"/>
                <w:szCs w:val="22"/>
              </w:rPr>
            </w:pPr>
            <w:r w:rsidRPr="002F7364">
              <w:rPr>
                <w:rFonts w:cs="Calibri"/>
                <w:color w:val="000000"/>
                <w:szCs w:val="22"/>
              </w:rPr>
              <w:t>$18.06</w:t>
            </w:r>
          </w:p>
        </w:tc>
        <w:tc>
          <w:tcPr>
            <w:tcW w:w="1440" w:type="dxa"/>
            <w:tcBorders>
              <w:top w:val="nil"/>
              <w:left w:val="single" w:sz="4" w:space="0" w:color="auto"/>
              <w:bottom w:val="single" w:sz="4" w:space="0" w:color="auto"/>
              <w:right w:val="nil"/>
            </w:tcBorders>
            <w:shd w:val="clear" w:color="auto" w:fill="auto"/>
            <w:noWrap/>
            <w:vAlign w:val="bottom"/>
            <w:hideMark/>
          </w:tcPr>
          <w:p w14:paraId="56ED3391" w14:textId="608DE8A4" w:rsidR="003901B7" w:rsidRPr="002F7364" w:rsidRDefault="003901B7" w:rsidP="002F7364">
            <w:pPr>
              <w:jc w:val="center"/>
              <w:rPr>
                <w:rFonts w:cs="Calibri"/>
                <w:color w:val="000000"/>
                <w:szCs w:val="22"/>
              </w:rPr>
            </w:pPr>
            <w:r w:rsidRPr="002F7364">
              <w:rPr>
                <w:rFonts w:cs="Calibri"/>
                <w:color w:val="000000"/>
                <w:szCs w:val="22"/>
              </w:rPr>
              <w:t>$14.36</w:t>
            </w:r>
          </w:p>
        </w:tc>
        <w:tc>
          <w:tcPr>
            <w:tcW w:w="1260" w:type="dxa"/>
            <w:tcBorders>
              <w:top w:val="nil"/>
              <w:left w:val="single" w:sz="4" w:space="0" w:color="auto"/>
              <w:bottom w:val="single" w:sz="4" w:space="0" w:color="auto"/>
              <w:right w:val="nil"/>
            </w:tcBorders>
            <w:shd w:val="clear" w:color="auto" w:fill="auto"/>
            <w:noWrap/>
            <w:vAlign w:val="bottom"/>
            <w:hideMark/>
          </w:tcPr>
          <w:p w14:paraId="64E017FE" w14:textId="77777777" w:rsidR="003901B7" w:rsidRPr="002F7364" w:rsidRDefault="003901B7" w:rsidP="002F7364">
            <w:pPr>
              <w:jc w:val="center"/>
              <w:rPr>
                <w:rFonts w:cs="Calibri"/>
                <w:color w:val="000000"/>
                <w:szCs w:val="22"/>
              </w:rPr>
            </w:pPr>
            <w:r w:rsidRPr="002F7364">
              <w:rPr>
                <w:rFonts w:cs="Calibri"/>
                <w:color w:val="000000"/>
                <w:szCs w:val="22"/>
              </w:rPr>
              <w:t>312</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04054EB5" w14:textId="3F22CE5E" w:rsidR="003901B7" w:rsidRPr="002F7364" w:rsidRDefault="003901B7" w:rsidP="002F7364">
            <w:pPr>
              <w:jc w:val="center"/>
              <w:rPr>
                <w:rFonts w:cs="Calibri"/>
                <w:color w:val="000000"/>
                <w:szCs w:val="22"/>
              </w:rPr>
            </w:pPr>
            <w:r w:rsidRPr="002F7364">
              <w:rPr>
                <w:rFonts w:cs="Calibri"/>
                <w:color w:val="000000"/>
                <w:szCs w:val="22"/>
              </w:rPr>
              <w:t>$1,566,407</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5AA92AA7" w14:textId="3553D07A" w:rsidR="003901B7" w:rsidRPr="002F7364" w:rsidRDefault="003901B7" w:rsidP="002F7364">
            <w:pPr>
              <w:jc w:val="center"/>
              <w:rPr>
                <w:rFonts w:cs="Calibri"/>
                <w:color w:val="000000"/>
                <w:szCs w:val="22"/>
              </w:rPr>
            </w:pPr>
            <w:r w:rsidRPr="002F7364">
              <w:rPr>
                <w:rFonts w:cs="Calibri"/>
                <w:color w:val="000000"/>
                <w:szCs w:val="22"/>
              </w:rPr>
              <w:t>$15,278,839</w:t>
            </w:r>
          </w:p>
        </w:tc>
        <w:tc>
          <w:tcPr>
            <w:tcW w:w="1530" w:type="dxa"/>
            <w:tcBorders>
              <w:top w:val="nil"/>
              <w:left w:val="single" w:sz="4" w:space="0" w:color="auto"/>
              <w:bottom w:val="single" w:sz="4" w:space="0" w:color="auto"/>
              <w:right w:val="nil"/>
            </w:tcBorders>
            <w:shd w:val="clear" w:color="auto" w:fill="auto"/>
            <w:noWrap/>
            <w:vAlign w:val="bottom"/>
            <w:hideMark/>
          </w:tcPr>
          <w:p w14:paraId="26D62BA6" w14:textId="77777777" w:rsidR="003901B7" w:rsidRPr="002F7364" w:rsidRDefault="003901B7" w:rsidP="002F7364">
            <w:pPr>
              <w:jc w:val="center"/>
              <w:rPr>
                <w:rFonts w:cs="Calibri"/>
                <w:color w:val="000000"/>
                <w:szCs w:val="22"/>
              </w:rPr>
            </w:pPr>
            <w:r w:rsidRPr="002F7364">
              <w:rPr>
                <w:rFonts w:cs="Calibri"/>
                <w:color w:val="000000"/>
                <w:szCs w:val="22"/>
              </w:rPr>
              <w:t>3,771</w:t>
            </w:r>
          </w:p>
        </w:tc>
        <w:tc>
          <w:tcPr>
            <w:tcW w:w="2160" w:type="dxa"/>
            <w:tcBorders>
              <w:top w:val="nil"/>
              <w:left w:val="single" w:sz="4" w:space="0" w:color="auto"/>
              <w:bottom w:val="single" w:sz="4" w:space="0" w:color="auto"/>
              <w:right w:val="single" w:sz="8" w:space="0" w:color="auto"/>
            </w:tcBorders>
            <w:shd w:val="clear" w:color="000000" w:fill="C6E0B4"/>
            <w:noWrap/>
            <w:vAlign w:val="bottom"/>
            <w:hideMark/>
          </w:tcPr>
          <w:p w14:paraId="01555720" w14:textId="77777777" w:rsidR="003901B7" w:rsidRPr="002F7364" w:rsidRDefault="003901B7" w:rsidP="002F7364">
            <w:pPr>
              <w:jc w:val="center"/>
              <w:rPr>
                <w:rFonts w:cs="Calibri"/>
                <w:color w:val="000000"/>
                <w:szCs w:val="22"/>
              </w:rPr>
            </w:pPr>
            <w:r w:rsidRPr="002F7364">
              <w:rPr>
                <w:rFonts w:cs="Calibri"/>
                <w:color w:val="000000"/>
                <w:szCs w:val="22"/>
              </w:rPr>
              <w:t>4,083</w:t>
            </w:r>
          </w:p>
        </w:tc>
      </w:tr>
      <w:tr w:rsidR="003901B7" w:rsidRPr="002F7364" w14:paraId="423B9034" w14:textId="77777777" w:rsidTr="006317C3">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7ED5B0E0" w14:textId="77777777" w:rsidR="003901B7" w:rsidRPr="002F7364" w:rsidRDefault="003901B7" w:rsidP="002F7364">
            <w:pPr>
              <w:rPr>
                <w:rFonts w:cs="Calibri"/>
                <w:color w:val="000000"/>
                <w:szCs w:val="22"/>
              </w:rPr>
            </w:pPr>
            <w:r w:rsidRPr="002F7364">
              <w:rPr>
                <w:rFonts w:cs="Calibri"/>
                <w:color w:val="000000"/>
                <w:szCs w:val="22"/>
              </w:rPr>
              <w:t>Texoma</w:t>
            </w:r>
          </w:p>
        </w:tc>
        <w:tc>
          <w:tcPr>
            <w:tcW w:w="450" w:type="dxa"/>
            <w:tcBorders>
              <w:top w:val="nil"/>
              <w:left w:val="nil"/>
              <w:bottom w:val="single" w:sz="4" w:space="0" w:color="auto"/>
              <w:right w:val="single" w:sz="8" w:space="0" w:color="auto"/>
            </w:tcBorders>
            <w:shd w:val="clear" w:color="auto" w:fill="auto"/>
            <w:noWrap/>
            <w:vAlign w:val="center"/>
            <w:hideMark/>
          </w:tcPr>
          <w:p w14:paraId="66EF774F" w14:textId="77777777" w:rsidR="003901B7" w:rsidRPr="002F7364" w:rsidRDefault="003901B7" w:rsidP="002F7364">
            <w:pPr>
              <w:jc w:val="center"/>
              <w:rPr>
                <w:rFonts w:cs="Calibri"/>
                <w:szCs w:val="22"/>
              </w:rPr>
            </w:pPr>
            <w:r w:rsidRPr="002F7364">
              <w:rPr>
                <w:rFonts w:cs="Calibri"/>
                <w:szCs w:val="22"/>
              </w:rPr>
              <w:t>25</w:t>
            </w:r>
          </w:p>
        </w:tc>
        <w:tc>
          <w:tcPr>
            <w:tcW w:w="1260" w:type="dxa"/>
            <w:tcBorders>
              <w:top w:val="nil"/>
              <w:left w:val="single" w:sz="4" w:space="0" w:color="auto"/>
              <w:bottom w:val="single" w:sz="4" w:space="0" w:color="auto"/>
              <w:right w:val="nil"/>
            </w:tcBorders>
            <w:shd w:val="clear" w:color="auto" w:fill="auto"/>
            <w:noWrap/>
            <w:vAlign w:val="bottom"/>
            <w:hideMark/>
          </w:tcPr>
          <w:p w14:paraId="0BC10E4F" w14:textId="6B71BA79" w:rsidR="003901B7" w:rsidRPr="002F7364" w:rsidRDefault="003901B7" w:rsidP="002F7364">
            <w:pPr>
              <w:jc w:val="center"/>
              <w:rPr>
                <w:rFonts w:cs="Calibri"/>
                <w:color w:val="000000"/>
                <w:szCs w:val="22"/>
              </w:rPr>
            </w:pPr>
            <w:r w:rsidRPr="002F7364">
              <w:rPr>
                <w:rFonts w:cs="Calibri"/>
                <w:color w:val="000000"/>
                <w:szCs w:val="22"/>
              </w:rPr>
              <w:t>$1.51</w:t>
            </w:r>
          </w:p>
        </w:tc>
        <w:tc>
          <w:tcPr>
            <w:tcW w:w="1350" w:type="dxa"/>
            <w:tcBorders>
              <w:top w:val="nil"/>
              <w:left w:val="single" w:sz="4" w:space="0" w:color="auto"/>
              <w:bottom w:val="single" w:sz="4" w:space="0" w:color="auto"/>
              <w:right w:val="nil"/>
            </w:tcBorders>
            <w:shd w:val="clear" w:color="auto" w:fill="auto"/>
            <w:noWrap/>
            <w:vAlign w:val="bottom"/>
            <w:hideMark/>
          </w:tcPr>
          <w:p w14:paraId="084EA2CD" w14:textId="050BB237" w:rsidR="003901B7" w:rsidRPr="002F7364" w:rsidRDefault="003901B7" w:rsidP="002F7364">
            <w:pPr>
              <w:jc w:val="center"/>
              <w:rPr>
                <w:rFonts w:cs="Calibri"/>
                <w:color w:val="000000"/>
                <w:szCs w:val="22"/>
              </w:rPr>
            </w:pPr>
            <w:r w:rsidRPr="002F7364">
              <w:rPr>
                <w:rFonts w:cs="Calibri"/>
                <w:color w:val="000000"/>
                <w:szCs w:val="22"/>
              </w:rPr>
              <w:t>$21.96</w:t>
            </w:r>
          </w:p>
        </w:tc>
        <w:tc>
          <w:tcPr>
            <w:tcW w:w="1440" w:type="dxa"/>
            <w:tcBorders>
              <w:top w:val="nil"/>
              <w:left w:val="single" w:sz="4" w:space="0" w:color="auto"/>
              <w:bottom w:val="single" w:sz="4" w:space="0" w:color="auto"/>
              <w:right w:val="nil"/>
            </w:tcBorders>
            <w:shd w:val="clear" w:color="auto" w:fill="auto"/>
            <w:noWrap/>
            <w:vAlign w:val="bottom"/>
            <w:hideMark/>
          </w:tcPr>
          <w:p w14:paraId="015F7B94" w14:textId="2CC09E01" w:rsidR="003901B7" w:rsidRPr="002F7364" w:rsidRDefault="003901B7" w:rsidP="002F7364">
            <w:pPr>
              <w:jc w:val="center"/>
              <w:rPr>
                <w:rFonts w:cs="Calibri"/>
                <w:color w:val="000000"/>
                <w:szCs w:val="22"/>
              </w:rPr>
            </w:pPr>
            <w:r w:rsidRPr="002F7364">
              <w:rPr>
                <w:rFonts w:cs="Calibri"/>
                <w:color w:val="000000"/>
                <w:szCs w:val="22"/>
              </w:rPr>
              <w:t>$18.08</w:t>
            </w:r>
          </w:p>
        </w:tc>
        <w:tc>
          <w:tcPr>
            <w:tcW w:w="1260" w:type="dxa"/>
            <w:tcBorders>
              <w:top w:val="nil"/>
              <w:left w:val="single" w:sz="4" w:space="0" w:color="auto"/>
              <w:bottom w:val="single" w:sz="4" w:space="0" w:color="auto"/>
              <w:right w:val="nil"/>
            </w:tcBorders>
            <w:shd w:val="clear" w:color="auto" w:fill="auto"/>
            <w:noWrap/>
            <w:vAlign w:val="bottom"/>
            <w:hideMark/>
          </w:tcPr>
          <w:p w14:paraId="4714A05A" w14:textId="77777777" w:rsidR="003901B7" w:rsidRPr="002F7364" w:rsidRDefault="003901B7" w:rsidP="002F7364">
            <w:pPr>
              <w:jc w:val="center"/>
              <w:rPr>
                <w:rFonts w:cs="Calibri"/>
                <w:color w:val="000000"/>
                <w:szCs w:val="22"/>
              </w:rPr>
            </w:pPr>
            <w:r w:rsidRPr="002F7364">
              <w:rPr>
                <w:rFonts w:cs="Calibri"/>
                <w:color w:val="000000"/>
                <w:szCs w:val="22"/>
              </w:rPr>
              <w:t>119</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7D587063" w14:textId="747A64C7" w:rsidR="003901B7" w:rsidRPr="002F7364" w:rsidRDefault="003901B7" w:rsidP="002F7364">
            <w:pPr>
              <w:jc w:val="center"/>
              <w:rPr>
                <w:rFonts w:cs="Calibri"/>
                <w:color w:val="000000"/>
                <w:szCs w:val="22"/>
              </w:rPr>
            </w:pPr>
            <w:r w:rsidRPr="002F7364">
              <w:rPr>
                <w:rFonts w:cs="Calibri"/>
                <w:color w:val="000000"/>
                <w:szCs w:val="22"/>
              </w:rPr>
              <w:t>$732,021</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44DC8D83" w14:textId="16790D06" w:rsidR="003901B7" w:rsidRPr="002F7364" w:rsidRDefault="003901B7" w:rsidP="002F7364">
            <w:pPr>
              <w:jc w:val="center"/>
              <w:rPr>
                <w:rFonts w:cs="Calibri"/>
                <w:color w:val="000000"/>
                <w:szCs w:val="22"/>
              </w:rPr>
            </w:pPr>
            <w:r w:rsidRPr="002F7364">
              <w:rPr>
                <w:rFonts w:cs="Calibri"/>
                <w:color w:val="000000"/>
                <w:szCs w:val="22"/>
              </w:rPr>
              <w:t>$3,747,832</w:t>
            </w:r>
          </w:p>
        </w:tc>
        <w:tc>
          <w:tcPr>
            <w:tcW w:w="1530" w:type="dxa"/>
            <w:tcBorders>
              <w:top w:val="nil"/>
              <w:left w:val="single" w:sz="4" w:space="0" w:color="auto"/>
              <w:bottom w:val="single" w:sz="4" w:space="0" w:color="auto"/>
              <w:right w:val="nil"/>
            </w:tcBorders>
            <w:shd w:val="clear" w:color="auto" w:fill="auto"/>
            <w:noWrap/>
            <w:vAlign w:val="bottom"/>
            <w:hideMark/>
          </w:tcPr>
          <w:p w14:paraId="5C2DA4B1" w14:textId="77777777" w:rsidR="003901B7" w:rsidRPr="002F7364" w:rsidRDefault="003901B7" w:rsidP="002F7364">
            <w:pPr>
              <w:jc w:val="center"/>
              <w:rPr>
                <w:rFonts w:cs="Calibri"/>
                <w:color w:val="000000"/>
                <w:szCs w:val="22"/>
              </w:rPr>
            </w:pPr>
            <w:r w:rsidRPr="002F7364">
              <w:rPr>
                <w:rFonts w:cs="Calibri"/>
                <w:color w:val="000000"/>
                <w:szCs w:val="22"/>
              </w:rPr>
              <w:t>730</w:t>
            </w:r>
          </w:p>
        </w:tc>
        <w:tc>
          <w:tcPr>
            <w:tcW w:w="2160" w:type="dxa"/>
            <w:tcBorders>
              <w:top w:val="nil"/>
              <w:left w:val="single" w:sz="4" w:space="0" w:color="auto"/>
              <w:bottom w:val="single" w:sz="4" w:space="0" w:color="auto"/>
              <w:right w:val="single" w:sz="8" w:space="0" w:color="auto"/>
            </w:tcBorders>
            <w:shd w:val="clear" w:color="000000" w:fill="C6E0B4"/>
            <w:noWrap/>
            <w:vAlign w:val="bottom"/>
            <w:hideMark/>
          </w:tcPr>
          <w:p w14:paraId="5E140CCA" w14:textId="77777777" w:rsidR="003901B7" w:rsidRPr="002F7364" w:rsidRDefault="003901B7" w:rsidP="002F7364">
            <w:pPr>
              <w:jc w:val="center"/>
              <w:rPr>
                <w:rFonts w:cs="Calibri"/>
                <w:color w:val="000000"/>
                <w:szCs w:val="22"/>
              </w:rPr>
            </w:pPr>
            <w:r w:rsidRPr="002F7364">
              <w:rPr>
                <w:rFonts w:cs="Calibri"/>
                <w:color w:val="000000"/>
                <w:szCs w:val="22"/>
              </w:rPr>
              <w:t>849</w:t>
            </w:r>
          </w:p>
        </w:tc>
      </w:tr>
      <w:tr w:rsidR="003901B7" w:rsidRPr="002F7364" w14:paraId="5B70D93A" w14:textId="77777777" w:rsidTr="006317C3">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0217E72C" w14:textId="77777777" w:rsidR="003901B7" w:rsidRPr="002F7364" w:rsidRDefault="003901B7" w:rsidP="002F7364">
            <w:pPr>
              <w:rPr>
                <w:rFonts w:cs="Calibri"/>
                <w:color w:val="000000"/>
                <w:szCs w:val="22"/>
              </w:rPr>
            </w:pPr>
            <w:r w:rsidRPr="002F7364">
              <w:rPr>
                <w:rFonts w:cs="Calibri"/>
                <w:color w:val="000000"/>
                <w:szCs w:val="22"/>
              </w:rPr>
              <w:t>Central Texas</w:t>
            </w:r>
          </w:p>
        </w:tc>
        <w:tc>
          <w:tcPr>
            <w:tcW w:w="450" w:type="dxa"/>
            <w:tcBorders>
              <w:top w:val="nil"/>
              <w:left w:val="nil"/>
              <w:bottom w:val="single" w:sz="4" w:space="0" w:color="auto"/>
              <w:right w:val="single" w:sz="8" w:space="0" w:color="auto"/>
            </w:tcBorders>
            <w:shd w:val="clear" w:color="auto" w:fill="auto"/>
            <w:noWrap/>
            <w:vAlign w:val="center"/>
            <w:hideMark/>
          </w:tcPr>
          <w:p w14:paraId="6A0C3303" w14:textId="77777777" w:rsidR="003901B7" w:rsidRPr="002F7364" w:rsidRDefault="003901B7" w:rsidP="002F7364">
            <w:pPr>
              <w:jc w:val="center"/>
              <w:rPr>
                <w:rFonts w:cs="Calibri"/>
                <w:szCs w:val="22"/>
              </w:rPr>
            </w:pPr>
            <w:r w:rsidRPr="002F7364">
              <w:rPr>
                <w:rFonts w:cs="Calibri"/>
                <w:szCs w:val="22"/>
              </w:rPr>
              <w:t>26</w:t>
            </w:r>
          </w:p>
        </w:tc>
        <w:tc>
          <w:tcPr>
            <w:tcW w:w="1260" w:type="dxa"/>
            <w:tcBorders>
              <w:top w:val="nil"/>
              <w:left w:val="single" w:sz="4" w:space="0" w:color="auto"/>
              <w:bottom w:val="single" w:sz="4" w:space="0" w:color="auto"/>
              <w:right w:val="nil"/>
            </w:tcBorders>
            <w:shd w:val="clear" w:color="auto" w:fill="auto"/>
            <w:noWrap/>
            <w:vAlign w:val="bottom"/>
            <w:hideMark/>
          </w:tcPr>
          <w:p w14:paraId="710DE47D" w14:textId="3CF553DB" w:rsidR="003901B7" w:rsidRPr="002F7364" w:rsidRDefault="003901B7" w:rsidP="002F7364">
            <w:pPr>
              <w:jc w:val="center"/>
              <w:rPr>
                <w:rFonts w:cs="Calibri"/>
                <w:color w:val="000000"/>
                <w:szCs w:val="22"/>
              </w:rPr>
            </w:pPr>
            <w:r w:rsidRPr="002F7364">
              <w:rPr>
                <w:rFonts w:cs="Calibri"/>
                <w:color w:val="000000"/>
                <w:szCs w:val="22"/>
              </w:rPr>
              <w:t>$2.16</w:t>
            </w:r>
          </w:p>
        </w:tc>
        <w:tc>
          <w:tcPr>
            <w:tcW w:w="1350" w:type="dxa"/>
            <w:tcBorders>
              <w:top w:val="nil"/>
              <w:left w:val="single" w:sz="4" w:space="0" w:color="auto"/>
              <w:bottom w:val="single" w:sz="4" w:space="0" w:color="auto"/>
              <w:right w:val="nil"/>
            </w:tcBorders>
            <w:shd w:val="clear" w:color="auto" w:fill="auto"/>
            <w:noWrap/>
            <w:vAlign w:val="bottom"/>
            <w:hideMark/>
          </w:tcPr>
          <w:p w14:paraId="3D037D8E" w14:textId="2A9EC6A3" w:rsidR="003901B7" w:rsidRPr="002F7364" w:rsidRDefault="003901B7" w:rsidP="002F7364">
            <w:pPr>
              <w:jc w:val="center"/>
              <w:rPr>
                <w:rFonts w:cs="Calibri"/>
                <w:color w:val="000000"/>
                <w:szCs w:val="22"/>
              </w:rPr>
            </w:pPr>
            <w:r w:rsidRPr="002F7364">
              <w:rPr>
                <w:rFonts w:cs="Calibri"/>
                <w:color w:val="000000"/>
                <w:szCs w:val="22"/>
              </w:rPr>
              <w:t>$20.28</w:t>
            </w:r>
          </w:p>
        </w:tc>
        <w:tc>
          <w:tcPr>
            <w:tcW w:w="1440" w:type="dxa"/>
            <w:tcBorders>
              <w:top w:val="nil"/>
              <w:left w:val="single" w:sz="4" w:space="0" w:color="auto"/>
              <w:bottom w:val="single" w:sz="4" w:space="0" w:color="auto"/>
              <w:right w:val="nil"/>
            </w:tcBorders>
            <w:shd w:val="clear" w:color="auto" w:fill="auto"/>
            <w:noWrap/>
            <w:vAlign w:val="bottom"/>
            <w:hideMark/>
          </w:tcPr>
          <w:p w14:paraId="4B8E0495" w14:textId="28371908" w:rsidR="003901B7" w:rsidRPr="002F7364" w:rsidRDefault="003901B7" w:rsidP="002F7364">
            <w:pPr>
              <w:jc w:val="center"/>
              <w:rPr>
                <w:rFonts w:cs="Calibri"/>
                <w:color w:val="000000"/>
                <w:szCs w:val="22"/>
              </w:rPr>
            </w:pPr>
            <w:r w:rsidRPr="002F7364">
              <w:rPr>
                <w:rFonts w:cs="Calibri"/>
                <w:color w:val="000000"/>
                <w:szCs w:val="22"/>
              </w:rPr>
              <w:t>$15.22</w:t>
            </w:r>
          </w:p>
        </w:tc>
        <w:tc>
          <w:tcPr>
            <w:tcW w:w="1260" w:type="dxa"/>
            <w:tcBorders>
              <w:top w:val="nil"/>
              <w:left w:val="single" w:sz="4" w:space="0" w:color="auto"/>
              <w:bottom w:val="single" w:sz="4" w:space="0" w:color="auto"/>
              <w:right w:val="nil"/>
            </w:tcBorders>
            <w:shd w:val="clear" w:color="auto" w:fill="auto"/>
            <w:noWrap/>
            <w:vAlign w:val="bottom"/>
            <w:hideMark/>
          </w:tcPr>
          <w:p w14:paraId="2252995A" w14:textId="77777777" w:rsidR="003901B7" w:rsidRPr="002F7364" w:rsidRDefault="003901B7" w:rsidP="002F7364">
            <w:pPr>
              <w:jc w:val="center"/>
              <w:rPr>
                <w:rFonts w:cs="Calibri"/>
                <w:color w:val="000000"/>
                <w:szCs w:val="22"/>
              </w:rPr>
            </w:pPr>
            <w:r w:rsidRPr="002F7364">
              <w:rPr>
                <w:rFonts w:cs="Calibri"/>
                <w:color w:val="000000"/>
                <w:szCs w:val="22"/>
              </w:rPr>
              <w:t>553</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55D1E7A3" w14:textId="64C81C20" w:rsidR="003901B7" w:rsidRPr="002F7364" w:rsidRDefault="003901B7" w:rsidP="002F7364">
            <w:pPr>
              <w:jc w:val="center"/>
              <w:rPr>
                <w:rFonts w:cs="Calibri"/>
                <w:color w:val="000000"/>
                <w:szCs w:val="22"/>
              </w:rPr>
            </w:pPr>
            <w:r w:rsidRPr="002F7364">
              <w:rPr>
                <w:rFonts w:cs="Calibri"/>
                <w:color w:val="000000"/>
                <w:szCs w:val="22"/>
              </w:rPr>
              <w:t>$3,251,656</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70B03F2A" w14:textId="6BEBD7C1" w:rsidR="003901B7" w:rsidRPr="002F7364" w:rsidRDefault="003901B7" w:rsidP="002F7364">
            <w:pPr>
              <w:jc w:val="center"/>
              <w:rPr>
                <w:rFonts w:cs="Calibri"/>
                <w:color w:val="000000"/>
                <w:szCs w:val="22"/>
              </w:rPr>
            </w:pPr>
            <w:r w:rsidRPr="002F7364">
              <w:rPr>
                <w:rFonts w:cs="Calibri"/>
                <w:color w:val="000000"/>
                <w:szCs w:val="22"/>
              </w:rPr>
              <w:t>$8,557,630</w:t>
            </w:r>
          </w:p>
        </w:tc>
        <w:tc>
          <w:tcPr>
            <w:tcW w:w="1530" w:type="dxa"/>
            <w:tcBorders>
              <w:top w:val="nil"/>
              <w:left w:val="single" w:sz="4" w:space="0" w:color="auto"/>
              <w:bottom w:val="single" w:sz="4" w:space="0" w:color="auto"/>
              <w:right w:val="nil"/>
            </w:tcBorders>
            <w:shd w:val="clear" w:color="auto" w:fill="auto"/>
            <w:noWrap/>
            <w:vAlign w:val="bottom"/>
            <w:hideMark/>
          </w:tcPr>
          <w:p w14:paraId="34741E20" w14:textId="77777777" w:rsidR="003901B7" w:rsidRPr="002F7364" w:rsidRDefault="003901B7" w:rsidP="002F7364">
            <w:pPr>
              <w:jc w:val="center"/>
              <w:rPr>
                <w:rFonts w:cs="Calibri"/>
                <w:color w:val="000000"/>
                <w:szCs w:val="22"/>
              </w:rPr>
            </w:pPr>
            <w:r w:rsidRPr="002F7364">
              <w:rPr>
                <w:rFonts w:cs="Calibri"/>
                <w:color w:val="000000"/>
                <w:szCs w:val="22"/>
              </w:rPr>
              <w:t>1,879</w:t>
            </w:r>
          </w:p>
        </w:tc>
        <w:tc>
          <w:tcPr>
            <w:tcW w:w="2160" w:type="dxa"/>
            <w:tcBorders>
              <w:top w:val="nil"/>
              <w:left w:val="single" w:sz="4" w:space="0" w:color="auto"/>
              <w:bottom w:val="single" w:sz="4" w:space="0" w:color="auto"/>
              <w:right w:val="single" w:sz="8" w:space="0" w:color="auto"/>
            </w:tcBorders>
            <w:shd w:val="clear" w:color="000000" w:fill="C6E0B4"/>
            <w:noWrap/>
            <w:vAlign w:val="bottom"/>
            <w:hideMark/>
          </w:tcPr>
          <w:p w14:paraId="65B492CE" w14:textId="77777777" w:rsidR="003901B7" w:rsidRPr="002F7364" w:rsidRDefault="003901B7" w:rsidP="002F7364">
            <w:pPr>
              <w:jc w:val="center"/>
              <w:rPr>
                <w:rFonts w:cs="Calibri"/>
                <w:color w:val="000000"/>
                <w:szCs w:val="22"/>
              </w:rPr>
            </w:pPr>
            <w:r w:rsidRPr="002F7364">
              <w:rPr>
                <w:rFonts w:cs="Calibri"/>
                <w:color w:val="000000"/>
                <w:szCs w:val="22"/>
              </w:rPr>
              <w:t>2,432</w:t>
            </w:r>
          </w:p>
        </w:tc>
      </w:tr>
      <w:tr w:rsidR="003901B7" w:rsidRPr="002F7364" w14:paraId="0825C9CB" w14:textId="77777777" w:rsidTr="006317C3">
        <w:trPr>
          <w:trHeight w:val="300"/>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134A7198" w14:textId="77777777" w:rsidR="003901B7" w:rsidRPr="002F7364" w:rsidRDefault="003901B7" w:rsidP="002F7364">
            <w:pPr>
              <w:rPr>
                <w:rFonts w:cs="Calibri"/>
                <w:color w:val="000000"/>
                <w:szCs w:val="22"/>
              </w:rPr>
            </w:pPr>
            <w:r w:rsidRPr="002F7364">
              <w:rPr>
                <w:rFonts w:cs="Calibri"/>
                <w:color w:val="000000"/>
                <w:szCs w:val="22"/>
              </w:rPr>
              <w:t>Middle Rio</w:t>
            </w:r>
          </w:p>
        </w:tc>
        <w:tc>
          <w:tcPr>
            <w:tcW w:w="450" w:type="dxa"/>
            <w:tcBorders>
              <w:top w:val="nil"/>
              <w:left w:val="nil"/>
              <w:bottom w:val="single" w:sz="4" w:space="0" w:color="auto"/>
              <w:right w:val="single" w:sz="8" w:space="0" w:color="auto"/>
            </w:tcBorders>
            <w:shd w:val="clear" w:color="auto" w:fill="auto"/>
            <w:noWrap/>
            <w:vAlign w:val="center"/>
            <w:hideMark/>
          </w:tcPr>
          <w:p w14:paraId="29F4A0CC" w14:textId="77777777" w:rsidR="003901B7" w:rsidRPr="002F7364" w:rsidRDefault="003901B7" w:rsidP="002F7364">
            <w:pPr>
              <w:jc w:val="center"/>
              <w:rPr>
                <w:rFonts w:cs="Calibri"/>
                <w:szCs w:val="22"/>
              </w:rPr>
            </w:pPr>
            <w:r w:rsidRPr="002F7364">
              <w:rPr>
                <w:rFonts w:cs="Calibri"/>
                <w:szCs w:val="22"/>
              </w:rPr>
              <w:t>27</w:t>
            </w:r>
          </w:p>
        </w:tc>
        <w:tc>
          <w:tcPr>
            <w:tcW w:w="1260" w:type="dxa"/>
            <w:tcBorders>
              <w:top w:val="nil"/>
              <w:left w:val="single" w:sz="4" w:space="0" w:color="auto"/>
              <w:bottom w:val="single" w:sz="4" w:space="0" w:color="auto"/>
              <w:right w:val="nil"/>
            </w:tcBorders>
            <w:shd w:val="clear" w:color="auto" w:fill="auto"/>
            <w:noWrap/>
            <w:vAlign w:val="bottom"/>
            <w:hideMark/>
          </w:tcPr>
          <w:p w14:paraId="28C97E03" w14:textId="51C1090A" w:rsidR="003901B7" w:rsidRPr="002F7364" w:rsidRDefault="003901B7" w:rsidP="002F7364">
            <w:pPr>
              <w:jc w:val="center"/>
              <w:rPr>
                <w:rFonts w:cs="Calibri"/>
                <w:color w:val="000000"/>
                <w:szCs w:val="22"/>
              </w:rPr>
            </w:pPr>
            <w:r w:rsidRPr="002F7364">
              <w:rPr>
                <w:rFonts w:cs="Calibri"/>
                <w:color w:val="000000"/>
                <w:szCs w:val="22"/>
              </w:rPr>
              <w:t>$1.46</w:t>
            </w:r>
          </w:p>
        </w:tc>
        <w:tc>
          <w:tcPr>
            <w:tcW w:w="1350" w:type="dxa"/>
            <w:tcBorders>
              <w:top w:val="nil"/>
              <w:left w:val="single" w:sz="4" w:space="0" w:color="auto"/>
              <w:bottom w:val="single" w:sz="4" w:space="0" w:color="auto"/>
              <w:right w:val="nil"/>
            </w:tcBorders>
            <w:shd w:val="clear" w:color="auto" w:fill="auto"/>
            <w:noWrap/>
            <w:vAlign w:val="bottom"/>
            <w:hideMark/>
          </w:tcPr>
          <w:p w14:paraId="54F41301" w14:textId="75849D45" w:rsidR="003901B7" w:rsidRPr="002F7364" w:rsidRDefault="003901B7" w:rsidP="002F7364">
            <w:pPr>
              <w:jc w:val="center"/>
              <w:rPr>
                <w:rFonts w:cs="Calibri"/>
                <w:color w:val="000000"/>
                <w:szCs w:val="22"/>
              </w:rPr>
            </w:pPr>
            <w:r w:rsidRPr="002F7364">
              <w:rPr>
                <w:rFonts w:cs="Calibri"/>
                <w:color w:val="000000"/>
                <w:szCs w:val="22"/>
              </w:rPr>
              <w:t>$16.70</w:t>
            </w:r>
          </w:p>
        </w:tc>
        <w:tc>
          <w:tcPr>
            <w:tcW w:w="1440" w:type="dxa"/>
            <w:tcBorders>
              <w:top w:val="nil"/>
              <w:left w:val="single" w:sz="4" w:space="0" w:color="auto"/>
              <w:bottom w:val="single" w:sz="4" w:space="0" w:color="auto"/>
              <w:right w:val="nil"/>
            </w:tcBorders>
            <w:shd w:val="clear" w:color="auto" w:fill="auto"/>
            <w:noWrap/>
            <w:vAlign w:val="bottom"/>
            <w:hideMark/>
          </w:tcPr>
          <w:p w14:paraId="7331DA73" w14:textId="7B925BB2" w:rsidR="003901B7" w:rsidRPr="002F7364" w:rsidRDefault="003901B7" w:rsidP="002F7364">
            <w:pPr>
              <w:jc w:val="center"/>
              <w:rPr>
                <w:rFonts w:cs="Calibri"/>
                <w:color w:val="000000"/>
                <w:szCs w:val="22"/>
              </w:rPr>
            </w:pPr>
            <w:r w:rsidRPr="002F7364">
              <w:rPr>
                <w:rFonts w:cs="Calibri"/>
                <w:color w:val="000000"/>
                <w:szCs w:val="22"/>
              </w:rPr>
              <w:t>$11.84</w:t>
            </w:r>
          </w:p>
        </w:tc>
        <w:tc>
          <w:tcPr>
            <w:tcW w:w="1260" w:type="dxa"/>
            <w:tcBorders>
              <w:top w:val="nil"/>
              <w:left w:val="single" w:sz="4" w:space="0" w:color="auto"/>
              <w:bottom w:val="single" w:sz="4" w:space="0" w:color="auto"/>
              <w:right w:val="nil"/>
            </w:tcBorders>
            <w:shd w:val="clear" w:color="auto" w:fill="auto"/>
            <w:noWrap/>
            <w:vAlign w:val="bottom"/>
            <w:hideMark/>
          </w:tcPr>
          <w:p w14:paraId="5A965C72" w14:textId="77777777" w:rsidR="003901B7" w:rsidRPr="002F7364" w:rsidRDefault="003901B7" w:rsidP="002F7364">
            <w:pPr>
              <w:jc w:val="center"/>
              <w:rPr>
                <w:rFonts w:cs="Calibri"/>
                <w:color w:val="000000"/>
                <w:szCs w:val="22"/>
              </w:rPr>
            </w:pPr>
            <w:r w:rsidRPr="002F7364">
              <w:rPr>
                <w:rFonts w:cs="Calibri"/>
                <w:color w:val="000000"/>
                <w:szCs w:val="22"/>
              </w:rPr>
              <w:t>105</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55656631" w14:textId="38D4B0C7" w:rsidR="003901B7" w:rsidRPr="002F7364" w:rsidRDefault="003901B7" w:rsidP="002F7364">
            <w:pPr>
              <w:jc w:val="center"/>
              <w:rPr>
                <w:rFonts w:cs="Calibri"/>
                <w:color w:val="000000"/>
                <w:szCs w:val="22"/>
              </w:rPr>
            </w:pPr>
            <w:r w:rsidRPr="002F7364">
              <w:rPr>
                <w:rFonts w:cs="Calibri"/>
                <w:color w:val="000000"/>
                <w:szCs w:val="22"/>
              </w:rPr>
              <w:t>$499,505</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2E0E4B68" w14:textId="528E9889" w:rsidR="003901B7" w:rsidRPr="002F7364" w:rsidRDefault="003901B7" w:rsidP="002F7364">
            <w:pPr>
              <w:jc w:val="center"/>
              <w:rPr>
                <w:rFonts w:cs="Calibri"/>
                <w:color w:val="000000"/>
                <w:szCs w:val="22"/>
              </w:rPr>
            </w:pPr>
            <w:r w:rsidRPr="002F7364">
              <w:rPr>
                <w:rFonts w:cs="Calibri"/>
                <w:color w:val="000000"/>
                <w:szCs w:val="22"/>
              </w:rPr>
              <w:t>$5,150,997</w:t>
            </w:r>
          </w:p>
        </w:tc>
        <w:tc>
          <w:tcPr>
            <w:tcW w:w="1530" w:type="dxa"/>
            <w:tcBorders>
              <w:top w:val="nil"/>
              <w:left w:val="single" w:sz="4" w:space="0" w:color="auto"/>
              <w:bottom w:val="single" w:sz="4" w:space="0" w:color="auto"/>
              <w:right w:val="nil"/>
            </w:tcBorders>
            <w:shd w:val="clear" w:color="auto" w:fill="auto"/>
            <w:noWrap/>
            <w:vAlign w:val="bottom"/>
            <w:hideMark/>
          </w:tcPr>
          <w:p w14:paraId="756F93F1" w14:textId="77777777" w:rsidR="003901B7" w:rsidRPr="002F7364" w:rsidRDefault="003901B7" w:rsidP="002F7364">
            <w:pPr>
              <w:jc w:val="center"/>
              <w:rPr>
                <w:rFonts w:cs="Calibri"/>
                <w:color w:val="000000"/>
                <w:szCs w:val="22"/>
              </w:rPr>
            </w:pPr>
            <w:r w:rsidRPr="002F7364">
              <w:rPr>
                <w:rFonts w:cs="Calibri"/>
                <w:color w:val="000000"/>
                <w:szCs w:val="22"/>
              </w:rPr>
              <w:t>1,479</w:t>
            </w:r>
          </w:p>
        </w:tc>
        <w:tc>
          <w:tcPr>
            <w:tcW w:w="2160" w:type="dxa"/>
            <w:tcBorders>
              <w:top w:val="nil"/>
              <w:left w:val="single" w:sz="4" w:space="0" w:color="auto"/>
              <w:bottom w:val="single" w:sz="4" w:space="0" w:color="auto"/>
              <w:right w:val="single" w:sz="8" w:space="0" w:color="auto"/>
            </w:tcBorders>
            <w:shd w:val="clear" w:color="000000" w:fill="C6E0B4"/>
            <w:noWrap/>
            <w:vAlign w:val="bottom"/>
            <w:hideMark/>
          </w:tcPr>
          <w:p w14:paraId="548B8979" w14:textId="77777777" w:rsidR="003901B7" w:rsidRPr="002F7364" w:rsidRDefault="003901B7" w:rsidP="002F7364">
            <w:pPr>
              <w:jc w:val="center"/>
              <w:rPr>
                <w:rFonts w:cs="Calibri"/>
                <w:color w:val="000000"/>
                <w:szCs w:val="22"/>
              </w:rPr>
            </w:pPr>
            <w:r w:rsidRPr="002F7364">
              <w:rPr>
                <w:rFonts w:cs="Calibri"/>
                <w:color w:val="000000"/>
                <w:szCs w:val="22"/>
              </w:rPr>
              <w:t>1,584</w:t>
            </w:r>
          </w:p>
        </w:tc>
      </w:tr>
      <w:tr w:rsidR="003901B7" w:rsidRPr="002F7364" w14:paraId="1D08D4E1" w14:textId="77777777" w:rsidTr="006F46B9">
        <w:trPr>
          <w:trHeight w:val="315"/>
        </w:trPr>
        <w:tc>
          <w:tcPr>
            <w:tcW w:w="1700" w:type="dxa"/>
            <w:tcBorders>
              <w:top w:val="nil"/>
              <w:left w:val="single" w:sz="8" w:space="0" w:color="auto"/>
              <w:bottom w:val="nil"/>
              <w:right w:val="single" w:sz="4" w:space="0" w:color="auto"/>
            </w:tcBorders>
            <w:shd w:val="clear" w:color="auto" w:fill="auto"/>
            <w:noWrap/>
            <w:vAlign w:val="bottom"/>
            <w:hideMark/>
          </w:tcPr>
          <w:p w14:paraId="2CBB1443" w14:textId="77777777" w:rsidR="003901B7" w:rsidRPr="002F7364" w:rsidRDefault="003901B7" w:rsidP="002F7364">
            <w:pPr>
              <w:rPr>
                <w:rFonts w:cs="Calibri"/>
                <w:color w:val="000000"/>
                <w:szCs w:val="22"/>
              </w:rPr>
            </w:pPr>
            <w:r w:rsidRPr="002F7364">
              <w:rPr>
                <w:rFonts w:cs="Calibri"/>
                <w:color w:val="000000"/>
                <w:szCs w:val="22"/>
              </w:rPr>
              <w:t>Gulf Coast</w:t>
            </w:r>
          </w:p>
        </w:tc>
        <w:tc>
          <w:tcPr>
            <w:tcW w:w="450" w:type="dxa"/>
            <w:tcBorders>
              <w:top w:val="nil"/>
              <w:left w:val="nil"/>
              <w:bottom w:val="nil"/>
              <w:right w:val="single" w:sz="8" w:space="0" w:color="auto"/>
            </w:tcBorders>
            <w:shd w:val="clear" w:color="auto" w:fill="auto"/>
            <w:noWrap/>
            <w:vAlign w:val="center"/>
            <w:hideMark/>
          </w:tcPr>
          <w:p w14:paraId="20052BED" w14:textId="77777777" w:rsidR="003901B7" w:rsidRPr="002F7364" w:rsidRDefault="003901B7" w:rsidP="002F7364">
            <w:pPr>
              <w:jc w:val="center"/>
              <w:rPr>
                <w:rFonts w:cs="Calibri"/>
                <w:szCs w:val="22"/>
              </w:rPr>
            </w:pPr>
            <w:r w:rsidRPr="002F7364">
              <w:rPr>
                <w:rFonts w:cs="Calibri"/>
                <w:szCs w:val="22"/>
              </w:rPr>
              <w:t>28</w:t>
            </w:r>
          </w:p>
        </w:tc>
        <w:tc>
          <w:tcPr>
            <w:tcW w:w="1260" w:type="dxa"/>
            <w:tcBorders>
              <w:top w:val="nil"/>
              <w:left w:val="single" w:sz="4" w:space="0" w:color="auto"/>
              <w:bottom w:val="nil"/>
              <w:right w:val="nil"/>
            </w:tcBorders>
            <w:shd w:val="clear" w:color="auto" w:fill="auto"/>
            <w:noWrap/>
            <w:vAlign w:val="bottom"/>
            <w:hideMark/>
          </w:tcPr>
          <w:p w14:paraId="0172F7EC" w14:textId="437E9C3B" w:rsidR="003901B7" w:rsidRPr="002F7364" w:rsidRDefault="003901B7" w:rsidP="002F7364">
            <w:pPr>
              <w:jc w:val="center"/>
              <w:rPr>
                <w:rFonts w:cs="Calibri"/>
                <w:color w:val="000000"/>
                <w:szCs w:val="22"/>
              </w:rPr>
            </w:pPr>
            <w:r w:rsidRPr="002F7364">
              <w:rPr>
                <w:rFonts w:cs="Calibri"/>
                <w:color w:val="000000"/>
                <w:szCs w:val="22"/>
              </w:rPr>
              <w:t>$1.19</w:t>
            </w:r>
          </w:p>
        </w:tc>
        <w:tc>
          <w:tcPr>
            <w:tcW w:w="1350" w:type="dxa"/>
            <w:tcBorders>
              <w:top w:val="nil"/>
              <w:left w:val="single" w:sz="4" w:space="0" w:color="auto"/>
              <w:bottom w:val="single" w:sz="8" w:space="0" w:color="auto"/>
              <w:right w:val="nil"/>
            </w:tcBorders>
            <w:shd w:val="clear" w:color="auto" w:fill="auto"/>
            <w:noWrap/>
            <w:vAlign w:val="bottom"/>
            <w:hideMark/>
          </w:tcPr>
          <w:p w14:paraId="329DBD86" w14:textId="6B3C62D1" w:rsidR="003901B7" w:rsidRPr="002F7364" w:rsidRDefault="003901B7" w:rsidP="002F7364">
            <w:pPr>
              <w:jc w:val="center"/>
              <w:rPr>
                <w:rFonts w:cs="Calibri"/>
                <w:color w:val="000000"/>
                <w:szCs w:val="22"/>
              </w:rPr>
            </w:pPr>
            <w:r w:rsidRPr="002F7364">
              <w:rPr>
                <w:rFonts w:cs="Calibri"/>
                <w:color w:val="000000"/>
                <w:szCs w:val="22"/>
              </w:rPr>
              <w:t>$26.38</w:t>
            </w:r>
          </w:p>
        </w:tc>
        <w:tc>
          <w:tcPr>
            <w:tcW w:w="1440" w:type="dxa"/>
            <w:tcBorders>
              <w:top w:val="nil"/>
              <w:left w:val="single" w:sz="4" w:space="0" w:color="auto"/>
              <w:bottom w:val="single" w:sz="8" w:space="0" w:color="auto"/>
              <w:right w:val="nil"/>
            </w:tcBorders>
            <w:shd w:val="clear" w:color="auto" w:fill="auto"/>
            <w:noWrap/>
            <w:vAlign w:val="bottom"/>
            <w:hideMark/>
          </w:tcPr>
          <w:p w14:paraId="6E9A3D19" w14:textId="06A7CE89" w:rsidR="003901B7" w:rsidRPr="002F7364" w:rsidRDefault="003901B7" w:rsidP="002F7364">
            <w:pPr>
              <w:jc w:val="center"/>
              <w:rPr>
                <w:rFonts w:cs="Calibri"/>
                <w:color w:val="000000"/>
                <w:szCs w:val="22"/>
              </w:rPr>
            </w:pPr>
            <w:r w:rsidRPr="002F7364">
              <w:rPr>
                <w:rFonts w:cs="Calibri"/>
                <w:color w:val="000000"/>
                <w:szCs w:val="22"/>
              </w:rPr>
              <w:t>$20.72</w:t>
            </w:r>
          </w:p>
        </w:tc>
        <w:tc>
          <w:tcPr>
            <w:tcW w:w="1260" w:type="dxa"/>
            <w:tcBorders>
              <w:top w:val="nil"/>
              <w:left w:val="single" w:sz="4" w:space="0" w:color="auto"/>
              <w:bottom w:val="nil"/>
              <w:right w:val="nil"/>
            </w:tcBorders>
            <w:shd w:val="clear" w:color="auto" w:fill="auto"/>
            <w:noWrap/>
            <w:vAlign w:val="bottom"/>
            <w:hideMark/>
          </w:tcPr>
          <w:p w14:paraId="2E26CA9D" w14:textId="77777777" w:rsidR="003901B7" w:rsidRPr="002F7364" w:rsidRDefault="003901B7" w:rsidP="002F7364">
            <w:pPr>
              <w:jc w:val="center"/>
              <w:rPr>
                <w:rFonts w:cs="Calibri"/>
                <w:color w:val="000000"/>
                <w:szCs w:val="22"/>
              </w:rPr>
            </w:pPr>
            <w:r w:rsidRPr="002F7364">
              <w:rPr>
                <w:rFonts w:cs="Calibri"/>
                <w:color w:val="000000"/>
                <w:szCs w:val="22"/>
              </w:rPr>
              <w:t>3,771</w:t>
            </w:r>
          </w:p>
        </w:tc>
        <w:tc>
          <w:tcPr>
            <w:tcW w:w="1530" w:type="dxa"/>
            <w:tcBorders>
              <w:top w:val="nil"/>
              <w:left w:val="single" w:sz="4" w:space="0" w:color="auto"/>
              <w:bottom w:val="nil"/>
              <w:right w:val="single" w:sz="4" w:space="0" w:color="auto"/>
            </w:tcBorders>
            <w:shd w:val="clear" w:color="auto" w:fill="auto"/>
            <w:noWrap/>
            <w:vAlign w:val="bottom"/>
            <w:hideMark/>
          </w:tcPr>
          <w:p w14:paraId="2137BD7B" w14:textId="6EAB12BE" w:rsidR="003901B7" w:rsidRPr="002F7364" w:rsidRDefault="003901B7" w:rsidP="002F7364">
            <w:pPr>
              <w:jc w:val="center"/>
              <w:rPr>
                <w:rFonts w:cs="Calibri"/>
                <w:color w:val="000000"/>
                <w:szCs w:val="22"/>
              </w:rPr>
            </w:pPr>
            <w:r w:rsidRPr="002F7364">
              <w:rPr>
                <w:rFonts w:cs="Calibri"/>
                <w:color w:val="000000"/>
                <w:szCs w:val="22"/>
              </w:rPr>
              <w:t>$27,244,922</w:t>
            </w:r>
          </w:p>
        </w:tc>
        <w:tc>
          <w:tcPr>
            <w:tcW w:w="1530" w:type="dxa"/>
            <w:tcBorders>
              <w:top w:val="nil"/>
              <w:left w:val="single" w:sz="4" w:space="0" w:color="auto"/>
              <w:bottom w:val="nil"/>
              <w:right w:val="single" w:sz="4" w:space="0" w:color="auto"/>
            </w:tcBorders>
            <w:shd w:val="clear" w:color="auto" w:fill="auto"/>
            <w:noWrap/>
            <w:vAlign w:val="bottom"/>
            <w:hideMark/>
          </w:tcPr>
          <w:p w14:paraId="726CE65B" w14:textId="33FAECF9" w:rsidR="003901B7" w:rsidRPr="002F7364" w:rsidRDefault="003901B7" w:rsidP="002F7364">
            <w:pPr>
              <w:jc w:val="center"/>
              <w:rPr>
                <w:rFonts w:cs="Calibri"/>
                <w:color w:val="000000"/>
                <w:szCs w:val="22"/>
              </w:rPr>
            </w:pPr>
            <w:r w:rsidRPr="002F7364">
              <w:rPr>
                <w:rFonts w:cs="Calibri"/>
                <w:color w:val="000000"/>
                <w:szCs w:val="22"/>
              </w:rPr>
              <w:t>$142,248,092</w:t>
            </w:r>
          </w:p>
        </w:tc>
        <w:tc>
          <w:tcPr>
            <w:tcW w:w="1530" w:type="dxa"/>
            <w:tcBorders>
              <w:top w:val="nil"/>
              <w:left w:val="single" w:sz="4" w:space="0" w:color="auto"/>
              <w:bottom w:val="nil"/>
              <w:right w:val="nil"/>
            </w:tcBorders>
            <w:shd w:val="clear" w:color="auto" w:fill="auto"/>
            <w:noWrap/>
            <w:vAlign w:val="bottom"/>
            <w:hideMark/>
          </w:tcPr>
          <w:p w14:paraId="56CE269F" w14:textId="77777777" w:rsidR="003901B7" w:rsidRPr="002F7364" w:rsidRDefault="003901B7" w:rsidP="002F7364">
            <w:pPr>
              <w:jc w:val="center"/>
              <w:rPr>
                <w:rFonts w:cs="Calibri"/>
                <w:color w:val="000000"/>
                <w:szCs w:val="22"/>
              </w:rPr>
            </w:pPr>
            <w:r w:rsidRPr="002F7364">
              <w:rPr>
                <w:rFonts w:cs="Calibri"/>
                <w:color w:val="000000"/>
                <w:szCs w:val="22"/>
              </w:rPr>
              <w:t>24,781</w:t>
            </w:r>
          </w:p>
        </w:tc>
        <w:tc>
          <w:tcPr>
            <w:tcW w:w="2160" w:type="dxa"/>
            <w:tcBorders>
              <w:top w:val="nil"/>
              <w:left w:val="single" w:sz="4" w:space="0" w:color="auto"/>
              <w:bottom w:val="nil"/>
              <w:right w:val="single" w:sz="8" w:space="0" w:color="auto"/>
            </w:tcBorders>
            <w:shd w:val="clear" w:color="000000" w:fill="C6E0B4"/>
            <w:noWrap/>
            <w:vAlign w:val="bottom"/>
            <w:hideMark/>
          </w:tcPr>
          <w:p w14:paraId="3DAC7B74" w14:textId="77777777" w:rsidR="003901B7" w:rsidRPr="002F7364" w:rsidRDefault="003901B7" w:rsidP="002F7364">
            <w:pPr>
              <w:jc w:val="center"/>
              <w:rPr>
                <w:rFonts w:cs="Calibri"/>
                <w:color w:val="000000"/>
                <w:szCs w:val="22"/>
              </w:rPr>
            </w:pPr>
            <w:r w:rsidRPr="002F7364">
              <w:rPr>
                <w:rFonts w:cs="Calibri"/>
                <w:color w:val="000000"/>
                <w:szCs w:val="22"/>
              </w:rPr>
              <w:t>28,552</w:t>
            </w:r>
          </w:p>
        </w:tc>
      </w:tr>
      <w:tr w:rsidR="003901B7" w:rsidRPr="002F7364" w14:paraId="327F7241" w14:textId="77777777" w:rsidTr="006F46B9">
        <w:trPr>
          <w:trHeight w:val="315"/>
        </w:trPr>
        <w:tc>
          <w:tcPr>
            <w:tcW w:w="17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6DB7701" w14:textId="77777777" w:rsidR="003901B7" w:rsidRPr="002F7364" w:rsidRDefault="003901B7" w:rsidP="002F7364">
            <w:pPr>
              <w:jc w:val="center"/>
              <w:rPr>
                <w:rFonts w:cs="Calibri"/>
                <w:b/>
                <w:bCs/>
                <w:color w:val="000000"/>
                <w:szCs w:val="22"/>
              </w:rPr>
            </w:pPr>
            <w:r w:rsidRPr="002F7364">
              <w:rPr>
                <w:rFonts w:cs="Calibri"/>
                <w:b/>
                <w:bCs/>
                <w:color w:val="000000"/>
                <w:szCs w:val="22"/>
              </w:rPr>
              <w:t>Sum of Boards</w:t>
            </w:r>
          </w:p>
        </w:tc>
        <w:tc>
          <w:tcPr>
            <w:tcW w:w="450" w:type="dxa"/>
            <w:tcBorders>
              <w:top w:val="single" w:sz="8" w:space="0" w:color="auto"/>
              <w:left w:val="nil"/>
              <w:bottom w:val="single" w:sz="8" w:space="0" w:color="auto"/>
              <w:right w:val="single" w:sz="8" w:space="0" w:color="auto"/>
            </w:tcBorders>
            <w:shd w:val="clear" w:color="auto" w:fill="auto"/>
            <w:noWrap/>
            <w:vAlign w:val="center"/>
            <w:hideMark/>
          </w:tcPr>
          <w:p w14:paraId="5C715533" w14:textId="77777777" w:rsidR="003901B7" w:rsidRPr="002F7364" w:rsidRDefault="003901B7" w:rsidP="002F7364">
            <w:pPr>
              <w:jc w:val="center"/>
              <w:rPr>
                <w:rFonts w:cs="Calibri"/>
                <w:b/>
                <w:bCs/>
                <w:color w:val="000000"/>
                <w:szCs w:val="22"/>
              </w:rPr>
            </w:pPr>
            <w:r w:rsidRPr="002F7364">
              <w:rPr>
                <w:rFonts w:cs="Calibri"/>
                <w:b/>
                <w:bCs/>
                <w:color w:val="000000"/>
                <w:szCs w:val="22"/>
              </w:rPr>
              <w:t>99</w:t>
            </w:r>
          </w:p>
        </w:tc>
        <w:tc>
          <w:tcPr>
            <w:tcW w:w="1260" w:type="dxa"/>
            <w:tcBorders>
              <w:top w:val="single" w:sz="8" w:space="0" w:color="auto"/>
              <w:left w:val="single" w:sz="4" w:space="0" w:color="auto"/>
              <w:bottom w:val="single" w:sz="8" w:space="0" w:color="auto"/>
              <w:right w:val="nil"/>
            </w:tcBorders>
            <w:shd w:val="clear" w:color="auto" w:fill="auto"/>
            <w:noWrap/>
            <w:vAlign w:val="center"/>
            <w:hideMark/>
          </w:tcPr>
          <w:p w14:paraId="02DE7ED7" w14:textId="3C61E04D" w:rsidR="003901B7" w:rsidRPr="002F7364" w:rsidRDefault="003901B7" w:rsidP="002F7364">
            <w:pPr>
              <w:jc w:val="center"/>
              <w:rPr>
                <w:rFonts w:cs="Calibri"/>
                <w:b/>
                <w:bCs/>
                <w:color w:val="000000"/>
                <w:szCs w:val="22"/>
              </w:rPr>
            </w:pPr>
            <w:r w:rsidRPr="002F7364">
              <w:rPr>
                <w:rFonts w:cs="Calibri"/>
                <w:b/>
                <w:bCs/>
                <w:color w:val="000000"/>
                <w:szCs w:val="22"/>
              </w:rPr>
              <w:t>$1.66</w:t>
            </w:r>
          </w:p>
        </w:tc>
        <w:tc>
          <w:tcPr>
            <w:tcW w:w="135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2CB4B481" w14:textId="11E6CDA1" w:rsidR="003901B7" w:rsidRPr="002F7364" w:rsidRDefault="003901B7" w:rsidP="002F7364">
            <w:pPr>
              <w:jc w:val="center"/>
              <w:rPr>
                <w:rFonts w:cs="Calibri"/>
                <w:b/>
                <w:bCs/>
                <w:color w:val="000000"/>
                <w:szCs w:val="22"/>
              </w:rPr>
            </w:pPr>
            <w:r w:rsidRPr="002F7364">
              <w:rPr>
                <w:rFonts w:cs="Calibri"/>
                <w:b/>
                <w:bCs/>
                <w:color w:val="000000"/>
                <w:szCs w:val="22"/>
              </w:rPr>
              <w:t>$2</w:t>
            </w:r>
            <w:r w:rsidR="001B75D7">
              <w:rPr>
                <w:rFonts w:cs="Calibri"/>
                <w:b/>
                <w:bCs/>
                <w:color w:val="000000"/>
                <w:szCs w:val="22"/>
              </w:rPr>
              <w:t>4</w:t>
            </w:r>
            <w:r w:rsidRPr="002F7364">
              <w:rPr>
                <w:rFonts w:cs="Calibri"/>
                <w:b/>
                <w:bCs/>
                <w:color w:val="000000"/>
                <w:szCs w:val="22"/>
              </w:rPr>
              <w:t>.8</w:t>
            </w:r>
            <w:r w:rsidR="001B75D7">
              <w:rPr>
                <w:rFonts w:cs="Calibri"/>
                <w:b/>
                <w:bCs/>
                <w:color w:val="000000"/>
                <w:szCs w:val="22"/>
              </w:rPr>
              <w:t>3</w:t>
            </w:r>
          </w:p>
        </w:tc>
        <w:tc>
          <w:tcPr>
            <w:tcW w:w="144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3E52CBB7" w14:textId="5E6B634B" w:rsidR="003901B7" w:rsidRPr="002F7364" w:rsidRDefault="003901B7" w:rsidP="002F7364">
            <w:pPr>
              <w:jc w:val="center"/>
              <w:rPr>
                <w:rFonts w:cs="Calibri"/>
                <w:b/>
                <w:bCs/>
                <w:color w:val="000000"/>
                <w:szCs w:val="22"/>
              </w:rPr>
            </w:pPr>
            <w:r w:rsidRPr="002F7364">
              <w:rPr>
                <w:rFonts w:cs="Calibri"/>
                <w:b/>
                <w:bCs/>
                <w:color w:val="000000"/>
                <w:szCs w:val="22"/>
              </w:rPr>
              <w:t>$18.6</w:t>
            </w:r>
            <w:r w:rsidR="00573B78">
              <w:rPr>
                <w:rFonts w:cs="Calibri"/>
                <w:b/>
                <w:bCs/>
                <w:color w:val="000000"/>
                <w:szCs w:val="22"/>
              </w:rPr>
              <w:t>6</w:t>
            </w:r>
          </w:p>
        </w:tc>
        <w:tc>
          <w:tcPr>
            <w:tcW w:w="1260" w:type="dxa"/>
            <w:tcBorders>
              <w:top w:val="single" w:sz="8" w:space="0" w:color="auto"/>
              <w:left w:val="nil"/>
              <w:bottom w:val="single" w:sz="8" w:space="0" w:color="auto"/>
              <w:right w:val="nil"/>
            </w:tcBorders>
            <w:shd w:val="clear" w:color="auto" w:fill="auto"/>
            <w:noWrap/>
            <w:vAlign w:val="center"/>
            <w:hideMark/>
          </w:tcPr>
          <w:p w14:paraId="095E082C" w14:textId="77777777" w:rsidR="003901B7" w:rsidRPr="002F7364" w:rsidRDefault="003901B7" w:rsidP="002F7364">
            <w:pPr>
              <w:jc w:val="center"/>
              <w:rPr>
                <w:rFonts w:cs="Calibri"/>
                <w:b/>
                <w:bCs/>
                <w:color w:val="000000"/>
                <w:szCs w:val="22"/>
              </w:rPr>
            </w:pPr>
            <w:r w:rsidRPr="002F7364">
              <w:rPr>
                <w:rFonts w:cs="Calibri"/>
                <w:b/>
                <w:bCs/>
                <w:color w:val="000000"/>
                <w:szCs w:val="22"/>
              </w:rPr>
              <w:t>15,780</w:t>
            </w:r>
          </w:p>
        </w:tc>
        <w:tc>
          <w:tcPr>
            <w:tcW w:w="153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776C278B" w14:textId="58CD0ADD" w:rsidR="003901B7" w:rsidRPr="002F7364" w:rsidRDefault="003901B7" w:rsidP="002F7364">
            <w:pPr>
              <w:jc w:val="center"/>
              <w:rPr>
                <w:rFonts w:cs="Calibri"/>
                <w:b/>
                <w:bCs/>
                <w:color w:val="000000"/>
                <w:szCs w:val="22"/>
              </w:rPr>
            </w:pPr>
            <w:r w:rsidRPr="002F7364">
              <w:rPr>
                <w:rFonts w:cs="Calibri"/>
                <w:b/>
                <w:bCs/>
                <w:color w:val="000000"/>
                <w:szCs w:val="22"/>
              </w:rPr>
              <w:t>$109,476,661</w:t>
            </w:r>
          </w:p>
        </w:tc>
        <w:tc>
          <w:tcPr>
            <w:tcW w:w="1530" w:type="dxa"/>
            <w:tcBorders>
              <w:top w:val="single" w:sz="8" w:space="0" w:color="auto"/>
              <w:left w:val="nil"/>
              <w:bottom w:val="single" w:sz="8" w:space="0" w:color="auto"/>
              <w:right w:val="single" w:sz="4" w:space="0" w:color="auto"/>
            </w:tcBorders>
            <w:shd w:val="clear" w:color="auto" w:fill="auto"/>
            <w:noWrap/>
            <w:vAlign w:val="center"/>
            <w:hideMark/>
          </w:tcPr>
          <w:p w14:paraId="0B35FC1B" w14:textId="4D269939" w:rsidR="003901B7" w:rsidRPr="002F7364" w:rsidRDefault="003901B7" w:rsidP="002F7364">
            <w:pPr>
              <w:jc w:val="center"/>
              <w:rPr>
                <w:rFonts w:cs="Calibri"/>
                <w:b/>
                <w:bCs/>
                <w:color w:val="000000"/>
                <w:szCs w:val="22"/>
              </w:rPr>
            </w:pPr>
            <w:r w:rsidRPr="002F7364">
              <w:rPr>
                <w:rFonts w:cs="Calibri"/>
                <w:b/>
                <w:bCs/>
                <w:color w:val="000000"/>
                <w:szCs w:val="22"/>
              </w:rPr>
              <w:t>$5</w:t>
            </w:r>
            <w:r w:rsidR="00573B78">
              <w:rPr>
                <w:rFonts w:cs="Calibri"/>
                <w:b/>
                <w:bCs/>
                <w:color w:val="000000"/>
                <w:szCs w:val="22"/>
              </w:rPr>
              <w:t>90</w:t>
            </w:r>
            <w:r w:rsidRPr="002F7364">
              <w:rPr>
                <w:rFonts w:cs="Calibri"/>
                <w:b/>
                <w:bCs/>
                <w:color w:val="000000"/>
                <w:szCs w:val="22"/>
              </w:rPr>
              <w:t>,</w:t>
            </w:r>
            <w:r w:rsidR="00573B78">
              <w:rPr>
                <w:rFonts w:cs="Calibri"/>
                <w:b/>
                <w:bCs/>
                <w:color w:val="000000"/>
                <w:szCs w:val="22"/>
              </w:rPr>
              <w:t>715</w:t>
            </w:r>
            <w:r w:rsidRPr="002F7364">
              <w:rPr>
                <w:rFonts w:cs="Calibri"/>
                <w:b/>
                <w:bCs/>
                <w:color w:val="000000"/>
                <w:szCs w:val="22"/>
              </w:rPr>
              <w:t>,</w:t>
            </w:r>
            <w:r w:rsidR="00573B78">
              <w:rPr>
                <w:rFonts w:cs="Calibri"/>
                <w:b/>
                <w:bCs/>
                <w:color w:val="000000"/>
                <w:szCs w:val="22"/>
              </w:rPr>
              <w:t>699</w:t>
            </w:r>
          </w:p>
        </w:tc>
        <w:tc>
          <w:tcPr>
            <w:tcW w:w="1530" w:type="dxa"/>
            <w:tcBorders>
              <w:top w:val="single" w:sz="8" w:space="0" w:color="auto"/>
              <w:left w:val="nil"/>
              <w:bottom w:val="single" w:sz="8" w:space="0" w:color="auto"/>
              <w:right w:val="nil"/>
            </w:tcBorders>
            <w:shd w:val="clear" w:color="auto" w:fill="auto"/>
            <w:noWrap/>
            <w:vAlign w:val="center"/>
            <w:hideMark/>
          </w:tcPr>
          <w:p w14:paraId="31154DFC" w14:textId="7554FA37" w:rsidR="003901B7" w:rsidRPr="002F7364" w:rsidRDefault="003901B7" w:rsidP="002F7364">
            <w:pPr>
              <w:jc w:val="center"/>
              <w:rPr>
                <w:rFonts w:cs="Calibri"/>
                <w:b/>
                <w:bCs/>
                <w:color w:val="000000"/>
                <w:szCs w:val="22"/>
              </w:rPr>
            </w:pPr>
            <w:r w:rsidRPr="002F7364">
              <w:rPr>
                <w:rFonts w:cs="Calibri"/>
                <w:b/>
                <w:bCs/>
                <w:color w:val="000000"/>
                <w:szCs w:val="22"/>
              </w:rPr>
              <w:t>1</w:t>
            </w:r>
            <w:r w:rsidR="00573B78">
              <w:rPr>
                <w:rFonts w:cs="Calibri"/>
                <w:b/>
                <w:bCs/>
                <w:color w:val="000000"/>
                <w:szCs w:val="22"/>
              </w:rPr>
              <w:t>1</w:t>
            </w:r>
            <w:r w:rsidRPr="002F7364">
              <w:rPr>
                <w:rFonts w:cs="Calibri"/>
                <w:b/>
                <w:bCs/>
                <w:color w:val="000000"/>
                <w:szCs w:val="22"/>
              </w:rPr>
              <w:t>0,</w:t>
            </w:r>
            <w:r w:rsidR="00573B78">
              <w:rPr>
                <w:rFonts w:cs="Calibri"/>
                <w:b/>
                <w:bCs/>
                <w:color w:val="000000"/>
                <w:szCs w:val="22"/>
              </w:rPr>
              <w:t>927</w:t>
            </w:r>
          </w:p>
        </w:tc>
        <w:tc>
          <w:tcPr>
            <w:tcW w:w="2160" w:type="dxa"/>
            <w:tcBorders>
              <w:top w:val="single" w:sz="8" w:space="0" w:color="auto"/>
              <w:left w:val="single" w:sz="4" w:space="0" w:color="auto"/>
              <w:bottom w:val="single" w:sz="8" w:space="0" w:color="auto"/>
              <w:right w:val="single" w:sz="8" w:space="0" w:color="auto"/>
            </w:tcBorders>
            <w:shd w:val="clear" w:color="000000" w:fill="C6E0B4"/>
            <w:noWrap/>
            <w:vAlign w:val="center"/>
            <w:hideMark/>
          </w:tcPr>
          <w:p w14:paraId="195D7C8A" w14:textId="15C829C6" w:rsidR="003901B7" w:rsidRPr="002F7364" w:rsidRDefault="003901B7" w:rsidP="002F7364">
            <w:pPr>
              <w:jc w:val="center"/>
              <w:rPr>
                <w:rFonts w:cs="Calibri"/>
                <w:b/>
                <w:bCs/>
                <w:color w:val="000000"/>
                <w:szCs w:val="22"/>
              </w:rPr>
            </w:pPr>
            <w:r w:rsidRPr="002F7364">
              <w:rPr>
                <w:rFonts w:cs="Calibri"/>
                <w:b/>
                <w:bCs/>
                <w:color w:val="000000"/>
                <w:szCs w:val="22"/>
              </w:rPr>
              <w:t>12</w:t>
            </w:r>
            <w:r w:rsidR="00573B78">
              <w:rPr>
                <w:rFonts w:cs="Calibri"/>
                <w:b/>
                <w:bCs/>
                <w:color w:val="000000"/>
                <w:szCs w:val="22"/>
              </w:rPr>
              <w:t>6</w:t>
            </w:r>
            <w:r w:rsidRPr="002F7364">
              <w:rPr>
                <w:rFonts w:cs="Calibri"/>
                <w:b/>
                <w:bCs/>
                <w:color w:val="000000"/>
                <w:szCs w:val="22"/>
              </w:rPr>
              <w:t>,</w:t>
            </w:r>
            <w:r w:rsidR="00573B78">
              <w:rPr>
                <w:rFonts w:cs="Calibri"/>
                <w:b/>
                <w:bCs/>
                <w:color w:val="000000"/>
                <w:szCs w:val="22"/>
              </w:rPr>
              <w:t>707</w:t>
            </w:r>
          </w:p>
        </w:tc>
      </w:tr>
    </w:tbl>
    <w:p w14:paraId="3BC53504" w14:textId="178FB019" w:rsidR="00146028" w:rsidRPr="006317C3" w:rsidRDefault="00146028" w:rsidP="006317C3">
      <w:pPr>
        <w:spacing w:after="120"/>
        <w:rPr>
          <w:rFonts w:asciiTheme="minorHAnsi" w:hAnsiTheme="minorHAnsi" w:cstheme="minorHAnsi"/>
          <w:sz w:val="4"/>
          <w:szCs w:val="4"/>
        </w:rPr>
      </w:pPr>
    </w:p>
    <w:sectPr w:rsidR="00146028" w:rsidRPr="006317C3" w:rsidSect="00146028">
      <w:pgSz w:w="15840" w:h="12240" w:orient="landscape" w:code="1"/>
      <w:pgMar w:top="720" w:right="432"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EA128" w14:textId="77777777" w:rsidR="006F46B9" w:rsidRDefault="006F46B9">
      <w:r>
        <w:separator/>
      </w:r>
    </w:p>
  </w:endnote>
  <w:endnote w:type="continuationSeparator" w:id="0">
    <w:p w14:paraId="597EFD8E" w14:textId="77777777" w:rsidR="006F46B9" w:rsidRDefault="006F4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89EF2" w14:textId="77777777" w:rsidR="006F46B9" w:rsidRDefault="006F46B9" w:rsidP="000911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89EF3" w14:textId="77777777" w:rsidR="006F46B9" w:rsidRDefault="006F46B9" w:rsidP="001906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817534"/>
      <w:docPartObj>
        <w:docPartGallery w:val="Page Numbers (Bottom of Page)"/>
        <w:docPartUnique/>
      </w:docPartObj>
    </w:sdtPr>
    <w:sdtEndPr>
      <w:rPr>
        <w:noProof/>
      </w:rPr>
    </w:sdtEndPr>
    <w:sdtContent>
      <w:p w14:paraId="42989EF4" w14:textId="77777777" w:rsidR="006F46B9" w:rsidRPr="006929F9" w:rsidRDefault="006F46B9" w:rsidP="006929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705AB" w14:textId="77777777" w:rsidR="006F46B9" w:rsidRDefault="006F46B9">
      <w:r>
        <w:separator/>
      </w:r>
    </w:p>
  </w:footnote>
  <w:footnote w:type="continuationSeparator" w:id="0">
    <w:p w14:paraId="6903BEBB" w14:textId="77777777" w:rsidR="006F46B9" w:rsidRDefault="006F46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3FEBAEC"/>
    <w:multiLevelType w:val="hybridMultilevel"/>
    <w:tmpl w:val="20F3B79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1009FE"/>
    <w:multiLevelType w:val="hybridMultilevel"/>
    <w:tmpl w:val="300469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90365BD"/>
    <w:multiLevelType w:val="hybridMultilevel"/>
    <w:tmpl w:val="09905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95678"/>
    <w:multiLevelType w:val="hybridMultilevel"/>
    <w:tmpl w:val="DF64BF50"/>
    <w:lvl w:ilvl="0" w:tplc="78EC7D58">
      <w:start w:val="1"/>
      <w:numFmt w:val="bullet"/>
      <w:lvlRestart w:val="0"/>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AEC3B9C"/>
    <w:multiLevelType w:val="hybridMultilevel"/>
    <w:tmpl w:val="E4F2D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40356"/>
    <w:multiLevelType w:val="hybridMultilevel"/>
    <w:tmpl w:val="1500F35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D26162"/>
    <w:multiLevelType w:val="multilevel"/>
    <w:tmpl w:val="8126F5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7E112B"/>
    <w:multiLevelType w:val="hybridMultilevel"/>
    <w:tmpl w:val="C5DE4A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3B5732"/>
    <w:multiLevelType w:val="hybridMultilevel"/>
    <w:tmpl w:val="A4FCE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573BF8"/>
    <w:multiLevelType w:val="hybridMultilevel"/>
    <w:tmpl w:val="125827BC"/>
    <w:lvl w:ilvl="0" w:tplc="93D27F82">
      <w:start w:val="1"/>
      <w:numFmt w:val="bullet"/>
      <w:lvlRestart w:val="0"/>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15276C"/>
    <w:multiLevelType w:val="hybridMultilevel"/>
    <w:tmpl w:val="08367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466240"/>
    <w:multiLevelType w:val="hybridMultilevel"/>
    <w:tmpl w:val="8EE8CE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9D530B"/>
    <w:multiLevelType w:val="hybridMultilevel"/>
    <w:tmpl w:val="6F76913A"/>
    <w:lvl w:ilvl="0" w:tplc="EB9437DC">
      <w:start w:val="1"/>
      <w:numFmt w:val="decimal"/>
      <w:lvlText w:val="%1)"/>
      <w:lvlJc w:val="left"/>
      <w:pPr>
        <w:ind w:left="720" w:hanging="360"/>
      </w:pPr>
      <w:rPr>
        <w:rFonts w:asciiTheme="minorHAnsi" w:eastAsia="Times New Roman" w:hAnsiTheme="minorHAnsi" w:cstheme="minorHAns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5C35C2"/>
    <w:multiLevelType w:val="hybridMultilevel"/>
    <w:tmpl w:val="42B6AF12"/>
    <w:lvl w:ilvl="0" w:tplc="78EC7D58">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82512A"/>
    <w:multiLevelType w:val="hybridMultilevel"/>
    <w:tmpl w:val="0758144C"/>
    <w:lvl w:ilvl="0" w:tplc="426EFE96">
      <w:start w:val="1"/>
      <w:numFmt w:val="bullet"/>
      <w:lvlRestart w:val="0"/>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29127B9"/>
    <w:multiLevelType w:val="hybridMultilevel"/>
    <w:tmpl w:val="08260EDE"/>
    <w:lvl w:ilvl="0" w:tplc="0FAEC3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507877"/>
    <w:multiLevelType w:val="hybridMultilevel"/>
    <w:tmpl w:val="F17000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818B2"/>
    <w:multiLevelType w:val="hybridMultilevel"/>
    <w:tmpl w:val="1500F35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6D0EA2"/>
    <w:multiLevelType w:val="hybridMultilevel"/>
    <w:tmpl w:val="15BAF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7C361F"/>
    <w:multiLevelType w:val="hybridMultilevel"/>
    <w:tmpl w:val="84D8D1A8"/>
    <w:lvl w:ilvl="0" w:tplc="E6EC78A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373244"/>
    <w:multiLevelType w:val="hybridMultilevel"/>
    <w:tmpl w:val="4C76C4F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1" w15:restartNumberingAfterBreak="0">
    <w:nsid w:val="3FA55515"/>
    <w:multiLevelType w:val="hybridMultilevel"/>
    <w:tmpl w:val="29B0B9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0E69A2"/>
    <w:multiLevelType w:val="hybridMultilevel"/>
    <w:tmpl w:val="6CE063F2"/>
    <w:lvl w:ilvl="0" w:tplc="78EC7D58">
      <w:start w:val="1"/>
      <w:numFmt w:val="bullet"/>
      <w:lvlRestart w:val="0"/>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5A21633"/>
    <w:multiLevelType w:val="hybridMultilevel"/>
    <w:tmpl w:val="51DAAFB6"/>
    <w:lvl w:ilvl="0" w:tplc="8402DD1E">
      <w:start w:val="1"/>
      <w:numFmt w:val="decimal"/>
      <w:lvlText w:val="%1)"/>
      <w:lvlJc w:val="left"/>
      <w:pPr>
        <w:ind w:left="720" w:hanging="360"/>
      </w:pPr>
      <w:rPr>
        <w:rFonts w:ascii="Calibri" w:hAnsi="Calibri" w:cs="Times New Roman" w:hint="default"/>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545CBC"/>
    <w:multiLevelType w:val="hybridMultilevel"/>
    <w:tmpl w:val="EA0697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A33D48"/>
    <w:multiLevelType w:val="hybridMultilevel"/>
    <w:tmpl w:val="804C5A4C"/>
    <w:lvl w:ilvl="0" w:tplc="78EC7D58">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1B43AD"/>
    <w:multiLevelType w:val="hybridMultilevel"/>
    <w:tmpl w:val="2CD2E12E"/>
    <w:lvl w:ilvl="0" w:tplc="78EC7D58">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CF6720"/>
    <w:multiLevelType w:val="hybridMultilevel"/>
    <w:tmpl w:val="E7625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560D53"/>
    <w:multiLevelType w:val="hybridMultilevel"/>
    <w:tmpl w:val="914203E0"/>
    <w:lvl w:ilvl="0" w:tplc="78EC7D58">
      <w:start w:val="1"/>
      <w:numFmt w:val="bullet"/>
      <w:lvlRestart w:val="0"/>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42D7A60"/>
    <w:multiLevelType w:val="hybridMultilevel"/>
    <w:tmpl w:val="91E803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592EBE"/>
    <w:multiLevelType w:val="multilevel"/>
    <w:tmpl w:val="42B6AF12"/>
    <w:lvl w:ilvl="0">
      <w:start w:val="1"/>
      <w:numFmt w:val="bullet"/>
      <w:lvlRestart w:val="0"/>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8077F0"/>
    <w:multiLevelType w:val="hybridMultilevel"/>
    <w:tmpl w:val="8A56AEE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DE39DE"/>
    <w:multiLevelType w:val="hybridMultilevel"/>
    <w:tmpl w:val="E27689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303E7C"/>
    <w:multiLevelType w:val="hybridMultilevel"/>
    <w:tmpl w:val="922AED5A"/>
    <w:lvl w:ilvl="0" w:tplc="78EC7D58">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EC38AF"/>
    <w:multiLevelType w:val="hybridMultilevel"/>
    <w:tmpl w:val="C3EA7304"/>
    <w:lvl w:ilvl="0" w:tplc="78EC7D58">
      <w:start w:val="1"/>
      <w:numFmt w:val="bullet"/>
      <w:lvlRestart w:val="0"/>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67B00A91"/>
    <w:multiLevelType w:val="hybridMultilevel"/>
    <w:tmpl w:val="3E7EF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401F4A"/>
    <w:multiLevelType w:val="hybridMultilevel"/>
    <w:tmpl w:val="29FE6218"/>
    <w:lvl w:ilvl="0" w:tplc="78EC7D58">
      <w:start w:val="1"/>
      <w:numFmt w:val="bullet"/>
      <w:lvlRestart w:val="0"/>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F656CA"/>
    <w:multiLevelType w:val="hybridMultilevel"/>
    <w:tmpl w:val="A34ADC46"/>
    <w:lvl w:ilvl="0" w:tplc="78EC7D58">
      <w:start w:val="1"/>
      <w:numFmt w:val="bullet"/>
      <w:lvlRestart w:val="0"/>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72DC322A"/>
    <w:multiLevelType w:val="multilevel"/>
    <w:tmpl w:val="7C568EBA"/>
    <w:lvl w:ilvl="0">
      <w:start w:val="1"/>
      <w:numFmt w:val="decimal"/>
      <w:lvlText w:val="%1."/>
      <w:lvlJc w:val="left"/>
      <w:pPr>
        <w:tabs>
          <w:tab w:val="num" w:pos="360"/>
        </w:tabs>
        <w:ind w:left="360" w:hanging="360"/>
      </w:pPr>
      <w:rPr>
        <w:rFonts w:ascii="Times New Roman" w:hAnsi="Times New Roman" w:cs="Times New Roman" w:hint="default"/>
        <w:b w:val="0"/>
        <w:color w:val="00000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9" w15:restartNumberingAfterBreak="0">
    <w:nsid w:val="75FB7FE0"/>
    <w:multiLevelType w:val="hybridMultilevel"/>
    <w:tmpl w:val="02E45B38"/>
    <w:lvl w:ilvl="0" w:tplc="78EC7D58">
      <w:start w:val="1"/>
      <w:numFmt w:val="bullet"/>
      <w:lvlRestart w:val="0"/>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6C7017A"/>
    <w:multiLevelType w:val="hybridMultilevel"/>
    <w:tmpl w:val="BF9C7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890A97"/>
    <w:multiLevelType w:val="hybridMultilevel"/>
    <w:tmpl w:val="F518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8A1E3E"/>
    <w:multiLevelType w:val="hybridMultilevel"/>
    <w:tmpl w:val="70EC83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EF20DA"/>
    <w:multiLevelType w:val="hybridMultilevel"/>
    <w:tmpl w:val="016CD418"/>
    <w:lvl w:ilvl="0" w:tplc="426EFE96">
      <w:start w:val="1"/>
      <w:numFmt w:val="bullet"/>
      <w:lvlRestart w:val="0"/>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EB5420A"/>
    <w:multiLevelType w:val="hybridMultilevel"/>
    <w:tmpl w:val="8C8C6D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30"/>
  </w:num>
  <w:num w:numId="3">
    <w:abstractNumId w:val="34"/>
  </w:num>
  <w:num w:numId="4">
    <w:abstractNumId w:val="33"/>
  </w:num>
  <w:num w:numId="5">
    <w:abstractNumId w:val="0"/>
  </w:num>
  <w:num w:numId="6">
    <w:abstractNumId w:val="36"/>
  </w:num>
  <w:num w:numId="7">
    <w:abstractNumId w:val="28"/>
  </w:num>
  <w:num w:numId="8">
    <w:abstractNumId w:val="3"/>
  </w:num>
  <w:num w:numId="9">
    <w:abstractNumId w:val="39"/>
  </w:num>
  <w:num w:numId="10">
    <w:abstractNumId w:val="22"/>
  </w:num>
  <w:num w:numId="11">
    <w:abstractNumId w:val="26"/>
  </w:num>
  <w:num w:numId="12">
    <w:abstractNumId w:val="25"/>
  </w:num>
  <w:num w:numId="13">
    <w:abstractNumId w:val="37"/>
  </w:num>
  <w:num w:numId="14">
    <w:abstractNumId w:val="6"/>
  </w:num>
  <w:num w:numId="15">
    <w:abstractNumId w:val="19"/>
  </w:num>
  <w:num w:numId="16">
    <w:abstractNumId w:val="9"/>
  </w:num>
  <w:num w:numId="17">
    <w:abstractNumId w:val="14"/>
  </w:num>
  <w:num w:numId="18">
    <w:abstractNumId w:val="43"/>
  </w:num>
  <w:num w:numId="19">
    <w:abstractNumId w:val="40"/>
  </w:num>
  <w:num w:numId="20">
    <w:abstractNumId w:val="44"/>
  </w:num>
  <w:num w:numId="21">
    <w:abstractNumId w:val="4"/>
  </w:num>
  <w:num w:numId="22">
    <w:abstractNumId w:val="15"/>
  </w:num>
  <w:num w:numId="23">
    <w:abstractNumId w:val="38"/>
  </w:num>
  <w:num w:numId="24">
    <w:abstractNumId w:val="1"/>
  </w:num>
  <w:num w:numId="25">
    <w:abstractNumId w:val="41"/>
  </w:num>
  <w:num w:numId="26">
    <w:abstractNumId w:val="10"/>
  </w:num>
  <w:num w:numId="27">
    <w:abstractNumId w:val="23"/>
  </w:num>
  <w:num w:numId="28">
    <w:abstractNumId w:val="8"/>
  </w:num>
  <w:num w:numId="29">
    <w:abstractNumId w:val="27"/>
  </w:num>
  <w:num w:numId="30">
    <w:abstractNumId w:val="24"/>
  </w:num>
  <w:num w:numId="31">
    <w:abstractNumId w:val="42"/>
  </w:num>
  <w:num w:numId="32">
    <w:abstractNumId w:val="18"/>
  </w:num>
  <w:num w:numId="33">
    <w:abstractNumId w:val="20"/>
  </w:num>
  <w:num w:numId="34">
    <w:abstractNumId w:val="7"/>
  </w:num>
  <w:num w:numId="35">
    <w:abstractNumId w:val="12"/>
  </w:num>
  <w:num w:numId="36">
    <w:abstractNumId w:val="16"/>
  </w:num>
  <w:num w:numId="37">
    <w:abstractNumId w:val="5"/>
  </w:num>
  <w:num w:numId="38">
    <w:abstractNumId w:val="11"/>
  </w:num>
  <w:num w:numId="39">
    <w:abstractNumId w:val="32"/>
  </w:num>
  <w:num w:numId="40">
    <w:abstractNumId w:val="17"/>
  </w:num>
  <w:num w:numId="41">
    <w:abstractNumId w:val="31"/>
  </w:num>
  <w:num w:numId="42">
    <w:abstractNumId w:val="2"/>
  </w:num>
  <w:num w:numId="43">
    <w:abstractNumId w:val="21"/>
  </w:num>
  <w:num w:numId="44">
    <w:abstractNumId w:val="35"/>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CC5"/>
    <w:rsid w:val="000039B3"/>
    <w:rsid w:val="00005AB9"/>
    <w:rsid w:val="00005F1A"/>
    <w:rsid w:val="000072CA"/>
    <w:rsid w:val="00007E73"/>
    <w:rsid w:val="00011BDF"/>
    <w:rsid w:val="000125C8"/>
    <w:rsid w:val="00012F29"/>
    <w:rsid w:val="00014DA6"/>
    <w:rsid w:val="00015999"/>
    <w:rsid w:val="000174F9"/>
    <w:rsid w:val="00022346"/>
    <w:rsid w:val="00023109"/>
    <w:rsid w:val="000238D9"/>
    <w:rsid w:val="00024835"/>
    <w:rsid w:val="00024D7C"/>
    <w:rsid w:val="000269C5"/>
    <w:rsid w:val="00027B49"/>
    <w:rsid w:val="00030A72"/>
    <w:rsid w:val="000334EC"/>
    <w:rsid w:val="00034D66"/>
    <w:rsid w:val="000378F3"/>
    <w:rsid w:val="00037C0C"/>
    <w:rsid w:val="00040470"/>
    <w:rsid w:val="00043219"/>
    <w:rsid w:val="00043A28"/>
    <w:rsid w:val="00047AC6"/>
    <w:rsid w:val="00047F3F"/>
    <w:rsid w:val="00052D52"/>
    <w:rsid w:val="00054CFA"/>
    <w:rsid w:val="000618C4"/>
    <w:rsid w:val="00062546"/>
    <w:rsid w:val="00066D27"/>
    <w:rsid w:val="00066FD1"/>
    <w:rsid w:val="0007261B"/>
    <w:rsid w:val="00074E92"/>
    <w:rsid w:val="000758F6"/>
    <w:rsid w:val="000764B5"/>
    <w:rsid w:val="00086DA7"/>
    <w:rsid w:val="000906D3"/>
    <w:rsid w:val="00091188"/>
    <w:rsid w:val="000A0B8B"/>
    <w:rsid w:val="000A1FD0"/>
    <w:rsid w:val="000A22A0"/>
    <w:rsid w:val="000A23E8"/>
    <w:rsid w:val="000A45D8"/>
    <w:rsid w:val="000A6452"/>
    <w:rsid w:val="000A6A91"/>
    <w:rsid w:val="000A6D32"/>
    <w:rsid w:val="000A7989"/>
    <w:rsid w:val="000B02D0"/>
    <w:rsid w:val="000B0A25"/>
    <w:rsid w:val="000B421F"/>
    <w:rsid w:val="000B534D"/>
    <w:rsid w:val="000B53C1"/>
    <w:rsid w:val="000B56C3"/>
    <w:rsid w:val="000C2DC3"/>
    <w:rsid w:val="000C39BC"/>
    <w:rsid w:val="000C3C29"/>
    <w:rsid w:val="000C3CDD"/>
    <w:rsid w:val="000C4616"/>
    <w:rsid w:val="000D067E"/>
    <w:rsid w:val="000D33FE"/>
    <w:rsid w:val="000D4FAD"/>
    <w:rsid w:val="000D5129"/>
    <w:rsid w:val="000D6C94"/>
    <w:rsid w:val="000D6DD5"/>
    <w:rsid w:val="000E0C4E"/>
    <w:rsid w:val="000E21EE"/>
    <w:rsid w:val="000E25EC"/>
    <w:rsid w:val="000E4E69"/>
    <w:rsid w:val="000F3EED"/>
    <w:rsid w:val="000F48FC"/>
    <w:rsid w:val="001001AD"/>
    <w:rsid w:val="00117D92"/>
    <w:rsid w:val="00120BB2"/>
    <w:rsid w:val="001220B6"/>
    <w:rsid w:val="00122B02"/>
    <w:rsid w:val="00123819"/>
    <w:rsid w:val="00123871"/>
    <w:rsid w:val="001265A5"/>
    <w:rsid w:val="00130FC7"/>
    <w:rsid w:val="00131A0A"/>
    <w:rsid w:val="00133244"/>
    <w:rsid w:val="00135368"/>
    <w:rsid w:val="0013666B"/>
    <w:rsid w:val="00137650"/>
    <w:rsid w:val="001376A0"/>
    <w:rsid w:val="001427AA"/>
    <w:rsid w:val="00145345"/>
    <w:rsid w:val="00146028"/>
    <w:rsid w:val="001516B7"/>
    <w:rsid w:val="00152B4A"/>
    <w:rsid w:val="00152C5D"/>
    <w:rsid w:val="00153429"/>
    <w:rsid w:val="001548D3"/>
    <w:rsid w:val="001570B1"/>
    <w:rsid w:val="00160E59"/>
    <w:rsid w:val="0016256E"/>
    <w:rsid w:val="00162BDB"/>
    <w:rsid w:val="0016469A"/>
    <w:rsid w:val="001712BE"/>
    <w:rsid w:val="00171BB7"/>
    <w:rsid w:val="00173693"/>
    <w:rsid w:val="00173762"/>
    <w:rsid w:val="00175646"/>
    <w:rsid w:val="00175745"/>
    <w:rsid w:val="001814D2"/>
    <w:rsid w:val="00181F20"/>
    <w:rsid w:val="00182926"/>
    <w:rsid w:val="00182ADE"/>
    <w:rsid w:val="00184ED0"/>
    <w:rsid w:val="0018668D"/>
    <w:rsid w:val="00186DEC"/>
    <w:rsid w:val="00190638"/>
    <w:rsid w:val="00191310"/>
    <w:rsid w:val="0019262A"/>
    <w:rsid w:val="00193778"/>
    <w:rsid w:val="00197ADE"/>
    <w:rsid w:val="001A25F5"/>
    <w:rsid w:val="001A2992"/>
    <w:rsid w:val="001A3FE9"/>
    <w:rsid w:val="001B26FC"/>
    <w:rsid w:val="001B6C2E"/>
    <w:rsid w:val="001B75D7"/>
    <w:rsid w:val="001C121C"/>
    <w:rsid w:val="001C4182"/>
    <w:rsid w:val="001C4F0F"/>
    <w:rsid w:val="001C5A7F"/>
    <w:rsid w:val="001D1A63"/>
    <w:rsid w:val="001D2405"/>
    <w:rsid w:val="001D29C2"/>
    <w:rsid w:val="001D5479"/>
    <w:rsid w:val="001D71AE"/>
    <w:rsid w:val="001E2929"/>
    <w:rsid w:val="001E5E69"/>
    <w:rsid w:val="001F0883"/>
    <w:rsid w:val="001F1EA5"/>
    <w:rsid w:val="001F3770"/>
    <w:rsid w:val="001F4F81"/>
    <w:rsid w:val="001F7207"/>
    <w:rsid w:val="001F7A47"/>
    <w:rsid w:val="00202139"/>
    <w:rsid w:val="00202188"/>
    <w:rsid w:val="00203472"/>
    <w:rsid w:val="0020372F"/>
    <w:rsid w:val="00205ACD"/>
    <w:rsid w:val="002106B8"/>
    <w:rsid w:val="002106F3"/>
    <w:rsid w:val="002125A9"/>
    <w:rsid w:val="002157C5"/>
    <w:rsid w:val="00216C1A"/>
    <w:rsid w:val="00217088"/>
    <w:rsid w:val="00217743"/>
    <w:rsid w:val="00221F82"/>
    <w:rsid w:val="00222238"/>
    <w:rsid w:val="002226BD"/>
    <w:rsid w:val="002237F5"/>
    <w:rsid w:val="00223B0D"/>
    <w:rsid w:val="002265EA"/>
    <w:rsid w:val="00230FD5"/>
    <w:rsid w:val="00231B7F"/>
    <w:rsid w:val="002330F1"/>
    <w:rsid w:val="00242788"/>
    <w:rsid w:val="00246E9B"/>
    <w:rsid w:val="0024781D"/>
    <w:rsid w:val="00251E41"/>
    <w:rsid w:val="0025563D"/>
    <w:rsid w:val="002561F0"/>
    <w:rsid w:val="00260100"/>
    <w:rsid w:val="002606C5"/>
    <w:rsid w:val="00262181"/>
    <w:rsid w:val="0026289E"/>
    <w:rsid w:val="002628E1"/>
    <w:rsid w:val="00264F9D"/>
    <w:rsid w:val="00270BCC"/>
    <w:rsid w:val="0027221F"/>
    <w:rsid w:val="00272576"/>
    <w:rsid w:val="002754FE"/>
    <w:rsid w:val="0027688E"/>
    <w:rsid w:val="00276C85"/>
    <w:rsid w:val="002772F1"/>
    <w:rsid w:val="00277612"/>
    <w:rsid w:val="00282C57"/>
    <w:rsid w:val="002836DC"/>
    <w:rsid w:val="00286136"/>
    <w:rsid w:val="00292015"/>
    <w:rsid w:val="00294F96"/>
    <w:rsid w:val="002954A9"/>
    <w:rsid w:val="00295BBD"/>
    <w:rsid w:val="002A1816"/>
    <w:rsid w:val="002A4C80"/>
    <w:rsid w:val="002A69A0"/>
    <w:rsid w:val="002A6C8A"/>
    <w:rsid w:val="002A6F66"/>
    <w:rsid w:val="002A76DE"/>
    <w:rsid w:val="002B4AA6"/>
    <w:rsid w:val="002C0068"/>
    <w:rsid w:val="002C0797"/>
    <w:rsid w:val="002C0B2E"/>
    <w:rsid w:val="002C0E59"/>
    <w:rsid w:val="002C5BBD"/>
    <w:rsid w:val="002C5CA4"/>
    <w:rsid w:val="002C7D90"/>
    <w:rsid w:val="002D01DE"/>
    <w:rsid w:val="002D07B8"/>
    <w:rsid w:val="002D274D"/>
    <w:rsid w:val="002D2FCB"/>
    <w:rsid w:val="002D3936"/>
    <w:rsid w:val="002D3A2F"/>
    <w:rsid w:val="002D4561"/>
    <w:rsid w:val="002D609F"/>
    <w:rsid w:val="002E0747"/>
    <w:rsid w:val="002E6B28"/>
    <w:rsid w:val="002F0C78"/>
    <w:rsid w:val="002F170C"/>
    <w:rsid w:val="002F1F8D"/>
    <w:rsid w:val="002F3848"/>
    <w:rsid w:val="002F3B0F"/>
    <w:rsid w:val="002F446D"/>
    <w:rsid w:val="002F47FD"/>
    <w:rsid w:val="002F4CBC"/>
    <w:rsid w:val="002F7364"/>
    <w:rsid w:val="003018E2"/>
    <w:rsid w:val="00305838"/>
    <w:rsid w:val="00313B94"/>
    <w:rsid w:val="003148D3"/>
    <w:rsid w:val="00321738"/>
    <w:rsid w:val="00322187"/>
    <w:rsid w:val="003222CB"/>
    <w:rsid w:val="0032239F"/>
    <w:rsid w:val="00330394"/>
    <w:rsid w:val="00331AF2"/>
    <w:rsid w:val="00335071"/>
    <w:rsid w:val="0033562B"/>
    <w:rsid w:val="003362DB"/>
    <w:rsid w:val="00341B8F"/>
    <w:rsid w:val="00343D3B"/>
    <w:rsid w:val="00345FD6"/>
    <w:rsid w:val="003462E3"/>
    <w:rsid w:val="00347B5D"/>
    <w:rsid w:val="00347C66"/>
    <w:rsid w:val="00353936"/>
    <w:rsid w:val="00353B33"/>
    <w:rsid w:val="00355097"/>
    <w:rsid w:val="00357597"/>
    <w:rsid w:val="00361F34"/>
    <w:rsid w:val="0036248D"/>
    <w:rsid w:val="00363E05"/>
    <w:rsid w:val="00364DC0"/>
    <w:rsid w:val="00365625"/>
    <w:rsid w:val="00367E28"/>
    <w:rsid w:val="00373BA4"/>
    <w:rsid w:val="003757DD"/>
    <w:rsid w:val="00375B00"/>
    <w:rsid w:val="00376788"/>
    <w:rsid w:val="00386EB3"/>
    <w:rsid w:val="003901B7"/>
    <w:rsid w:val="00392E53"/>
    <w:rsid w:val="003931D9"/>
    <w:rsid w:val="003935BE"/>
    <w:rsid w:val="00396E1E"/>
    <w:rsid w:val="003A26B0"/>
    <w:rsid w:val="003A30EF"/>
    <w:rsid w:val="003A4516"/>
    <w:rsid w:val="003B010E"/>
    <w:rsid w:val="003B05A7"/>
    <w:rsid w:val="003B4486"/>
    <w:rsid w:val="003B64AD"/>
    <w:rsid w:val="003B7099"/>
    <w:rsid w:val="003B711D"/>
    <w:rsid w:val="003B78EE"/>
    <w:rsid w:val="003C3CFF"/>
    <w:rsid w:val="003C5292"/>
    <w:rsid w:val="003C55A1"/>
    <w:rsid w:val="003E16A7"/>
    <w:rsid w:val="003E1BCB"/>
    <w:rsid w:val="003E6B19"/>
    <w:rsid w:val="003E7677"/>
    <w:rsid w:val="003F2D76"/>
    <w:rsid w:val="003F3DA5"/>
    <w:rsid w:val="003F4462"/>
    <w:rsid w:val="003F45D5"/>
    <w:rsid w:val="003F4D97"/>
    <w:rsid w:val="003F75D2"/>
    <w:rsid w:val="003F7EAE"/>
    <w:rsid w:val="00402CED"/>
    <w:rsid w:val="00405549"/>
    <w:rsid w:val="00406BF2"/>
    <w:rsid w:val="004072EA"/>
    <w:rsid w:val="00412120"/>
    <w:rsid w:val="004159E5"/>
    <w:rsid w:val="004176CB"/>
    <w:rsid w:val="00420D38"/>
    <w:rsid w:val="00420EE0"/>
    <w:rsid w:val="00421764"/>
    <w:rsid w:val="004251C7"/>
    <w:rsid w:val="004315D0"/>
    <w:rsid w:val="00432A7B"/>
    <w:rsid w:val="00434E4D"/>
    <w:rsid w:val="00435CB4"/>
    <w:rsid w:val="00435D68"/>
    <w:rsid w:val="004379CD"/>
    <w:rsid w:val="0044173F"/>
    <w:rsid w:val="00442E59"/>
    <w:rsid w:val="00443B0D"/>
    <w:rsid w:val="00445CF5"/>
    <w:rsid w:val="0044690F"/>
    <w:rsid w:val="004471BF"/>
    <w:rsid w:val="004523C9"/>
    <w:rsid w:val="004533D9"/>
    <w:rsid w:val="00455F20"/>
    <w:rsid w:val="00457AB4"/>
    <w:rsid w:val="0046054C"/>
    <w:rsid w:val="00464EB9"/>
    <w:rsid w:val="0046578B"/>
    <w:rsid w:val="004706F0"/>
    <w:rsid w:val="00471984"/>
    <w:rsid w:val="00471B35"/>
    <w:rsid w:val="004742DC"/>
    <w:rsid w:val="00474D62"/>
    <w:rsid w:val="004753A4"/>
    <w:rsid w:val="00475D6C"/>
    <w:rsid w:val="0048122F"/>
    <w:rsid w:val="00482B47"/>
    <w:rsid w:val="00482F6A"/>
    <w:rsid w:val="004900AA"/>
    <w:rsid w:val="00491B59"/>
    <w:rsid w:val="00492663"/>
    <w:rsid w:val="00492D38"/>
    <w:rsid w:val="00494173"/>
    <w:rsid w:val="004974B6"/>
    <w:rsid w:val="004979C2"/>
    <w:rsid w:val="00497AEC"/>
    <w:rsid w:val="004A0B8E"/>
    <w:rsid w:val="004B1BF7"/>
    <w:rsid w:val="004C0996"/>
    <w:rsid w:val="004C1191"/>
    <w:rsid w:val="004C1867"/>
    <w:rsid w:val="004C66EE"/>
    <w:rsid w:val="004C709B"/>
    <w:rsid w:val="004D5071"/>
    <w:rsid w:val="004D61EE"/>
    <w:rsid w:val="004D6B34"/>
    <w:rsid w:val="004D6DEA"/>
    <w:rsid w:val="004D6E37"/>
    <w:rsid w:val="004E351D"/>
    <w:rsid w:val="004E36A9"/>
    <w:rsid w:val="004E6506"/>
    <w:rsid w:val="004E67A4"/>
    <w:rsid w:val="004F2CBE"/>
    <w:rsid w:val="004F3196"/>
    <w:rsid w:val="004F3D54"/>
    <w:rsid w:val="004F6316"/>
    <w:rsid w:val="004F6662"/>
    <w:rsid w:val="00500AE9"/>
    <w:rsid w:val="00502795"/>
    <w:rsid w:val="00502876"/>
    <w:rsid w:val="005031E7"/>
    <w:rsid w:val="00506A5C"/>
    <w:rsid w:val="00512853"/>
    <w:rsid w:val="0051387F"/>
    <w:rsid w:val="00517D45"/>
    <w:rsid w:val="005206A3"/>
    <w:rsid w:val="00520A33"/>
    <w:rsid w:val="00522665"/>
    <w:rsid w:val="0052346F"/>
    <w:rsid w:val="00524CEF"/>
    <w:rsid w:val="00525525"/>
    <w:rsid w:val="005320AB"/>
    <w:rsid w:val="00532A04"/>
    <w:rsid w:val="00532BAC"/>
    <w:rsid w:val="00532E45"/>
    <w:rsid w:val="00533966"/>
    <w:rsid w:val="0053489E"/>
    <w:rsid w:val="005348C7"/>
    <w:rsid w:val="00535369"/>
    <w:rsid w:val="00535C9C"/>
    <w:rsid w:val="005402E2"/>
    <w:rsid w:val="0054093C"/>
    <w:rsid w:val="00540CF0"/>
    <w:rsid w:val="00543D08"/>
    <w:rsid w:val="00544023"/>
    <w:rsid w:val="0055091E"/>
    <w:rsid w:val="00552C0E"/>
    <w:rsid w:val="0055320A"/>
    <w:rsid w:val="00553EE0"/>
    <w:rsid w:val="005547B8"/>
    <w:rsid w:val="00556C78"/>
    <w:rsid w:val="00556FAD"/>
    <w:rsid w:val="00561FC3"/>
    <w:rsid w:val="00566106"/>
    <w:rsid w:val="005679BD"/>
    <w:rsid w:val="00573B78"/>
    <w:rsid w:val="00574C7A"/>
    <w:rsid w:val="00574D7D"/>
    <w:rsid w:val="0057703C"/>
    <w:rsid w:val="00581B97"/>
    <w:rsid w:val="00584CEB"/>
    <w:rsid w:val="00587DD8"/>
    <w:rsid w:val="00590C19"/>
    <w:rsid w:val="00591F86"/>
    <w:rsid w:val="00592702"/>
    <w:rsid w:val="00592B23"/>
    <w:rsid w:val="005930C4"/>
    <w:rsid w:val="0059398B"/>
    <w:rsid w:val="00594977"/>
    <w:rsid w:val="00596D97"/>
    <w:rsid w:val="00597126"/>
    <w:rsid w:val="005973F7"/>
    <w:rsid w:val="005A16FB"/>
    <w:rsid w:val="005A1883"/>
    <w:rsid w:val="005A3171"/>
    <w:rsid w:val="005A752D"/>
    <w:rsid w:val="005B2AF6"/>
    <w:rsid w:val="005B368D"/>
    <w:rsid w:val="005B4CC3"/>
    <w:rsid w:val="005B6C39"/>
    <w:rsid w:val="005C1E46"/>
    <w:rsid w:val="005C241C"/>
    <w:rsid w:val="005C29DA"/>
    <w:rsid w:val="005C6638"/>
    <w:rsid w:val="005C7680"/>
    <w:rsid w:val="005D430B"/>
    <w:rsid w:val="005D4BB8"/>
    <w:rsid w:val="005D6B98"/>
    <w:rsid w:val="005D71B5"/>
    <w:rsid w:val="005E14A0"/>
    <w:rsid w:val="005E1533"/>
    <w:rsid w:val="005E34BB"/>
    <w:rsid w:val="005E40A4"/>
    <w:rsid w:val="005F1491"/>
    <w:rsid w:val="005F19C6"/>
    <w:rsid w:val="005F3B18"/>
    <w:rsid w:val="005F4078"/>
    <w:rsid w:val="006006C6"/>
    <w:rsid w:val="00601AD3"/>
    <w:rsid w:val="0060254A"/>
    <w:rsid w:val="00607BFB"/>
    <w:rsid w:val="006123EA"/>
    <w:rsid w:val="00617DC9"/>
    <w:rsid w:val="006212EF"/>
    <w:rsid w:val="00621350"/>
    <w:rsid w:val="006301C4"/>
    <w:rsid w:val="006317C3"/>
    <w:rsid w:val="00631BCF"/>
    <w:rsid w:val="00632BCA"/>
    <w:rsid w:val="006335E5"/>
    <w:rsid w:val="0063471A"/>
    <w:rsid w:val="00634D59"/>
    <w:rsid w:val="006359F7"/>
    <w:rsid w:val="00636D4C"/>
    <w:rsid w:val="00641CB9"/>
    <w:rsid w:val="006456D8"/>
    <w:rsid w:val="0065090F"/>
    <w:rsid w:val="00650B88"/>
    <w:rsid w:val="00656B2F"/>
    <w:rsid w:val="006574D1"/>
    <w:rsid w:val="00657A83"/>
    <w:rsid w:val="00664853"/>
    <w:rsid w:val="00664BBD"/>
    <w:rsid w:val="00666CD4"/>
    <w:rsid w:val="00667421"/>
    <w:rsid w:val="00674555"/>
    <w:rsid w:val="00676AC9"/>
    <w:rsid w:val="00677B98"/>
    <w:rsid w:val="00681264"/>
    <w:rsid w:val="0068470B"/>
    <w:rsid w:val="00686DB3"/>
    <w:rsid w:val="00690DFC"/>
    <w:rsid w:val="006929F9"/>
    <w:rsid w:val="0069304E"/>
    <w:rsid w:val="00694EEE"/>
    <w:rsid w:val="00695E47"/>
    <w:rsid w:val="006A0346"/>
    <w:rsid w:val="006A0D7B"/>
    <w:rsid w:val="006A25F6"/>
    <w:rsid w:val="006B2F65"/>
    <w:rsid w:val="006B4C39"/>
    <w:rsid w:val="006B53AC"/>
    <w:rsid w:val="006B5733"/>
    <w:rsid w:val="006B5B5F"/>
    <w:rsid w:val="006B7793"/>
    <w:rsid w:val="006C064C"/>
    <w:rsid w:val="006C0F8E"/>
    <w:rsid w:val="006C1B45"/>
    <w:rsid w:val="006C22FF"/>
    <w:rsid w:val="006C3909"/>
    <w:rsid w:val="006C662B"/>
    <w:rsid w:val="006C74B7"/>
    <w:rsid w:val="006D0824"/>
    <w:rsid w:val="006D1D53"/>
    <w:rsid w:val="006E1ED1"/>
    <w:rsid w:val="006E57ED"/>
    <w:rsid w:val="006E5D02"/>
    <w:rsid w:val="006E60C1"/>
    <w:rsid w:val="006E65EE"/>
    <w:rsid w:val="006E74E4"/>
    <w:rsid w:val="006E7B96"/>
    <w:rsid w:val="006F0B79"/>
    <w:rsid w:val="006F46B9"/>
    <w:rsid w:val="006F5674"/>
    <w:rsid w:val="007005B4"/>
    <w:rsid w:val="007041AA"/>
    <w:rsid w:val="007107A8"/>
    <w:rsid w:val="00714B79"/>
    <w:rsid w:val="00717F53"/>
    <w:rsid w:val="0072050E"/>
    <w:rsid w:val="007205DF"/>
    <w:rsid w:val="00725492"/>
    <w:rsid w:val="007254EB"/>
    <w:rsid w:val="00725E99"/>
    <w:rsid w:val="00726E39"/>
    <w:rsid w:val="00730122"/>
    <w:rsid w:val="0073113A"/>
    <w:rsid w:val="00733269"/>
    <w:rsid w:val="00733C37"/>
    <w:rsid w:val="00733ED0"/>
    <w:rsid w:val="00735A46"/>
    <w:rsid w:val="007403E8"/>
    <w:rsid w:val="007424B9"/>
    <w:rsid w:val="00745ECE"/>
    <w:rsid w:val="00756118"/>
    <w:rsid w:val="00760A36"/>
    <w:rsid w:val="00760FEB"/>
    <w:rsid w:val="007640EA"/>
    <w:rsid w:val="00772874"/>
    <w:rsid w:val="00775B81"/>
    <w:rsid w:val="00783C9B"/>
    <w:rsid w:val="00783E44"/>
    <w:rsid w:val="00786F3A"/>
    <w:rsid w:val="00790D54"/>
    <w:rsid w:val="00791876"/>
    <w:rsid w:val="00791F8F"/>
    <w:rsid w:val="00794386"/>
    <w:rsid w:val="0079542E"/>
    <w:rsid w:val="007973EF"/>
    <w:rsid w:val="0079747D"/>
    <w:rsid w:val="007A0926"/>
    <w:rsid w:val="007A1C99"/>
    <w:rsid w:val="007A26AA"/>
    <w:rsid w:val="007A3084"/>
    <w:rsid w:val="007A4EE5"/>
    <w:rsid w:val="007A50F8"/>
    <w:rsid w:val="007B0586"/>
    <w:rsid w:val="007B0895"/>
    <w:rsid w:val="007B26C6"/>
    <w:rsid w:val="007B2970"/>
    <w:rsid w:val="007B3A22"/>
    <w:rsid w:val="007B5A53"/>
    <w:rsid w:val="007D02D0"/>
    <w:rsid w:val="007D0BEB"/>
    <w:rsid w:val="007D2819"/>
    <w:rsid w:val="007D5123"/>
    <w:rsid w:val="007E10EF"/>
    <w:rsid w:val="007E1997"/>
    <w:rsid w:val="007E5F3D"/>
    <w:rsid w:val="007E6214"/>
    <w:rsid w:val="007E625D"/>
    <w:rsid w:val="007E6FB0"/>
    <w:rsid w:val="007E71DB"/>
    <w:rsid w:val="007E725A"/>
    <w:rsid w:val="007F4E1F"/>
    <w:rsid w:val="007F5099"/>
    <w:rsid w:val="007F5A4B"/>
    <w:rsid w:val="00801179"/>
    <w:rsid w:val="0080263E"/>
    <w:rsid w:val="00806311"/>
    <w:rsid w:val="0080676A"/>
    <w:rsid w:val="00807914"/>
    <w:rsid w:val="0081110B"/>
    <w:rsid w:val="008166A5"/>
    <w:rsid w:val="00820B50"/>
    <w:rsid w:val="00824576"/>
    <w:rsid w:val="00826301"/>
    <w:rsid w:val="0083272F"/>
    <w:rsid w:val="00837ED3"/>
    <w:rsid w:val="00840C40"/>
    <w:rsid w:val="00845510"/>
    <w:rsid w:val="0084702A"/>
    <w:rsid w:val="00850958"/>
    <w:rsid w:val="00850DC3"/>
    <w:rsid w:val="00850E22"/>
    <w:rsid w:val="00855367"/>
    <w:rsid w:val="008601B3"/>
    <w:rsid w:val="00864F4B"/>
    <w:rsid w:val="00864F68"/>
    <w:rsid w:val="00872BA1"/>
    <w:rsid w:val="00873C31"/>
    <w:rsid w:val="00874A7C"/>
    <w:rsid w:val="0087674A"/>
    <w:rsid w:val="00877761"/>
    <w:rsid w:val="008777B1"/>
    <w:rsid w:val="008810F4"/>
    <w:rsid w:val="008821C6"/>
    <w:rsid w:val="00883E87"/>
    <w:rsid w:val="00885680"/>
    <w:rsid w:val="00885705"/>
    <w:rsid w:val="0088665A"/>
    <w:rsid w:val="00893093"/>
    <w:rsid w:val="00894246"/>
    <w:rsid w:val="0089462B"/>
    <w:rsid w:val="00896001"/>
    <w:rsid w:val="00897A04"/>
    <w:rsid w:val="008A3823"/>
    <w:rsid w:val="008A488E"/>
    <w:rsid w:val="008A5F5D"/>
    <w:rsid w:val="008B02E6"/>
    <w:rsid w:val="008B11DE"/>
    <w:rsid w:val="008B1D7D"/>
    <w:rsid w:val="008B7F22"/>
    <w:rsid w:val="008C09A8"/>
    <w:rsid w:val="008C1E46"/>
    <w:rsid w:val="008C2268"/>
    <w:rsid w:val="008C40CA"/>
    <w:rsid w:val="008C42A6"/>
    <w:rsid w:val="008C45C7"/>
    <w:rsid w:val="008C58A1"/>
    <w:rsid w:val="008C6F42"/>
    <w:rsid w:val="008D260A"/>
    <w:rsid w:val="008D2A11"/>
    <w:rsid w:val="008D7898"/>
    <w:rsid w:val="008E1300"/>
    <w:rsid w:val="008E266A"/>
    <w:rsid w:val="008E28AF"/>
    <w:rsid w:val="008E3CEE"/>
    <w:rsid w:val="008F142F"/>
    <w:rsid w:val="008F4902"/>
    <w:rsid w:val="008F7C90"/>
    <w:rsid w:val="00900761"/>
    <w:rsid w:val="009066D7"/>
    <w:rsid w:val="009132A7"/>
    <w:rsid w:val="00914FCD"/>
    <w:rsid w:val="00915D79"/>
    <w:rsid w:val="00916E47"/>
    <w:rsid w:val="00924055"/>
    <w:rsid w:val="009247B2"/>
    <w:rsid w:val="009247D3"/>
    <w:rsid w:val="009257AF"/>
    <w:rsid w:val="00925AEE"/>
    <w:rsid w:val="009262D2"/>
    <w:rsid w:val="00926CCF"/>
    <w:rsid w:val="009368FE"/>
    <w:rsid w:val="00950FB0"/>
    <w:rsid w:val="00951605"/>
    <w:rsid w:val="00951CCB"/>
    <w:rsid w:val="00953D28"/>
    <w:rsid w:val="00955038"/>
    <w:rsid w:val="00955B78"/>
    <w:rsid w:val="00955F7A"/>
    <w:rsid w:val="00956A09"/>
    <w:rsid w:val="009604CA"/>
    <w:rsid w:val="00961627"/>
    <w:rsid w:val="00970F86"/>
    <w:rsid w:val="00972AB4"/>
    <w:rsid w:val="00973AB2"/>
    <w:rsid w:val="00973B4F"/>
    <w:rsid w:val="009747BC"/>
    <w:rsid w:val="00980708"/>
    <w:rsid w:val="00986337"/>
    <w:rsid w:val="00986868"/>
    <w:rsid w:val="009876B6"/>
    <w:rsid w:val="00990CE9"/>
    <w:rsid w:val="00992F79"/>
    <w:rsid w:val="0099631E"/>
    <w:rsid w:val="00996DC2"/>
    <w:rsid w:val="00997635"/>
    <w:rsid w:val="00997FA8"/>
    <w:rsid w:val="009A05FD"/>
    <w:rsid w:val="009A0CB9"/>
    <w:rsid w:val="009A17AF"/>
    <w:rsid w:val="009A4E27"/>
    <w:rsid w:val="009A6296"/>
    <w:rsid w:val="009A7A01"/>
    <w:rsid w:val="009A7B7A"/>
    <w:rsid w:val="009B1170"/>
    <w:rsid w:val="009B3305"/>
    <w:rsid w:val="009B6124"/>
    <w:rsid w:val="009B7ACF"/>
    <w:rsid w:val="009C0055"/>
    <w:rsid w:val="009C0BE8"/>
    <w:rsid w:val="009C1C66"/>
    <w:rsid w:val="009C445D"/>
    <w:rsid w:val="009C5A8B"/>
    <w:rsid w:val="009D1DF8"/>
    <w:rsid w:val="009D238D"/>
    <w:rsid w:val="009D3B94"/>
    <w:rsid w:val="009D6261"/>
    <w:rsid w:val="009E7F47"/>
    <w:rsid w:val="009F336A"/>
    <w:rsid w:val="009F3A5B"/>
    <w:rsid w:val="009F3D16"/>
    <w:rsid w:val="009F5624"/>
    <w:rsid w:val="009F5FFB"/>
    <w:rsid w:val="009F6844"/>
    <w:rsid w:val="009F6CC7"/>
    <w:rsid w:val="009F7B7A"/>
    <w:rsid w:val="00A001C2"/>
    <w:rsid w:val="00A01C87"/>
    <w:rsid w:val="00A07229"/>
    <w:rsid w:val="00A11118"/>
    <w:rsid w:val="00A139A5"/>
    <w:rsid w:val="00A14AA4"/>
    <w:rsid w:val="00A15495"/>
    <w:rsid w:val="00A211F5"/>
    <w:rsid w:val="00A23848"/>
    <w:rsid w:val="00A248D0"/>
    <w:rsid w:val="00A25D4E"/>
    <w:rsid w:val="00A25EB6"/>
    <w:rsid w:val="00A35EA4"/>
    <w:rsid w:val="00A372DC"/>
    <w:rsid w:val="00A40D2F"/>
    <w:rsid w:val="00A42A91"/>
    <w:rsid w:val="00A454E1"/>
    <w:rsid w:val="00A51780"/>
    <w:rsid w:val="00A51D3D"/>
    <w:rsid w:val="00A521CA"/>
    <w:rsid w:val="00A52233"/>
    <w:rsid w:val="00A645E4"/>
    <w:rsid w:val="00A668C5"/>
    <w:rsid w:val="00A72AF7"/>
    <w:rsid w:val="00A80F5B"/>
    <w:rsid w:val="00A8765D"/>
    <w:rsid w:val="00A87F3B"/>
    <w:rsid w:val="00A9027B"/>
    <w:rsid w:val="00A9127E"/>
    <w:rsid w:val="00A9395B"/>
    <w:rsid w:val="00AA0AC9"/>
    <w:rsid w:val="00AA3C64"/>
    <w:rsid w:val="00AA4536"/>
    <w:rsid w:val="00AA6FC6"/>
    <w:rsid w:val="00AB0306"/>
    <w:rsid w:val="00AB0ACA"/>
    <w:rsid w:val="00AB393C"/>
    <w:rsid w:val="00AB7E8E"/>
    <w:rsid w:val="00AC26F0"/>
    <w:rsid w:val="00AC58C3"/>
    <w:rsid w:val="00AD064B"/>
    <w:rsid w:val="00AD1BE1"/>
    <w:rsid w:val="00AD33BA"/>
    <w:rsid w:val="00AD4317"/>
    <w:rsid w:val="00AD47BF"/>
    <w:rsid w:val="00AD7C49"/>
    <w:rsid w:val="00AE264A"/>
    <w:rsid w:val="00AE49AA"/>
    <w:rsid w:val="00AE526E"/>
    <w:rsid w:val="00AE52EC"/>
    <w:rsid w:val="00AF0451"/>
    <w:rsid w:val="00AF18E4"/>
    <w:rsid w:val="00AF23A8"/>
    <w:rsid w:val="00AF59B5"/>
    <w:rsid w:val="00AF6334"/>
    <w:rsid w:val="00AF6787"/>
    <w:rsid w:val="00AF6CD3"/>
    <w:rsid w:val="00B00281"/>
    <w:rsid w:val="00B01F3C"/>
    <w:rsid w:val="00B031D4"/>
    <w:rsid w:val="00B0614A"/>
    <w:rsid w:val="00B07DE4"/>
    <w:rsid w:val="00B11152"/>
    <w:rsid w:val="00B11672"/>
    <w:rsid w:val="00B12E33"/>
    <w:rsid w:val="00B142FD"/>
    <w:rsid w:val="00B165B4"/>
    <w:rsid w:val="00B16F9C"/>
    <w:rsid w:val="00B2178C"/>
    <w:rsid w:val="00B2302E"/>
    <w:rsid w:val="00B23FF1"/>
    <w:rsid w:val="00B24F6B"/>
    <w:rsid w:val="00B34276"/>
    <w:rsid w:val="00B343C6"/>
    <w:rsid w:val="00B35566"/>
    <w:rsid w:val="00B355D5"/>
    <w:rsid w:val="00B3612A"/>
    <w:rsid w:val="00B366D3"/>
    <w:rsid w:val="00B4469A"/>
    <w:rsid w:val="00B47DA6"/>
    <w:rsid w:val="00B47E84"/>
    <w:rsid w:val="00B50E2C"/>
    <w:rsid w:val="00B52E28"/>
    <w:rsid w:val="00B53475"/>
    <w:rsid w:val="00B6252A"/>
    <w:rsid w:val="00B67134"/>
    <w:rsid w:val="00B70440"/>
    <w:rsid w:val="00B74700"/>
    <w:rsid w:val="00B748BE"/>
    <w:rsid w:val="00B767B8"/>
    <w:rsid w:val="00B768F3"/>
    <w:rsid w:val="00B81E23"/>
    <w:rsid w:val="00B82A7F"/>
    <w:rsid w:val="00B93FCD"/>
    <w:rsid w:val="00B95FBC"/>
    <w:rsid w:val="00B97F83"/>
    <w:rsid w:val="00BA05B9"/>
    <w:rsid w:val="00BA255C"/>
    <w:rsid w:val="00BA2A05"/>
    <w:rsid w:val="00BA2AF2"/>
    <w:rsid w:val="00BA2FBB"/>
    <w:rsid w:val="00BA541A"/>
    <w:rsid w:val="00BB4421"/>
    <w:rsid w:val="00BB73B7"/>
    <w:rsid w:val="00BC06D2"/>
    <w:rsid w:val="00BC358D"/>
    <w:rsid w:val="00BC702D"/>
    <w:rsid w:val="00BD1B68"/>
    <w:rsid w:val="00BD2FCA"/>
    <w:rsid w:val="00BD37D9"/>
    <w:rsid w:val="00BD57D7"/>
    <w:rsid w:val="00BD601D"/>
    <w:rsid w:val="00BE4EDA"/>
    <w:rsid w:val="00BE655B"/>
    <w:rsid w:val="00BF2320"/>
    <w:rsid w:val="00BF41EF"/>
    <w:rsid w:val="00BF4DE9"/>
    <w:rsid w:val="00C032E6"/>
    <w:rsid w:val="00C03BA3"/>
    <w:rsid w:val="00C04506"/>
    <w:rsid w:val="00C1202B"/>
    <w:rsid w:val="00C12049"/>
    <w:rsid w:val="00C12480"/>
    <w:rsid w:val="00C12973"/>
    <w:rsid w:val="00C148AD"/>
    <w:rsid w:val="00C177C9"/>
    <w:rsid w:val="00C17F0B"/>
    <w:rsid w:val="00C21DE0"/>
    <w:rsid w:val="00C22DE3"/>
    <w:rsid w:val="00C23FB0"/>
    <w:rsid w:val="00C24B48"/>
    <w:rsid w:val="00C24D03"/>
    <w:rsid w:val="00C25041"/>
    <w:rsid w:val="00C2691F"/>
    <w:rsid w:val="00C32235"/>
    <w:rsid w:val="00C34E8F"/>
    <w:rsid w:val="00C42BC8"/>
    <w:rsid w:val="00C46017"/>
    <w:rsid w:val="00C505F4"/>
    <w:rsid w:val="00C52212"/>
    <w:rsid w:val="00C52607"/>
    <w:rsid w:val="00C532AE"/>
    <w:rsid w:val="00C53701"/>
    <w:rsid w:val="00C540DD"/>
    <w:rsid w:val="00C55AA6"/>
    <w:rsid w:val="00C57FCA"/>
    <w:rsid w:val="00C60B7D"/>
    <w:rsid w:val="00C61F8E"/>
    <w:rsid w:val="00C62BF1"/>
    <w:rsid w:val="00C634EE"/>
    <w:rsid w:val="00C6494D"/>
    <w:rsid w:val="00C661FF"/>
    <w:rsid w:val="00C72EBC"/>
    <w:rsid w:val="00C73A11"/>
    <w:rsid w:val="00C751CC"/>
    <w:rsid w:val="00C76504"/>
    <w:rsid w:val="00C80972"/>
    <w:rsid w:val="00C8133A"/>
    <w:rsid w:val="00C826E3"/>
    <w:rsid w:val="00C84110"/>
    <w:rsid w:val="00C84C1C"/>
    <w:rsid w:val="00C87794"/>
    <w:rsid w:val="00C91818"/>
    <w:rsid w:val="00C92367"/>
    <w:rsid w:val="00C950F0"/>
    <w:rsid w:val="00C956CD"/>
    <w:rsid w:val="00CA137C"/>
    <w:rsid w:val="00CA21C4"/>
    <w:rsid w:val="00CC0EFE"/>
    <w:rsid w:val="00CC157E"/>
    <w:rsid w:val="00CC15B3"/>
    <w:rsid w:val="00CC1B8C"/>
    <w:rsid w:val="00CC3037"/>
    <w:rsid w:val="00CD6168"/>
    <w:rsid w:val="00CD7023"/>
    <w:rsid w:val="00CD7B73"/>
    <w:rsid w:val="00CE05B1"/>
    <w:rsid w:val="00CE1BB5"/>
    <w:rsid w:val="00CE2131"/>
    <w:rsid w:val="00CE394C"/>
    <w:rsid w:val="00CE5133"/>
    <w:rsid w:val="00CF0704"/>
    <w:rsid w:val="00CF2273"/>
    <w:rsid w:val="00CF332F"/>
    <w:rsid w:val="00CF391D"/>
    <w:rsid w:val="00CF3A99"/>
    <w:rsid w:val="00D00F76"/>
    <w:rsid w:val="00D017D2"/>
    <w:rsid w:val="00D0589D"/>
    <w:rsid w:val="00D076E1"/>
    <w:rsid w:val="00D11052"/>
    <w:rsid w:val="00D1589E"/>
    <w:rsid w:val="00D15D3B"/>
    <w:rsid w:val="00D17CEF"/>
    <w:rsid w:val="00D2091E"/>
    <w:rsid w:val="00D22595"/>
    <w:rsid w:val="00D24257"/>
    <w:rsid w:val="00D2509E"/>
    <w:rsid w:val="00D25746"/>
    <w:rsid w:val="00D277A4"/>
    <w:rsid w:val="00D33ABE"/>
    <w:rsid w:val="00D37A51"/>
    <w:rsid w:val="00D4275F"/>
    <w:rsid w:val="00D43D11"/>
    <w:rsid w:val="00D44A6D"/>
    <w:rsid w:val="00D4668B"/>
    <w:rsid w:val="00D46762"/>
    <w:rsid w:val="00D46C3C"/>
    <w:rsid w:val="00D47CE4"/>
    <w:rsid w:val="00D5065D"/>
    <w:rsid w:val="00D52349"/>
    <w:rsid w:val="00D56845"/>
    <w:rsid w:val="00D629F2"/>
    <w:rsid w:val="00D62B25"/>
    <w:rsid w:val="00D651E5"/>
    <w:rsid w:val="00D66CDD"/>
    <w:rsid w:val="00D74AA0"/>
    <w:rsid w:val="00D802DC"/>
    <w:rsid w:val="00D9028E"/>
    <w:rsid w:val="00D91A47"/>
    <w:rsid w:val="00D93B82"/>
    <w:rsid w:val="00D96B48"/>
    <w:rsid w:val="00DA543B"/>
    <w:rsid w:val="00DA6576"/>
    <w:rsid w:val="00DB1633"/>
    <w:rsid w:val="00DB24FA"/>
    <w:rsid w:val="00DB2CBC"/>
    <w:rsid w:val="00DB5687"/>
    <w:rsid w:val="00DC11D0"/>
    <w:rsid w:val="00DD1AF6"/>
    <w:rsid w:val="00DD1B41"/>
    <w:rsid w:val="00DD2C40"/>
    <w:rsid w:val="00DD2E48"/>
    <w:rsid w:val="00DD4E1C"/>
    <w:rsid w:val="00DE03DE"/>
    <w:rsid w:val="00DE2163"/>
    <w:rsid w:val="00DE5561"/>
    <w:rsid w:val="00DE5C72"/>
    <w:rsid w:val="00DF5F1A"/>
    <w:rsid w:val="00E018C3"/>
    <w:rsid w:val="00E04412"/>
    <w:rsid w:val="00E07580"/>
    <w:rsid w:val="00E12FFC"/>
    <w:rsid w:val="00E22EC5"/>
    <w:rsid w:val="00E26111"/>
    <w:rsid w:val="00E26F60"/>
    <w:rsid w:val="00E31423"/>
    <w:rsid w:val="00E31941"/>
    <w:rsid w:val="00E36CB8"/>
    <w:rsid w:val="00E4270C"/>
    <w:rsid w:val="00E432CD"/>
    <w:rsid w:val="00E47E78"/>
    <w:rsid w:val="00E50865"/>
    <w:rsid w:val="00E525A2"/>
    <w:rsid w:val="00E56A19"/>
    <w:rsid w:val="00E63643"/>
    <w:rsid w:val="00E65B3B"/>
    <w:rsid w:val="00E718D6"/>
    <w:rsid w:val="00E7382A"/>
    <w:rsid w:val="00E80BC2"/>
    <w:rsid w:val="00E813A3"/>
    <w:rsid w:val="00E816E0"/>
    <w:rsid w:val="00E86175"/>
    <w:rsid w:val="00E86DC7"/>
    <w:rsid w:val="00E92E8F"/>
    <w:rsid w:val="00E931F5"/>
    <w:rsid w:val="00E970D7"/>
    <w:rsid w:val="00E97B03"/>
    <w:rsid w:val="00E97C36"/>
    <w:rsid w:val="00E97DD3"/>
    <w:rsid w:val="00EA371C"/>
    <w:rsid w:val="00EB08FC"/>
    <w:rsid w:val="00EB39D8"/>
    <w:rsid w:val="00EC083A"/>
    <w:rsid w:val="00EC2FB5"/>
    <w:rsid w:val="00EC42D0"/>
    <w:rsid w:val="00EC5D79"/>
    <w:rsid w:val="00ED193B"/>
    <w:rsid w:val="00EE0A5E"/>
    <w:rsid w:val="00EE105B"/>
    <w:rsid w:val="00EE3102"/>
    <w:rsid w:val="00EE43D8"/>
    <w:rsid w:val="00EE53A6"/>
    <w:rsid w:val="00EE6086"/>
    <w:rsid w:val="00EF034D"/>
    <w:rsid w:val="00EF40C0"/>
    <w:rsid w:val="00EF7180"/>
    <w:rsid w:val="00F004D3"/>
    <w:rsid w:val="00F00F7D"/>
    <w:rsid w:val="00F0378B"/>
    <w:rsid w:val="00F0728C"/>
    <w:rsid w:val="00F07850"/>
    <w:rsid w:val="00F1033E"/>
    <w:rsid w:val="00F10CD1"/>
    <w:rsid w:val="00F140A6"/>
    <w:rsid w:val="00F14DE0"/>
    <w:rsid w:val="00F22981"/>
    <w:rsid w:val="00F270AF"/>
    <w:rsid w:val="00F30092"/>
    <w:rsid w:val="00F32E58"/>
    <w:rsid w:val="00F35E4E"/>
    <w:rsid w:val="00F41103"/>
    <w:rsid w:val="00F4238B"/>
    <w:rsid w:val="00F43488"/>
    <w:rsid w:val="00F440B5"/>
    <w:rsid w:val="00F45092"/>
    <w:rsid w:val="00F51FF5"/>
    <w:rsid w:val="00F5332D"/>
    <w:rsid w:val="00F5710C"/>
    <w:rsid w:val="00F61228"/>
    <w:rsid w:val="00F659C5"/>
    <w:rsid w:val="00F66CA0"/>
    <w:rsid w:val="00F7185F"/>
    <w:rsid w:val="00F73B5A"/>
    <w:rsid w:val="00F75A29"/>
    <w:rsid w:val="00F8147C"/>
    <w:rsid w:val="00F82506"/>
    <w:rsid w:val="00F90058"/>
    <w:rsid w:val="00F90A6F"/>
    <w:rsid w:val="00F926AA"/>
    <w:rsid w:val="00F96FB9"/>
    <w:rsid w:val="00FA4BD9"/>
    <w:rsid w:val="00FA7454"/>
    <w:rsid w:val="00FB0804"/>
    <w:rsid w:val="00FB2CAA"/>
    <w:rsid w:val="00FB4853"/>
    <w:rsid w:val="00FB4CC5"/>
    <w:rsid w:val="00FB5CD7"/>
    <w:rsid w:val="00FC44E7"/>
    <w:rsid w:val="00FC5C6F"/>
    <w:rsid w:val="00FC75FC"/>
    <w:rsid w:val="00FC77E7"/>
    <w:rsid w:val="00FC7CFB"/>
    <w:rsid w:val="00FD22AD"/>
    <w:rsid w:val="00FD344D"/>
    <w:rsid w:val="00FD62F4"/>
    <w:rsid w:val="00FE008F"/>
    <w:rsid w:val="00FE0286"/>
    <w:rsid w:val="00FE0B57"/>
    <w:rsid w:val="00FE6E31"/>
    <w:rsid w:val="00FF1FED"/>
    <w:rsid w:val="00FF2219"/>
    <w:rsid w:val="00FF450B"/>
    <w:rsid w:val="00FF4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9895CC"/>
  <w15:docId w15:val="{3B518BD9-35F1-4F22-81B8-A6ECF4A89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6868"/>
    <w:rPr>
      <w:rFonts w:ascii="Calibri" w:hAnsi="Calibri"/>
      <w:sz w:val="22"/>
      <w:szCs w:val="24"/>
    </w:rPr>
  </w:style>
  <w:style w:type="paragraph" w:styleId="Heading1">
    <w:name w:val="heading 1"/>
    <w:basedOn w:val="Normal"/>
    <w:next w:val="Normal"/>
    <w:link w:val="Heading1Char"/>
    <w:qFormat/>
    <w:rsid w:val="00B768F3"/>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1D71AE"/>
  </w:style>
  <w:style w:type="paragraph" w:styleId="Footer">
    <w:name w:val="footer"/>
    <w:basedOn w:val="Normal"/>
    <w:link w:val="FooterChar"/>
    <w:uiPriority w:val="99"/>
    <w:rsid w:val="00190638"/>
    <w:pPr>
      <w:tabs>
        <w:tab w:val="center" w:pos="4320"/>
        <w:tab w:val="right" w:pos="8640"/>
      </w:tabs>
    </w:pPr>
  </w:style>
  <w:style w:type="character" w:styleId="PageNumber">
    <w:name w:val="page number"/>
    <w:basedOn w:val="DefaultParagraphFont"/>
    <w:rsid w:val="00190638"/>
  </w:style>
  <w:style w:type="paragraph" w:styleId="Header">
    <w:name w:val="header"/>
    <w:basedOn w:val="Normal"/>
    <w:rsid w:val="00190638"/>
    <w:pPr>
      <w:tabs>
        <w:tab w:val="center" w:pos="4320"/>
        <w:tab w:val="right" w:pos="8640"/>
      </w:tabs>
    </w:pPr>
  </w:style>
  <w:style w:type="paragraph" w:customStyle="1" w:styleId="Default">
    <w:name w:val="Default"/>
    <w:rsid w:val="00024835"/>
    <w:pPr>
      <w:autoSpaceDE w:val="0"/>
      <w:autoSpaceDN w:val="0"/>
      <w:adjustRightInd w:val="0"/>
    </w:pPr>
    <w:rPr>
      <w:color w:val="000000"/>
      <w:sz w:val="24"/>
      <w:szCs w:val="24"/>
    </w:rPr>
  </w:style>
  <w:style w:type="paragraph" w:styleId="BalloonText">
    <w:name w:val="Balloon Text"/>
    <w:basedOn w:val="Normal"/>
    <w:semiHidden/>
    <w:rsid w:val="00D47CE4"/>
    <w:rPr>
      <w:rFonts w:ascii="Tahoma" w:hAnsi="Tahoma" w:cs="Tahoma"/>
      <w:sz w:val="16"/>
      <w:szCs w:val="16"/>
    </w:rPr>
  </w:style>
  <w:style w:type="paragraph" w:styleId="NormalWeb">
    <w:name w:val="Normal (Web)"/>
    <w:basedOn w:val="Normal"/>
    <w:uiPriority w:val="99"/>
    <w:rsid w:val="00D74AA0"/>
    <w:pPr>
      <w:shd w:val="clear" w:color="auto" w:fill="FFFFFF"/>
      <w:spacing w:before="100" w:beforeAutospacing="1" w:after="100" w:afterAutospacing="1"/>
    </w:pPr>
    <w:rPr>
      <w:rFonts w:ascii="Arial" w:hAnsi="Arial" w:cs="Arial"/>
      <w:color w:val="000000"/>
      <w:szCs w:val="22"/>
    </w:rPr>
  </w:style>
  <w:style w:type="paragraph" w:styleId="FootnoteText">
    <w:name w:val="footnote text"/>
    <w:basedOn w:val="Normal"/>
    <w:link w:val="FootnoteTextChar"/>
    <w:semiHidden/>
    <w:rsid w:val="00474D62"/>
    <w:rPr>
      <w:sz w:val="20"/>
      <w:szCs w:val="20"/>
    </w:rPr>
  </w:style>
  <w:style w:type="character" w:styleId="FootnoteReference">
    <w:name w:val="footnote reference"/>
    <w:basedOn w:val="DefaultParagraphFont"/>
    <w:semiHidden/>
    <w:rsid w:val="00474D62"/>
    <w:rPr>
      <w:vertAlign w:val="superscript"/>
    </w:rPr>
  </w:style>
  <w:style w:type="paragraph" w:styleId="ListParagraph">
    <w:name w:val="List Paragraph"/>
    <w:basedOn w:val="Normal"/>
    <w:uiPriority w:val="34"/>
    <w:qFormat/>
    <w:rsid w:val="00A211F5"/>
    <w:pPr>
      <w:ind w:left="720"/>
      <w:contextualSpacing/>
    </w:pPr>
  </w:style>
  <w:style w:type="table" w:styleId="TableGrid">
    <w:name w:val="Table Grid"/>
    <w:basedOn w:val="TableNormal"/>
    <w:uiPriority w:val="39"/>
    <w:rsid w:val="006B7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B343C6"/>
    <w:rPr>
      <w:rFonts w:ascii="Courier New" w:hAnsi="Courier New"/>
      <w:sz w:val="20"/>
      <w:szCs w:val="20"/>
    </w:rPr>
  </w:style>
  <w:style w:type="character" w:customStyle="1" w:styleId="PlainTextChar">
    <w:name w:val="Plain Text Char"/>
    <w:basedOn w:val="DefaultParagraphFont"/>
    <w:link w:val="PlainText"/>
    <w:rsid w:val="00B343C6"/>
    <w:rPr>
      <w:rFonts w:ascii="Courier New" w:hAnsi="Courier New"/>
    </w:rPr>
  </w:style>
  <w:style w:type="character" w:customStyle="1" w:styleId="FootnoteTextChar">
    <w:name w:val="Footnote Text Char"/>
    <w:basedOn w:val="DefaultParagraphFont"/>
    <w:link w:val="FootnoteText"/>
    <w:semiHidden/>
    <w:rsid w:val="00837ED3"/>
  </w:style>
  <w:style w:type="character" w:customStyle="1" w:styleId="FooterChar">
    <w:name w:val="Footer Char"/>
    <w:basedOn w:val="DefaultParagraphFont"/>
    <w:link w:val="Footer"/>
    <w:uiPriority w:val="99"/>
    <w:rsid w:val="006929F9"/>
    <w:rPr>
      <w:sz w:val="24"/>
      <w:szCs w:val="24"/>
    </w:rPr>
  </w:style>
  <w:style w:type="character" w:styleId="CommentReference">
    <w:name w:val="annotation reference"/>
    <w:basedOn w:val="DefaultParagraphFont"/>
    <w:semiHidden/>
    <w:unhideWhenUsed/>
    <w:rsid w:val="00760FEB"/>
    <w:rPr>
      <w:sz w:val="16"/>
      <w:szCs w:val="16"/>
    </w:rPr>
  </w:style>
  <w:style w:type="paragraph" w:styleId="CommentText">
    <w:name w:val="annotation text"/>
    <w:basedOn w:val="Normal"/>
    <w:link w:val="CommentTextChar"/>
    <w:semiHidden/>
    <w:unhideWhenUsed/>
    <w:rsid w:val="00760FEB"/>
    <w:rPr>
      <w:sz w:val="20"/>
      <w:szCs w:val="20"/>
    </w:rPr>
  </w:style>
  <w:style w:type="character" w:customStyle="1" w:styleId="CommentTextChar">
    <w:name w:val="Comment Text Char"/>
    <w:basedOn w:val="DefaultParagraphFont"/>
    <w:link w:val="CommentText"/>
    <w:semiHidden/>
    <w:rsid w:val="00760FEB"/>
  </w:style>
  <w:style w:type="paragraph" w:styleId="CommentSubject">
    <w:name w:val="annotation subject"/>
    <w:basedOn w:val="CommentText"/>
    <w:next w:val="CommentText"/>
    <w:link w:val="CommentSubjectChar"/>
    <w:semiHidden/>
    <w:unhideWhenUsed/>
    <w:rsid w:val="00760FEB"/>
    <w:rPr>
      <w:b/>
      <w:bCs/>
    </w:rPr>
  </w:style>
  <w:style w:type="character" w:customStyle="1" w:styleId="CommentSubjectChar">
    <w:name w:val="Comment Subject Char"/>
    <w:basedOn w:val="CommentTextChar"/>
    <w:link w:val="CommentSubject"/>
    <w:semiHidden/>
    <w:rsid w:val="00760FEB"/>
    <w:rPr>
      <w:b/>
      <w:bCs/>
    </w:rPr>
  </w:style>
  <w:style w:type="character" w:customStyle="1" w:styleId="Heading1Char">
    <w:name w:val="Heading 1 Char"/>
    <w:basedOn w:val="DefaultParagraphFont"/>
    <w:link w:val="Heading1"/>
    <w:rsid w:val="00B768F3"/>
    <w:rPr>
      <w:rFonts w:ascii="Calibri" w:eastAsiaTheme="majorEastAsia" w:hAnsi="Calibri" w:cstheme="majorBidi"/>
      <w:b/>
      <w:sz w:val="22"/>
      <w:szCs w:val="32"/>
    </w:rPr>
  </w:style>
  <w:style w:type="character" w:styleId="Strong">
    <w:name w:val="Strong"/>
    <w:basedOn w:val="DefaultParagraphFont"/>
    <w:qFormat/>
    <w:rsid w:val="00B768F3"/>
    <w:rPr>
      <w:rFonts w:ascii="Calibri" w:hAnsi="Calibri"/>
      <w:b/>
      <w:bCs/>
      <w:spacing w:val="0"/>
      <w:sz w:val="22"/>
    </w:rPr>
  </w:style>
  <w:style w:type="paragraph" w:styleId="Title">
    <w:name w:val="Title"/>
    <w:basedOn w:val="Normal"/>
    <w:next w:val="Normal"/>
    <w:link w:val="TitleChar"/>
    <w:qFormat/>
    <w:rsid w:val="004D6DEA"/>
    <w:pPr>
      <w:spacing w:after="120"/>
      <w:contextualSpacing/>
      <w:jc w:val="center"/>
    </w:pPr>
    <w:rPr>
      <w:rFonts w:eastAsiaTheme="majorEastAsia" w:cstheme="majorBidi"/>
      <w:b/>
      <w:kern w:val="28"/>
      <w:sz w:val="24"/>
      <w:szCs w:val="56"/>
    </w:rPr>
  </w:style>
  <w:style w:type="character" w:customStyle="1" w:styleId="TitleChar">
    <w:name w:val="Title Char"/>
    <w:basedOn w:val="DefaultParagraphFont"/>
    <w:link w:val="Title"/>
    <w:rsid w:val="004D6DEA"/>
    <w:rPr>
      <w:rFonts w:ascii="Calibri" w:eastAsiaTheme="majorEastAsia" w:hAnsi="Calibri" w:cstheme="majorBidi"/>
      <w:b/>
      <w:kern w:val="28"/>
      <w:sz w:val="24"/>
      <w:szCs w:val="56"/>
    </w:rPr>
  </w:style>
  <w:style w:type="paragraph" w:customStyle="1" w:styleId="Recommendation">
    <w:name w:val="Recommendation"/>
    <w:basedOn w:val="Normal"/>
    <w:link w:val="RecommendationChar"/>
    <w:qFormat/>
    <w:rsid w:val="00986868"/>
    <w:pPr>
      <w:spacing w:after="120"/>
    </w:pPr>
    <w:rPr>
      <w:rFonts w:asciiTheme="minorHAnsi" w:hAnsiTheme="minorHAnsi" w:cstheme="minorHAnsi"/>
      <w:szCs w:val="22"/>
      <w:u w:val="single"/>
    </w:rPr>
  </w:style>
  <w:style w:type="paragraph" w:styleId="Subtitle">
    <w:name w:val="Subtitle"/>
    <w:basedOn w:val="Normal"/>
    <w:next w:val="Normal"/>
    <w:link w:val="SubtitleChar"/>
    <w:qFormat/>
    <w:rsid w:val="00F32E58"/>
    <w:pPr>
      <w:numPr>
        <w:ilvl w:val="1"/>
      </w:numPr>
      <w:spacing w:after="160"/>
      <w:jc w:val="center"/>
    </w:pPr>
    <w:rPr>
      <w:rFonts w:asciiTheme="minorHAnsi" w:eastAsiaTheme="minorEastAsia" w:hAnsiTheme="minorHAnsi" w:cstheme="minorBidi"/>
      <w:b/>
      <w:szCs w:val="22"/>
    </w:rPr>
  </w:style>
  <w:style w:type="character" w:customStyle="1" w:styleId="RecommendationChar">
    <w:name w:val="Recommendation Char"/>
    <w:basedOn w:val="DefaultParagraphFont"/>
    <w:link w:val="Recommendation"/>
    <w:rsid w:val="00986868"/>
    <w:rPr>
      <w:rFonts w:asciiTheme="minorHAnsi" w:hAnsiTheme="minorHAnsi" w:cstheme="minorHAnsi"/>
      <w:sz w:val="22"/>
      <w:szCs w:val="22"/>
      <w:u w:val="single"/>
    </w:rPr>
  </w:style>
  <w:style w:type="character" w:customStyle="1" w:styleId="SubtitleChar">
    <w:name w:val="Subtitle Char"/>
    <w:basedOn w:val="DefaultParagraphFont"/>
    <w:link w:val="Subtitle"/>
    <w:rsid w:val="00F32E58"/>
    <w:rPr>
      <w:rFonts w:asciiTheme="minorHAnsi" w:eastAsiaTheme="minorEastAsia" w:hAnsiTheme="minorHAnsi" w:cstheme="minorBidi"/>
      <w:b/>
      <w:sz w:val="22"/>
      <w:szCs w:val="22"/>
    </w:rPr>
  </w:style>
  <w:style w:type="paragraph" w:customStyle="1" w:styleId="MyHeader">
    <w:name w:val="My Header"/>
    <w:basedOn w:val="Heading1"/>
    <w:link w:val="MyHeaderChar"/>
    <w:qFormat/>
    <w:rsid w:val="002D07B8"/>
    <w:pPr>
      <w:spacing w:before="120"/>
    </w:pPr>
    <w:rPr>
      <w:rFonts w:ascii="Verdana" w:hAnsi="Verdana" w:cs="Arial"/>
      <w:b w:val="0"/>
      <w:color w:val="000000" w:themeColor="text1"/>
    </w:rPr>
  </w:style>
  <w:style w:type="character" w:customStyle="1" w:styleId="MyHeaderChar">
    <w:name w:val="My Header Char"/>
    <w:basedOn w:val="Heading1Char"/>
    <w:link w:val="MyHeader"/>
    <w:rsid w:val="002D07B8"/>
    <w:rPr>
      <w:rFonts w:ascii="Verdana" w:eastAsiaTheme="majorEastAsia" w:hAnsi="Verdana" w:cs="Arial"/>
      <w:b w:val="0"/>
      <w:color w:val="000000" w:themeColor="text1"/>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3810">
      <w:bodyDiv w:val="1"/>
      <w:marLeft w:val="0"/>
      <w:marRight w:val="0"/>
      <w:marTop w:val="0"/>
      <w:marBottom w:val="0"/>
      <w:divBdr>
        <w:top w:val="none" w:sz="0" w:space="0" w:color="auto"/>
        <w:left w:val="none" w:sz="0" w:space="0" w:color="auto"/>
        <w:bottom w:val="none" w:sz="0" w:space="0" w:color="auto"/>
        <w:right w:val="none" w:sz="0" w:space="0" w:color="auto"/>
      </w:divBdr>
    </w:div>
    <w:div w:id="101653505">
      <w:bodyDiv w:val="1"/>
      <w:marLeft w:val="0"/>
      <w:marRight w:val="0"/>
      <w:marTop w:val="0"/>
      <w:marBottom w:val="0"/>
      <w:divBdr>
        <w:top w:val="none" w:sz="0" w:space="0" w:color="auto"/>
        <w:left w:val="none" w:sz="0" w:space="0" w:color="auto"/>
        <w:bottom w:val="none" w:sz="0" w:space="0" w:color="auto"/>
        <w:right w:val="none" w:sz="0" w:space="0" w:color="auto"/>
      </w:divBdr>
    </w:div>
    <w:div w:id="116990633">
      <w:bodyDiv w:val="1"/>
      <w:marLeft w:val="0"/>
      <w:marRight w:val="0"/>
      <w:marTop w:val="0"/>
      <w:marBottom w:val="0"/>
      <w:divBdr>
        <w:top w:val="none" w:sz="0" w:space="0" w:color="auto"/>
        <w:left w:val="none" w:sz="0" w:space="0" w:color="auto"/>
        <w:bottom w:val="none" w:sz="0" w:space="0" w:color="auto"/>
        <w:right w:val="none" w:sz="0" w:space="0" w:color="auto"/>
      </w:divBdr>
    </w:div>
    <w:div w:id="162672011">
      <w:bodyDiv w:val="1"/>
      <w:marLeft w:val="0"/>
      <w:marRight w:val="0"/>
      <w:marTop w:val="0"/>
      <w:marBottom w:val="0"/>
      <w:divBdr>
        <w:top w:val="none" w:sz="0" w:space="0" w:color="auto"/>
        <w:left w:val="none" w:sz="0" w:space="0" w:color="auto"/>
        <w:bottom w:val="none" w:sz="0" w:space="0" w:color="auto"/>
        <w:right w:val="none" w:sz="0" w:space="0" w:color="auto"/>
      </w:divBdr>
    </w:div>
    <w:div w:id="194777147">
      <w:bodyDiv w:val="1"/>
      <w:marLeft w:val="0"/>
      <w:marRight w:val="0"/>
      <w:marTop w:val="0"/>
      <w:marBottom w:val="0"/>
      <w:divBdr>
        <w:top w:val="none" w:sz="0" w:space="0" w:color="auto"/>
        <w:left w:val="none" w:sz="0" w:space="0" w:color="auto"/>
        <w:bottom w:val="none" w:sz="0" w:space="0" w:color="auto"/>
        <w:right w:val="none" w:sz="0" w:space="0" w:color="auto"/>
      </w:divBdr>
    </w:div>
    <w:div w:id="210460801">
      <w:bodyDiv w:val="1"/>
      <w:marLeft w:val="0"/>
      <w:marRight w:val="0"/>
      <w:marTop w:val="0"/>
      <w:marBottom w:val="0"/>
      <w:divBdr>
        <w:top w:val="none" w:sz="0" w:space="0" w:color="auto"/>
        <w:left w:val="none" w:sz="0" w:space="0" w:color="auto"/>
        <w:bottom w:val="none" w:sz="0" w:space="0" w:color="auto"/>
        <w:right w:val="none" w:sz="0" w:space="0" w:color="auto"/>
      </w:divBdr>
    </w:div>
    <w:div w:id="246840819">
      <w:bodyDiv w:val="1"/>
      <w:marLeft w:val="0"/>
      <w:marRight w:val="0"/>
      <w:marTop w:val="0"/>
      <w:marBottom w:val="0"/>
      <w:divBdr>
        <w:top w:val="none" w:sz="0" w:space="0" w:color="auto"/>
        <w:left w:val="none" w:sz="0" w:space="0" w:color="auto"/>
        <w:bottom w:val="none" w:sz="0" w:space="0" w:color="auto"/>
        <w:right w:val="none" w:sz="0" w:space="0" w:color="auto"/>
      </w:divBdr>
    </w:div>
    <w:div w:id="326783894">
      <w:bodyDiv w:val="1"/>
      <w:marLeft w:val="0"/>
      <w:marRight w:val="0"/>
      <w:marTop w:val="0"/>
      <w:marBottom w:val="0"/>
      <w:divBdr>
        <w:top w:val="none" w:sz="0" w:space="0" w:color="auto"/>
        <w:left w:val="none" w:sz="0" w:space="0" w:color="auto"/>
        <w:bottom w:val="none" w:sz="0" w:space="0" w:color="auto"/>
        <w:right w:val="none" w:sz="0" w:space="0" w:color="auto"/>
      </w:divBdr>
    </w:div>
    <w:div w:id="338048435">
      <w:bodyDiv w:val="1"/>
      <w:marLeft w:val="0"/>
      <w:marRight w:val="0"/>
      <w:marTop w:val="0"/>
      <w:marBottom w:val="0"/>
      <w:divBdr>
        <w:top w:val="none" w:sz="0" w:space="0" w:color="auto"/>
        <w:left w:val="none" w:sz="0" w:space="0" w:color="auto"/>
        <w:bottom w:val="none" w:sz="0" w:space="0" w:color="auto"/>
        <w:right w:val="none" w:sz="0" w:space="0" w:color="auto"/>
      </w:divBdr>
    </w:div>
    <w:div w:id="346448224">
      <w:bodyDiv w:val="1"/>
      <w:marLeft w:val="0"/>
      <w:marRight w:val="0"/>
      <w:marTop w:val="0"/>
      <w:marBottom w:val="0"/>
      <w:divBdr>
        <w:top w:val="none" w:sz="0" w:space="0" w:color="auto"/>
        <w:left w:val="none" w:sz="0" w:space="0" w:color="auto"/>
        <w:bottom w:val="none" w:sz="0" w:space="0" w:color="auto"/>
        <w:right w:val="none" w:sz="0" w:space="0" w:color="auto"/>
      </w:divBdr>
    </w:div>
    <w:div w:id="360403148">
      <w:bodyDiv w:val="1"/>
      <w:marLeft w:val="0"/>
      <w:marRight w:val="0"/>
      <w:marTop w:val="0"/>
      <w:marBottom w:val="0"/>
      <w:divBdr>
        <w:top w:val="none" w:sz="0" w:space="0" w:color="auto"/>
        <w:left w:val="none" w:sz="0" w:space="0" w:color="auto"/>
        <w:bottom w:val="none" w:sz="0" w:space="0" w:color="auto"/>
        <w:right w:val="none" w:sz="0" w:space="0" w:color="auto"/>
      </w:divBdr>
    </w:div>
    <w:div w:id="372660617">
      <w:bodyDiv w:val="1"/>
      <w:marLeft w:val="0"/>
      <w:marRight w:val="0"/>
      <w:marTop w:val="0"/>
      <w:marBottom w:val="0"/>
      <w:divBdr>
        <w:top w:val="none" w:sz="0" w:space="0" w:color="auto"/>
        <w:left w:val="none" w:sz="0" w:space="0" w:color="auto"/>
        <w:bottom w:val="none" w:sz="0" w:space="0" w:color="auto"/>
        <w:right w:val="none" w:sz="0" w:space="0" w:color="auto"/>
      </w:divBdr>
    </w:div>
    <w:div w:id="436950037">
      <w:bodyDiv w:val="1"/>
      <w:marLeft w:val="0"/>
      <w:marRight w:val="0"/>
      <w:marTop w:val="0"/>
      <w:marBottom w:val="0"/>
      <w:divBdr>
        <w:top w:val="none" w:sz="0" w:space="0" w:color="auto"/>
        <w:left w:val="none" w:sz="0" w:space="0" w:color="auto"/>
        <w:bottom w:val="none" w:sz="0" w:space="0" w:color="auto"/>
        <w:right w:val="none" w:sz="0" w:space="0" w:color="auto"/>
      </w:divBdr>
    </w:div>
    <w:div w:id="449973896">
      <w:bodyDiv w:val="1"/>
      <w:marLeft w:val="0"/>
      <w:marRight w:val="0"/>
      <w:marTop w:val="0"/>
      <w:marBottom w:val="0"/>
      <w:divBdr>
        <w:top w:val="none" w:sz="0" w:space="0" w:color="auto"/>
        <w:left w:val="none" w:sz="0" w:space="0" w:color="auto"/>
        <w:bottom w:val="none" w:sz="0" w:space="0" w:color="auto"/>
        <w:right w:val="none" w:sz="0" w:space="0" w:color="auto"/>
      </w:divBdr>
    </w:div>
    <w:div w:id="468667527">
      <w:bodyDiv w:val="1"/>
      <w:marLeft w:val="0"/>
      <w:marRight w:val="0"/>
      <w:marTop w:val="0"/>
      <w:marBottom w:val="0"/>
      <w:divBdr>
        <w:top w:val="none" w:sz="0" w:space="0" w:color="auto"/>
        <w:left w:val="none" w:sz="0" w:space="0" w:color="auto"/>
        <w:bottom w:val="none" w:sz="0" w:space="0" w:color="auto"/>
        <w:right w:val="none" w:sz="0" w:space="0" w:color="auto"/>
      </w:divBdr>
    </w:div>
    <w:div w:id="475994800">
      <w:bodyDiv w:val="1"/>
      <w:marLeft w:val="0"/>
      <w:marRight w:val="0"/>
      <w:marTop w:val="0"/>
      <w:marBottom w:val="0"/>
      <w:divBdr>
        <w:top w:val="none" w:sz="0" w:space="0" w:color="auto"/>
        <w:left w:val="none" w:sz="0" w:space="0" w:color="auto"/>
        <w:bottom w:val="none" w:sz="0" w:space="0" w:color="auto"/>
        <w:right w:val="none" w:sz="0" w:space="0" w:color="auto"/>
      </w:divBdr>
    </w:div>
    <w:div w:id="511459375">
      <w:bodyDiv w:val="1"/>
      <w:marLeft w:val="0"/>
      <w:marRight w:val="0"/>
      <w:marTop w:val="0"/>
      <w:marBottom w:val="0"/>
      <w:divBdr>
        <w:top w:val="none" w:sz="0" w:space="0" w:color="auto"/>
        <w:left w:val="none" w:sz="0" w:space="0" w:color="auto"/>
        <w:bottom w:val="none" w:sz="0" w:space="0" w:color="auto"/>
        <w:right w:val="none" w:sz="0" w:space="0" w:color="auto"/>
      </w:divBdr>
    </w:div>
    <w:div w:id="526257187">
      <w:bodyDiv w:val="1"/>
      <w:marLeft w:val="0"/>
      <w:marRight w:val="0"/>
      <w:marTop w:val="0"/>
      <w:marBottom w:val="0"/>
      <w:divBdr>
        <w:top w:val="none" w:sz="0" w:space="0" w:color="auto"/>
        <w:left w:val="none" w:sz="0" w:space="0" w:color="auto"/>
        <w:bottom w:val="none" w:sz="0" w:space="0" w:color="auto"/>
        <w:right w:val="none" w:sz="0" w:space="0" w:color="auto"/>
      </w:divBdr>
    </w:div>
    <w:div w:id="533470985">
      <w:bodyDiv w:val="1"/>
      <w:marLeft w:val="0"/>
      <w:marRight w:val="0"/>
      <w:marTop w:val="0"/>
      <w:marBottom w:val="0"/>
      <w:divBdr>
        <w:top w:val="none" w:sz="0" w:space="0" w:color="auto"/>
        <w:left w:val="none" w:sz="0" w:space="0" w:color="auto"/>
        <w:bottom w:val="none" w:sz="0" w:space="0" w:color="auto"/>
        <w:right w:val="none" w:sz="0" w:space="0" w:color="auto"/>
      </w:divBdr>
    </w:div>
    <w:div w:id="617177252">
      <w:bodyDiv w:val="1"/>
      <w:marLeft w:val="0"/>
      <w:marRight w:val="0"/>
      <w:marTop w:val="0"/>
      <w:marBottom w:val="0"/>
      <w:divBdr>
        <w:top w:val="none" w:sz="0" w:space="0" w:color="auto"/>
        <w:left w:val="none" w:sz="0" w:space="0" w:color="auto"/>
        <w:bottom w:val="none" w:sz="0" w:space="0" w:color="auto"/>
        <w:right w:val="none" w:sz="0" w:space="0" w:color="auto"/>
      </w:divBdr>
    </w:div>
    <w:div w:id="625964784">
      <w:bodyDiv w:val="1"/>
      <w:marLeft w:val="0"/>
      <w:marRight w:val="0"/>
      <w:marTop w:val="0"/>
      <w:marBottom w:val="0"/>
      <w:divBdr>
        <w:top w:val="none" w:sz="0" w:space="0" w:color="auto"/>
        <w:left w:val="none" w:sz="0" w:space="0" w:color="auto"/>
        <w:bottom w:val="none" w:sz="0" w:space="0" w:color="auto"/>
        <w:right w:val="none" w:sz="0" w:space="0" w:color="auto"/>
      </w:divBdr>
    </w:div>
    <w:div w:id="634723794">
      <w:bodyDiv w:val="1"/>
      <w:marLeft w:val="0"/>
      <w:marRight w:val="0"/>
      <w:marTop w:val="0"/>
      <w:marBottom w:val="0"/>
      <w:divBdr>
        <w:top w:val="none" w:sz="0" w:space="0" w:color="auto"/>
        <w:left w:val="none" w:sz="0" w:space="0" w:color="auto"/>
        <w:bottom w:val="none" w:sz="0" w:space="0" w:color="auto"/>
        <w:right w:val="none" w:sz="0" w:space="0" w:color="auto"/>
      </w:divBdr>
    </w:div>
    <w:div w:id="658852867">
      <w:bodyDiv w:val="1"/>
      <w:marLeft w:val="0"/>
      <w:marRight w:val="0"/>
      <w:marTop w:val="0"/>
      <w:marBottom w:val="0"/>
      <w:divBdr>
        <w:top w:val="none" w:sz="0" w:space="0" w:color="auto"/>
        <w:left w:val="none" w:sz="0" w:space="0" w:color="auto"/>
        <w:bottom w:val="none" w:sz="0" w:space="0" w:color="auto"/>
        <w:right w:val="none" w:sz="0" w:space="0" w:color="auto"/>
      </w:divBdr>
    </w:div>
    <w:div w:id="674190180">
      <w:bodyDiv w:val="1"/>
      <w:marLeft w:val="0"/>
      <w:marRight w:val="0"/>
      <w:marTop w:val="0"/>
      <w:marBottom w:val="0"/>
      <w:divBdr>
        <w:top w:val="none" w:sz="0" w:space="0" w:color="auto"/>
        <w:left w:val="none" w:sz="0" w:space="0" w:color="auto"/>
        <w:bottom w:val="none" w:sz="0" w:space="0" w:color="auto"/>
        <w:right w:val="none" w:sz="0" w:space="0" w:color="auto"/>
      </w:divBdr>
    </w:div>
    <w:div w:id="677317717">
      <w:bodyDiv w:val="1"/>
      <w:marLeft w:val="0"/>
      <w:marRight w:val="0"/>
      <w:marTop w:val="0"/>
      <w:marBottom w:val="0"/>
      <w:divBdr>
        <w:top w:val="none" w:sz="0" w:space="0" w:color="auto"/>
        <w:left w:val="none" w:sz="0" w:space="0" w:color="auto"/>
        <w:bottom w:val="none" w:sz="0" w:space="0" w:color="auto"/>
        <w:right w:val="none" w:sz="0" w:space="0" w:color="auto"/>
      </w:divBdr>
    </w:div>
    <w:div w:id="680934325">
      <w:bodyDiv w:val="1"/>
      <w:marLeft w:val="0"/>
      <w:marRight w:val="0"/>
      <w:marTop w:val="0"/>
      <w:marBottom w:val="0"/>
      <w:divBdr>
        <w:top w:val="none" w:sz="0" w:space="0" w:color="auto"/>
        <w:left w:val="none" w:sz="0" w:space="0" w:color="auto"/>
        <w:bottom w:val="none" w:sz="0" w:space="0" w:color="auto"/>
        <w:right w:val="none" w:sz="0" w:space="0" w:color="auto"/>
      </w:divBdr>
    </w:div>
    <w:div w:id="709110767">
      <w:bodyDiv w:val="1"/>
      <w:marLeft w:val="0"/>
      <w:marRight w:val="0"/>
      <w:marTop w:val="0"/>
      <w:marBottom w:val="0"/>
      <w:divBdr>
        <w:top w:val="none" w:sz="0" w:space="0" w:color="auto"/>
        <w:left w:val="none" w:sz="0" w:space="0" w:color="auto"/>
        <w:bottom w:val="none" w:sz="0" w:space="0" w:color="auto"/>
        <w:right w:val="none" w:sz="0" w:space="0" w:color="auto"/>
      </w:divBdr>
    </w:div>
    <w:div w:id="709493718">
      <w:bodyDiv w:val="1"/>
      <w:marLeft w:val="0"/>
      <w:marRight w:val="0"/>
      <w:marTop w:val="0"/>
      <w:marBottom w:val="0"/>
      <w:divBdr>
        <w:top w:val="none" w:sz="0" w:space="0" w:color="auto"/>
        <w:left w:val="none" w:sz="0" w:space="0" w:color="auto"/>
        <w:bottom w:val="none" w:sz="0" w:space="0" w:color="auto"/>
        <w:right w:val="none" w:sz="0" w:space="0" w:color="auto"/>
      </w:divBdr>
    </w:div>
    <w:div w:id="773523675">
      <w:bodyDiv w:val="1"/>
      <w:marLeft w:val="0"/>
      <w:marRight w:val="0"/>
      <w:marTop w:val="0"/>
      <w:marBottom w:val="0"/>
      <w:divBdr>
        <w:top w:val="none" w:sz="0" w:space="0" w:color="auto"/>
        <w:left w:val="none" w:sz="0" w:space="0" w:color="auto"/>
        <w:bottom w:val="none" w:sz="0" w:space="0" w:color="auto"/>
        <w:right w:val="none" w:sz="0" w:space="0" w:color="auto"/>
      </w:divBdr>
    </w:div>
    <w:div w:id="782845312">
      <w:bodyDiv w:val="1"/>
      <w:marLeft w:val="0"/>
      <w:marRight w:val="0"/>
      <w:marTop w:val="0"/>
      <w:marBottom w:val="0"/>
      <w:divBdr>
        <w:top w:val="none" w:sz="0" w:space="0" w:color="auto"/>
        <w:left w:val="none" w:sz="0" w:space="0" w:color="auto"/>
        <w:bottom w:val="none" w:sz="0" w:space="0" w:color="auto"/>
        <w:right w:val="none" w:sz="0" w:space="0" w:color="auto"/>
      </w:divBdr>
    </w:div>
    <w:div w:id="805926540">
      <w:bodyDiv w:val="1"/>
      <w:marLeft w:val="0"/>
      <w:marRight w:val="0"/>
      <w:marTop w:val="0"/>
      <w:marBottom w:val="0"/>
      <w:divBdr>
        <w:top w:val="none" w:sz="0" w:space="0" w:color="auto"/>
        <w:left w:val="none" w:sz="0" w:space="0" w:color="auto"/>
        <w:bottom w:val="none" w:sz="0" w:space="0" w:color="auto"/>
        <w:right w:val="none" w:sz="0" w:space="0" w:color="auto"/>
      </w:divBdr>
    </w:div>
    <w:div w:id="913852173">
      <w:bodyDiv w:val="1"/>
      <w:marLeft w:val="0"/>
      <w:marRight w:val="0"/>
      <w:marTop w:val="0"/>
      <w:marBottom w:val="0"/>
      <w:divBdr>
        <w:top w:val="none" w:sz="0" w:space="0" w:color="auto"/>
        <w:left w:val="none" w:sz="0" w:space="0" w:color="auto"/>
        <w:bottom w:val="none" w:sz="0" w:space="0" w:color="auto"/>
        <w:right w:val="none" w:sz="0" w:space="0" w:color="auto"/>
      </w:divBdr>
    </w:div>
    <w:div w:id="942801483">
      <w:bodyDiv w:val="1"/>
      <w:marLeft w:val="0"/>
      <w:marRight w:val="0"/>
      <w:marTop w:val="0"/>
      <w:marBottom w:val="0"/>
      <w:divBdr>
        <w:top w:val="none" w:sz="0" w:space="0" w:color="auto"/>
        <w:left w:val="none" w:sz="0" w:space="0" w:color="auto"/>
        <w:bottom w:val="none" w:sz="0" w:space="0" w:color="auto"/>
        <w:right w:val="none" w:sz="0" w:space="0" w:color="auto"/>
      </w:divBdr>
    </w:div>
    <w:div w:id="956257404">
      <w:bodyDiv w:val="1"/>
      <w:marLeft w:val="0"/>
      <w:marRight w:val="0"/>
      <w:marTop w:val="0"/>
      <w:marBottom w:val="0"/>
      <w:divBdr>
        <w:top w:val="none" w:sz="0" w:space="0" w:color="auto"/>
        <w:left w:val="none" w:sz="0" w:space="0" w:color="auto"/>
        <w:bottom w:val="none" w:sz="0" w:space="0" w:color="auto"/>
        <w:right w:val="none" w:sz="0" w:space="0" w:color="auto"/>
      </w:divBdr>
    </w:div>
    <w:div w:id="968627582">
      <w:bodyDiv w:val="1"/>
      <w:marLeft w:val="0"/>
      <w:marRight w:val="0"/>
      <w:marTop w:val="0"/>
      <w:marBottom w:val="0"/>
      <w:divBdr>
        <w:top w:val="none" w:sz="0" w:space="0" w:color="auto"/>
        <w:left w:val="none" w:sz="0" w:space="0" w:color="auto"/>
        <w:bottom w:val="none" w:sz="0" w:space="0" w:color="auto"/>
        <w:right w:val="none" w:sz="0" w:space="0" w:color="auto"/>
      </w:divBdr>
    </w:div>
    <w:div w:id="969752299">
      <w:bodyDiv w:val="1"/>
      <w:marLeft w:val="0"/>
      <w:marRight w:val="0"/>
      <w:marTop w:val="0"/>
      <w:marBottom w:val="0"/>
      <w:divBdr>
        <w:top w:val="none" w:sz="0" w:space="0" w:color="auto"/>
        <w:left w:val="none" w:sz="0" w:space="0" w:color="auto"/>
        <w:bottom w:val="none" w:sz="0" w:space="0" w:color="auto"/>
        <w:right w:val="none" w:sz="0" w:space="0" w:color="auto"/>
      </w:divBdr>
    </w:div>
    <w:div w:id="974339217">
      <w:bodyDiv w:val="1"/>
      <w:marLeft w:val="0"/>
      <w:marRight w:val="0"/>
      <w:marTop w:val="0"/>
      <w:marBottom w:val="0"/>
      <w:divBdr>
        <w:top w:val="none" w:sz="0" w:space="0" w:color="auto"/>
        <w:left w:val="none" w:sz="0" w:space="0" w:color="auto"/>
        <w:bottom w:val="none" w:sz="0" w:space="0" w:color="auto"/>
        <w:right w:val="none" w:sz="0" w:space="0" w:color="auto"/>
      </w:divBdr>
    </w:div>
    <w:div w:id="996768966">
      <w:bodyDiv w:val="1"/>
      <w:marLeft w:val="0"/>
      <w:marRight w:val="0"/>
      <w:marTop w:val="0"/>
      <w:marBottom w:val="0"/>
      <w:divBdr>
        <w:top w:val="none" w:sz="0" w:space="0" w:color="auto"/>
        <w:left w:val="none" w:sz="0" w:space="0" w:color="auto"/>
        <w:bottom w:val="none" w:sz="0" w:space="0" w:color="auto"/>
        <w:right w:val="none" w:sz="0" w:space="0" w:color="auto"/>
      </w:divBdr>
    </w:div>
    <w:div w:id="1011026005">
      <w:bodyDiv w:val="1"/>
      <w:marLeft w:val="0"/>
      <w:marRight w:val="0"/>
      <w:marTop w:val="0"/>
      <w:marBottom w:val="0"/>
      <w:divBdr>
        <w:top w:val="none" w:sz="0" w:space="0" w:color="auto"/>
        <w:left w:val="none" w:sz="0" w:space="0" w:color="auto"/>
        <w:bottom w:val="none" w:sz="0" w:space="0" w:color="auto"/>
        <w:right w:val="none" w:sz="0" w:space="0" w:color="auto"/>
      </w:divBdr>
    </w:div>
    <w:div w:id="1031490351">
      <w:bodyDiv w:val="1"/>
      <w:marLeft w:val="0"/>
      <w:marRight w:val="0"/>
      <w:marTop w:val="0"/>
      <w:marBottom w:val="0"/>
      <w:divBdr>
        <w:top w:val="none" w:sz="0" w:space="0" w:color="auto"/>
        <w:left w:val="none" w:sz="0" w:space="0" w:color="auto"/>
        <w:bottom w:val="none" w:sz="0" w:space="0" w:color="auto"/>
        <w:right w:val="none" w:sz="0" w:space="0" w:color="auto"/>
      </w:divBdr>
    </w:div>
    <w:div w:id="1066224775">
      <w:bodyDiv w:val="1"/>
      <w:marLeft w:val="0"/>
      <w:marRight w:val="0"/>
      <w:marTop w:val="0"/>
      <w:marBottom w:val="0"/>
      <w:divBdr>
        <w:top w:val="none" w:sz="0" w:space="0" w:color="auto"/>
        <w:left w:val="none" w:sz="0" w:space="0" w:color="auto"/>
        <w:bottom w:val="none" w:sz="0" w:space="0" w:color="auto"/>
        <w:right w:val="none" w:sz="0" w:space="0" w:color="auto"/>
      </w:divBdr>
    </w:div>
    <w:div w:id="1251040147">
      <w:bodyDiv w:val="1"/>
      <w:marLeft w:val="0"/>
      <w:marRight w:val="0"/>
      <w:marTop w:val="0"/>
      <w:marBottom w:val="0"/>
      <w:divBdr>
        <w:top w:val="none" w:sz="0" w:space="0" w:color="auto"/>
        <w:left w:val="none" w:sz="0" w:space="0" w:color="auto"/>
        <w:bottom w:val="none" w:sz="0" w:space="0" w:color="auto"/>
        <w:right w:val="none" w:sz="0" w:space="0" w:color="auto"/>
      </w:divBdr>
    </w:div>
    <w:div w:id="1341468150">
      <w:bodyDiv w:val="1"/>
      <w:marLeft w:val="0"/>
      <w:marRight w:val="0"/>
      <w:marTop w:val="0"/>
      <w:marBottom w:val="0"/>
      <w:divBdr>
        <w:top w:val="none" w:sz="0" w:space="0" w:color="auto"/>
        <w:left w:val="none" w:sz="0" w:space="0" w:color="auto"/>
        <w:bottom w:val="none" w:sz="0" w:space="0" w:color="auto"/>
        <w:right w:val="none" w:sz="0" w:space="0" w:color="auto"/>
      </w:divBdr>
    </w:div>
    <w:div w:id="1356998224">
      <w:bodyDiv w:val="1"/>
      <w:marLeft w:val="0"/>
      <w:marRight w:val="0"/>
      <w:marTop w:val="0"/>
      <w:marBottom w:val="0"/>
      <w:divBdr>
        <w:top w:val="none" w:sz="0" w:space="0" w:color="auto"/>
        <w:left w:val="none" w:sz="0" w:space="0" w:color="auto"/>
        <w:bottom w:val="none" w:sz="0" w:space="0" w:color="auto"/>
        <w:right w:val="none" w:sz="0" w:space="0" w:color="auto"/>
      </w:divBdr>
    </w:div>
    <w:div w:id="1386292945">
      <w:bodyDiv w:val="1"/>
      <w:marLeft w:val="0"/>
      <w:marRight w:val="0"/>
      <w:marTop w:val="0"/>
      <w:marBottom w:val="0"/>
      <w:divBdr>
        <w:top w:val="none" w:sz="0" w:space="0" w:color="auto"/>
        <w:left w:val="none" w:sz="0" w:space="0" w:color="auto"/>
        <w:bottom w:val="none" w:sz="0" w:space="0" w:color="auto"/>
        <w:right w:val="none" w:sz="0" w:space="0" w:color="auto"/>
      </w:divBdr>
    </w:div>
    <w:div w:id="1438869783">
      <w:bodyDiv w:val="1"/>
      <w:marLeft w:val="0"/>
      <w:marRight w:val="0"/>
      <w:marTop w:val="0"/>
      <w:marBottom w:val="0"/>
      <w:divBdr>
        <w:top w:val="none" w:sz="0" w:space="0" w:color="auto"/>
        <w:left w:val="none" w:sz="0" w:space="0" w:color="auto"/>
        <w:bottom w:val="none" w:sz="0" w:space="0" w:color="auto"/>
        <w:right w:val="none" w:sz="0" w:space="0" w:color="auto"/>
      </w:divBdr>
    </w:div>
    <w:div w:id="1455716073">
      <w:bodyDiv w:val="1"/>
      <w:marLeft w:val="0"/>
      <w:marRight w:val="0"/>
      <w:marTop w:val="0"/>
      <w:marBottom w:val="0"/>
      <w:divBdr>
        <w:top w:val="none" w:sz="0" w:space="0" w:color="auto"/>
        <w:left w:val="none" w:sz="0" w:space="0" w:color="auto"/>
        <w:bottom w:val="none" w:sz="0" w:space="0" w:color="auto"/>
        <w:right w:val="none" w:sz="0" w:space="0" w:color="auto"/>
      </w:divBdr>
    </w:div>
    <w:div w:id="1463578578">
      <w:bodyDiv w:val="1"/>
      <w:marLeft w:val="0"/>
      <w:marRight w:val="0"/>
      <w:marTop w:val="0"/>
      <w:marBottom w:val="0"/>
      <w:divBdr>
        <w:top w:val="none" w:sz="0" w:space="0" w:color="auto"/>
        <w:left w:val="none" w:sz="0" w:space="0" w:color="auto"/>
        <w:bottom w:val="none" w:sz="0" w:space="0" w:color="auto"/>
        <w:right w:val="none" w:sz="0" w:space="0" w:color="auto"/>
      </w:divBdr>
    </w:div>
    <w:div w:id="1527676092">
      <w:bodyDiv w:val="1"/>
      <w:marLeft w:val="0"/>
      <w:marRight w:val="0"/>
      <w:marTop w:val="0"/>
      <w:marBottom w:val="0"/>
      <w:divBdr>
        <w:top w:val="none" w:sz="0" w:space="0" w:color="auto"/>
        <w:left w:val="none" w:sz="0" w:space="0" w:color="auto"/>
        <w:bottom w:val="none" w:sz="0" w:space="0" w:color="auto"/>
        <w:right w:val="none" w:sz="0" w:space="0" w:color="auto"/>
      </w:divBdr>
    </w:div>
    <w:div w:id="1536769281">
      <w:bodyDiv w:val="1"/>
      <w:marLeft w:val="0"/>
      <w:marRight w:val="0"/>
      <w:marTop w:val="0"/>
      <w:marBottom w:val="0"/>
      <w:divBdr>
        <w:top w:val="none" w:sz="0" w:space="0" w:color="auto"/>
        <w:left w:val="none" w:sz="0" w:space="0" w:color="auto"/>
        <w:bottom w:val="none" w:sz="0" w:space="0" w:color="auto"/>
        <w:right w:val="none" w:sz="0" w:space="0" w:color="auto"/>
      </w:divBdr>
    </w:div>
    <w:div w:id="1541355122">
      <w:bodyDiv w:val="1"/>
      <w:marLeft w:val="0"/>
      <w:marRight w:val="0"/>
      <w:marTop w:val="0"/>
      <w:marBottom w:val="0"/>
      <w:divBdr>
        <w:top w:val="none" w:sz="0" w:space="0" w:color="auto"/>
        <w:left w:val="none" w:sz="0" w:space="0" w:color="auto"/>
        <w:bottom w:val="none" w:sz="0" w:space="0" w:color="auto"/>
        <w:right w:val="none" w:sz="0" w:space="0" w:color="auto"/>
      </w:divBdr>
    </w:div>
    <w:div w:id="1629361901">
      <w:bodyDiv w:val="1"/>
      <w:marLeft w:val="0"/>
      <w:marRight w:val="0"/>
      <w:marTop w:val="0"/>
      <w:marBottom w:val="0"/>
      <w:divBdr>
        <w:top w:val="none" w:sz="0" w:space="0" w:color="auto"/>
        <w:left w:val="none" w:sz="0" w:space="0" w:color="auto"/>
        <w:bottom w:val="none" w:sz="0" w:space="0" w:color="auto"/>
        <w:right w:val="none" w:sz="0" w:space="0" w:color="auto"/>
      </w:divBdr>
    </w:div>
    <w:div w:id="1757627275">
      <w:bodyDiv w:val="1"/>
      <w:marLeft w:val="0"/>
      <w:marRight w:val="0"/>
      <w:marTop w:val="0"/>
      <w:marBottom w:val="0"/>
      <w:divBdr>
        <w:top w:val="none" w:sz="0" w:space="0" w:color="auto"/>
        <w:left w:val="none" w:sz="0" w:space="0" w:color="auto"/>
        <w:bottom w:val="none" w:sz="0" w:space="0" w:color="auto"/>
        <w:right w:val="none" w:sz="0" w:space="0" w:color="auto"/>
      </w:divBdr>
    </w:div>
    <w:div w:id="1775517204">
      <w:bodyDiv w:val="1"/>
      <w:marLeft w:val="0"/>
      <w:marRight w:val="0"/>
      <w:marTop w:val="0"/>
      <w:marBottom w:val="0"/>
      <w:divBdr>
        <w:top w:val="none" w:sz="0" w:space="0" w:color="auto"/>
        <w:left w:val="none" w:sz="0" w:space="0" w:color="auto"/>
        <w:bottom w:val="none" w:sz="0" w:space="0" w:color="auto"/>
        <w:right w:val="none" w:sz="0" w:space="0" w:color="auto"/>
      </w:divBdr>
    </w:div>
    <w:div w:id="1828354972">
      <w:bodyDiv w:val="1"/>
      <w:marLeft w:val="0"/>
      <w:marRight w:val="0"/>
      <w:marTop w:val="0"/>
      <w:marBottom w:val="0"/>
      <w:divBdr>
        <w:top w:val="none" w:sz="0" w:space="0" w:color="auto"/>
        <w:left w:val="none" w:sz="0" w:space="0" w:color="auto"/>
        <w:bottom w:val="none" w:sz="0" w:space="0" w:color="auto"/>
        <w:right w:val="none" w:sz="0" w:space="0" w:color="auto"/>
      </w:divBdr>
    </w:div>
    <w:div w:id="1831604036">
      <w:bodyDiv w:val="1"/>
      <w:marLeft w:val="0"/>
      <w:marRight w:val="0"/>
      <w:marTop w:val="0"/>
      <w:marBottom w:val="0"/>
      <w:divBdr>
        <w:top w:val="none" w:sz="0" w:space="0" w:color="auto"/>
        <w:left w:val="none" w:sz="0" w:space="0" w:color="auto"/>
        <w:bottom w:val="none" w:sz="0" w:space="0" w:color="auto"/>
        <w:right w:val="none" w:sz="0" w:space="0" w:color="auto"/>
      </w:divBdr>
    </w:div>
    <w:div w:id="1838688439">
      <w:bodyDiv w:val="1"/>
      <w:marLeft w:val="0"/>
      <w:marRight w:val="0"/>
      <w:marTop w:val="0"/>
      <w:marBottom w:val="0"/>
      <w:divBdr>
        <w:top w:val="none" w:sz="0" w:space="0" w:color="auto"/>
        <w:left w:val="none" w:sz="0" w:space="0" w:color="auto"/>
        <w:bottom w:val="none" w:sz="0" w:space="0" w:color="auto"/>
        <w:right w:val="none" w:sz="0" w:space="0" w:color="auto"/>
      </w:divBdr>
    </w:div>
    <w:div w:id="1905138520">
      <w:bodyDiv w:val="1"/>
      <w:marLeft w:val="0"/>
      <w:marRight w:val="0"/>
      <w:marTop w:val="0"/>
      <w:marBottom w:val="0"/>
      <w:divBdr>
        <w:top w:val="none" w:sz="0" w:space="0" w:color="auto"/>
        <w:left w:val="none" w:sz="0" w:space="0" w:color="auto"/>
        <w:bottom w:val="none" w:sz="0" w:space="0" w:color="auto"/>
        <w:right w:val="none" w:sz="0" w:space="0" w:color="auto"/>
      </w:divBdr>
    </w:div>
    <w:div w:id="1921862408">
      <w:bodyDiv w:val="1"/>
      <w:marLeft w:val="0"/>
      <w:marRight w:val="0"/>
      <w:marTop w:val="0"/>
      <w:marBottom w:val="0"/>
      <w:divBdr>
        <w:top w:val="none" w:sz="0" w:space="0" w:color="auto"/>
        <w:left w:val="none" w:sz="0" w:space="0" w:color="auto"/>
        <w:bottom w:val="none" w:sz="0" w:space="0" w:color="auto"/>
        <w:right w:val="none" w:sz="0" w:space="0" w:color="auto"/>
      </w:divBdr>
    </w:div>
    <w:div w:id="1950896118">
      <w:bodyDiv w:val="1"/>
      <w:marLeft w:val="0"/>
      <w:marRight w:val="0"/>
      <w:marTop w:val="0"/>
      <w:marBottom w:val="0"/>
      <w:divBdr>
        <w:top w:val="none" w:sz="0" w:space="0" w:color="auto"/>
        <w:left w:val="none" w:sz="0" w:space="0" w:color="auto"/>
        <w:bottom w:val="none" w:sz="0" w:space="0" w:color="auto"/>
        <w:right w:val="none" w:sz="0" w:space="0" w:color="auto"/>
      </w:divBdr>
    </w:div>
    <w:div w:id="1980914603">
      <w:bodyDiv w:val="1"/>
      <w:marLeft w:val="0"/>
      <w:marRight w:val="0"/>
      <w:marTop w:val="0"/>
      <w:marBottom w:val="0"/>
      <w:divBdr>
        <w:top w:val="none" w:sz="0" w:space="0" w:color="auto"/>
        <w:left w:val="none" w:sz="0" w:space="0" w:color="auto"/>
        <w:bottom w:val="none" w:sz="0" w:space="0" w:color="auto"/>
        <w:right w:val="none" w:sz="0" w:space="0" w:color="auto"/>
      </w:divBdr>
    </w:div>
    <w:div w:id="2018539176">
      <w:bodyDiv w:val="1"/>
      <w:marLeft w:val="0"/>
      <w:marRight w:val="0"/>
      <w:marTop w:val="0"/>
      <w:marBottom w:val="0"/>
      <w:divBdr>
        <w:top w:val="none" w:sz="0" w:space="0" w:color="auto"/>
        <w:left w:val="none" w:sz="0" w:space="0" w:color="auto"/>
        <w:bottom w:val="none" w:sz="0" w:space="0" w:color="auto"/>
        <w:right w:val="none" w:sz="0" w:space="0" w:color="auto"/>
      </w:divBdr>
    </w:div>
    <w:div w:id="2026713363">
      <w:bodyDiv w:val="1"/>
      <w:marLeft w:val="0"/>
      <w:marRight w:val="0"/>
      <w:marTop w:val="0"/>
      <w:marBottom w:val="0"/>
      <w:divBdr>
        <w:top w:val="none" w:sz="0" w:space="0" w:color="auto"/>
        <w:left w:val="none" w:sz="0" w:space="0" w:color="auto"/>
        <w:bottom w:val="none" w:sz="0" w:space="0" w:color="auto"/>
        <w:right w:val="none" w:sz="0" w:space="0" w:color="auto"/>
      </w:divBdr>
    </w:div>
    <w:div w:id="2060663743">
      <w:bodyDiv w:val="1"/>
      <w:marLeft w:val="0"/>
      <w:marRight w:val="0"/>
      <w:marTop w:val="0"/>
      <w:marBottom w:val="0"/>
      <w:divBdr>
        <w:top w:val="none" w:sz="0" w:space="0" w:color="auto"/>
        <w:left w:val="none" w:sz="0" w:space="0" w:color="auto"/>
        <w:bottom w:val="none" w:sz="0" w:space="0" w:color="auto"/>
        <w:right w:val="none" w:sz="0" w:space="0" w:color="auto"/>
      </w:divBdr>
    </w:div>
    <w:div w:id="2065713481">
      <w:bodyDiv w:val="1"/>
      <w:marLeft w:val="0"/>
      <w:marRight w:val="0"/>
      <w:marTop w:val="0"/>
      <w:marBottom w:val="0"/>
      <w:divBdr>
        <w:top w:val="none" w:sz="0" w:space="0" w:color="auto"/>
        <w:left w:val="none" w:sz="0" w:space="0" w:color="auto"/>
        <w:bottom w:val="none" w:sz="0" w:space="0" w:color="auto"/>
        <w:right w:val="none" w:sz="0" w:space="0" w:color="auto"/>
      </w:divBdr>
    </w:div>
    <w:div w:id="2070415915">
      <w:bodyDiv w:val="1"/>
      <w:marLeft w:val="0"/>
      <w:marRight w:val="0"/>
      <w:marTop w:val="0"/>
      <w:marBottom w:val="0"/>
      <w:divBdr>
        <w:top w:val="none" w:sz="0" w:space="0" w:color="auto"/>
        <w:left w:val="none" w:sz="0" w:space="0" w:color="auto"/>
        <w:bottom w:val="none" w:sz="0" w:space="0" w:color="auto"/>
        <w:right w:val="none" w:sz="0" w:space="0" w:color="auto"/>
      </w:divBdr>
    </w:div>
    <w:div w:id="209959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000000"/>
      </a:dk2>
      <a:lt2>
        <a:srgbClr val="FFFFFF"/>
      </a:lt2>
      <a:accent1>
        <a:srgbClr val="0070C0"/>
      </a:accent1>
      <a:accent2>
        <a:srgbClr val="C00000"/>
      </a:accent2>
      <a:accent3>
        <a:srgbClr val="000000"/>
      </a:accent3>
      <a:accent4>
        <a:srgbClr val="000000"/>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CA44A8C0450B4EBB59DEB3D2EAB856" ma:contentTypeVersion="10" ma:contentTypeDescription="Create a new document." ma:contentTypeScope="" ma:versionID="d94c8c05ba59889c76f77f4193933041">
  <xsd:schema xmlns:xsd="http://www.w3.org/2001/XMLSchema" xmlns:xs="http://www.w3.org/2001/XMLSchema" xmlns:p="http://schemas.microsoft.com/office/2006/metadata/properties" xmlns:ns3="59b5326b-8e51-4463-9ab6-b4a9ab75b448" xmlns:ns4="d787cd04-ef22-41ad-a731-3af2466952be" targetNamespace="http://schemas.microsoft.com/office/2006/metadata/properties" ma:root="true" ma:fieldsID="945a934970387c27b0978c44b704c7bf" ns3:_="" ns4:_="">
    <xsd:import namespace="59b5326b-8e51-4463-9ab6-b4a9ab75b448"/>
    <xsd:import namespace="d787cd04-ef22-41ad-a731-3af2466952be"/>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5326b-8e51-4463-9ab6-b4a9ab75b44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87cd04-ef22-41ad-a731-3af2466952be"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5F7D8-5884-45F3-AB7D-5550AD857893}">
  <ds:schemaRef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 ds:uri="d787cd04-ef22-41ad-a731-3af2466952be"/>
    <ds:schemaRef ds:uri="http://purl.org/dc/elements/1.1/"/>
    <ds:schemaRef ds:uri="59b5326b-8e51-4463-9ab6-b4a9ab75b44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844C23C-1F11-4369-BA2B-2221704D71AF}">
  <ds:schemaRefs>
    <ds:schemaRef ds:uri="http://schemas.microsoft.com/sharepoint/v3/contenttype/forms"/>
  </ds:schemaRefs>
</ds:datastoreItem>
</file>

<file path=customXml/itemProps3.xml><?xml version="1.0" encoding="utf-8"?>
<ds:datastoreItem xmlns:ds="http://schemas.openxmlformats.org/officeDocument/2006/customXml" ds:itemID="{70605A47-8075-4554-8F9A-BC105ABB2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5326b-8e51-4463-9ab6-b4a9ab75b448"/>
    <ds:schemaRef ds:uri="d787cd04-ef22-41ad-a731-3af246695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E81754-68F3-42E0-8CA5-6A258079A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4978</Words>
  <Characters>26556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Proposed BCY18-19 Contracted Board Measures</vt:lpstr>
    </vt:vector>
  </TitlesOfParts>
  <Company>TWC</Company>
  <LinksUpToDate>false</LinksUpToDate>
  <CharactersWithSpaces>31472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Meeting Materials 092419 #15 - LWDA Performance Expectations</dc:title>
  <dc:creator>TWC</dc:creator>
  <cp:lastModifiedBy>Springer,Lance J</cp:lastModifiedBy>
  <cp:revision>4</cp:revision>
  <cp:lastPrinted>2019-09-16T18:26:00Z</cp:lastPrinted>
  <dcterms:created xsi:type="dcterms:W3CDTF">2019-09-20T00:17:00Z</dcterms:created>
  <dcterms:modified xsi:type="dcterms:W3CDTF">2019-09-23T20:18:00Z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0x010100F4CA44A8C0450B4EBB59DEB3D2EAB856</vt:lpwstr>
  </property>
</Properties>
</file>